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60" w:rsidRDefault="00421C99"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sz w:val="24"/>
          <w:szCs w:val="24"/>
        </w:rPr>
        <w:t xml:space="preserve"> </w:t>
      </w: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Default="00A07A60" w:rsidP="00421C99">
      <w:pPr>
        <w:pStyle w:val="PlainText"/>
        <w:spacing w:line="360" w:lineRule="auto"/>
        <w:jc w:val="center"/>
        <w:rPr>
          <w:rFonts w:ascii="Times New Roman" w:hAnsi="Times New Roman" w:cs="Times New Roman"/>
          <w:sz w:val="24"/>
          <w:szCs w:val="24"/>
        </w:rPr>
      </w:pPr>
    </w:p>
    <w:p w:rsidR="00A07A60" w:rsidRPr="0099657A" w:rsidRDefault="00A07A60" w:rsidP="00421C99">
      <w:pPr>
        <w:pStyle w:val="PlainText"/>
        <w:spacing w:line="360" w:lineRule="auto"/>
        <w:jc w:val="center"/>
        <w:rPr>
          <w:rFonts w:ascii="Times New Roman" w:hAnsi="Times New Roman" w:cs="Times New Roman"/>
          <w:sz w:val="40"/>
          <w:szCs w:val="24"/>
        </w:rPr>
      </w:pPr>
    </w:p>
    <w:p w:rsidR="008124B5" w:rsidRDefault="00C97573" w:rsidP="00421C99">
      <w:pPr>
        <w:pStyle w:val="PlainText"/>
        <w:spacing w:line="360" w:lineRule="auto"/>
        <w:jc w:val="center"/>
        <w:rPr>
          <w:rFonts w:ascii="Times New Roman" w:hAnsi="Times New Roman" w:cs="Times New Roman"/>
          <w:b/>
          <w:sz w:val="40"/>
          <w:szCs w:val="24"/>
        </w:rPr>
      </w:pPr>
      <w:r w:rsidRPr="0099657A">
        <w:rPr>
          <w:rFonts w:ascii="Times New Roman" w:hAnsi="Times New Roman" w:cs="Times New Roman"/>
          <w:sz w:val="40"/>
          <w:szCs w:val="24"/>
        </w:rPr>
        <w:t>„</w:t>
      </w:r>
      <w:r w:rsidRPr="0099657A">
        <w:rPr>
          <w:rFonts w:ascii="Times New Roman" w:hAnsi="Times New Roman" w:cs="Times New Roman"/>
          <w:b/>
          <w:sz w:val="40"/>
          <w:szCs w:val="24"/>
        </w:rPr>
        <w:t xml:space="preserve">TIKROJI“ </w:t>
      </w:r>
    </w:p>
    <w:p w:rsidR="00A07A60" w:rsidRPr="0099657A" w:rsidRDefault="00C97573" w:rsidP="00421C99">
      <w:pPr>
        <w:pStyle w:val="PlainText"/>
        <w:spacing w:line="360" w:lineRule="auto"/>
        <w:jc w:val="center"/>
        <w:rPr>
          <w:rFonts w:ascii="Times New Roman" w:hAnsi="Times New Roman" w:cs="Times New Roman"/>
          <w:b/>
          <w:sz w:val="40"/>
          <w:szCs w:val="24"/>
        </w:rPr>
      </w:pPr>
      <w:r w:rsidRPr="0099657A">
        <w:rPr>
          <w:rFonts w:ascii="Times New Roman" w:hAnsi="Times New Roman" w:cs="Times New Roman"/>
          <w:b/>
          <w:sz w:val="40"/>
          <w:szCs w:val="24"/>
        </w:rPr>
        <w:t>LIETUVOS RESPUBLIKOS</w:t>
      </w:r>
      <w:r w:rsidR="00BF214A" w:rsidRPr="0099657A">
        <w:rPr>
          <w:rFonts w:ascii="Times New Roman" w:hAnsi="Times New Roman" w:cs="Times New Roman"/>
          <w:b/>
          <w:sz w:val="40"/>
          <w:szCs w:val="24"/>
        </w:rPr>
        <w:t xml:space="preserve"> VYRIAUSYBĖS</w:t>
      </w:r>
      <w:r w:rsidR="00E03D2C" w:rsidRPr="0099657A">
        <w:rPr>
          <w:rFonts w:ascii="Times New Roman" w:hAnsi="Times New Roman" w:cs="Times New Roman"/>
          <w:b/>
          <w:sz w:val="40"/>
          <w:szCs w:val="24"/>
        </w:rPr>
        <w:t xml:space="preserve"> 2013 M.</w:t>
      </w:r>
      <w:r w:rsidRPr="0099657A">
        <w:rPr>
          <w:rFonts w:ascii="Times New Roman" w:hAnsi="Times New Roman" w:cs="Times New Roman"/>
          <w:b/>
          <w:sz w:val="40"/>
          <w:szCs w:val="24"/>
        </w:rPr>
        <w:t xml:space="preserve"> </w:t>
      </w:r>
    </w:p>
    <w:p w:rsidR="00A07A60" w:rsidRPr="0099657A" w:rsidRDefault="00C97573" w:rsidP="00421C99">
      <w:pPr>
        <w:pStyle w:val="PlainText"/>
        <w:spacing w:line="360" w:lineRule="auto"/>
        <w:jc w:val="center"/>
        <w:rPr>
          <w:rFonts w:ascii="Times New Roman" w:hAnsi="Times New Roman" w:cs="Times New Roman"/>
          <w:b/>
          <w:sz w:val="40"/>
          <w:szCs w:val="24"/>
        </w:rPr>
      </w:pPr>
      <w:r w:rsidRPr="0099657A">
        <w:rPr>
          <w:rFonts w:ascii="Times New Roman" w:hAnsi="Times New Roman" w:cs="Times New Roman"/>
          <w:b/>
          <w:sz w:val="40"/>
          <w:szCs w:val="24"/>
        </w:rPr>
        <w:t>VEIKLOS ATASKAITA</w:t>
      </w: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rsidP="005601FD">
      <w:pPr>
        <w:jc w:val="cente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Default="00A07A60">
      <w:pPr>
        <w:rPr>
          <w:rFonts w:ascii="Times New Roman" w:hAnsi="Times New Roman" w:cs="Times New Roman"/>
          <w:b/>
          <w:sz w:val="24"/>
          <w:szCs w:val="24"/>
        </w:rPr>
      </w:pPr>
    </w:p>
    <w:p w:rsidR="00A07A60" w:rsidRPr="0099657A" w:rsidRDefault="0099657A" w:rsidP="00A07A60">
      <w:pPr>
        <w:jc w:val="right"/>
        <w:rPr>
          <w:rFonts w:ascii="Times New Roman" w:hAnsi="Times New Roman" w:cs="Times New Roman"/>
          <w:i/>
          <w:sz w:val="24"/>
          <w:szCs w:val="24"/>
        </w:rPr>
      </w:pPr>
      <w:r w:rsidRPr="0099657A">
        <w:rPr>
          <w:rFonts w:ascii="Times New Roman" w:hAnsi="Times New Roman" w:cs="Times New Roman"/>
          <w:i/>
          <w:sz w:val="24"/>
          <w:szCs w:val="24"/>
        </w:rPr>
        <w:t xml:space="preserve">Parengė </w:t>
      </w:r>
      <w:r w:rsidR="005601FD">
        <w:rPr>
          <w:rFonts w:ascii="Times New Roman" w:hAnsi="Times New Roman" w:cs="Times New Roman"/>
          <w:i/>
          <w:sz w:val="24"/>
          <w:szCs w:val="24"/>
        </w:rPr>
        <w:t>Seimo o</w:t>
      </w:r>
      <w:r w:rsidR="00A07A60" w:rsidRPr="0099657A">
        <w:rPr>
          <w:rFonts w:ascii="Times New Roman" w:hAnsi="Times New Roman" w:cs="Times New Roman"/>
          <w:i/>
          <w:sz w:val="24"/>
          <w:szCs w:val="24"/>
        </w:rPr>
        <w:t>pozicijos lyderis Andrius Kubilius</w:t>
      </w:r>
    </w:p>
    <w:p w:rsidR="00C97573" w:rsidRPr="00421C99" w:rsidRDefault="00C97573" w:rsidP="00421C99">
      <w:pPr>
        <w:pStyle w:val="PlainText"/>
        <w:spacing w:line="360" w:lineRule="auto"/>
        <w:jc w:val="center"/>
        <w:rPr>
          <w:rFonts w:ascii="Times New Roman" w:hAnsi="Times New Roman" w:cs="Times New Roman"/>
          <w:b/>
          <w:sz w:val="24"/>
          <w:szCs w:val="24"/>
        </w:rPr>
      </w:pPr>
    </w:p>
    <w:p w:rsidR="00C97573" w:rsidRDefault="00A07A60" w:rsidP="00A07A60">
      <w:pPr>
        <w:pStyle w:val="PlainText"/>
        <w:spacing w:line="360" w:lineRule="auto"/>
        <w:jc w:val="center"/>
        <w:rPr>
          <w:rFonts w:ascii="Times New Roman" w:hAnsi="Times New Roman" w:cs="Times New Roman"/>
          <w:b/>
          <w:sz w:val="24"/>
          <w:szCs w:val="24"/>
        </w:rPr>
      </w:pPr>
      <w:r w:rsidRPr="00A07A60">
        <w:rPr>
          <w:rFonts w:ascii="Times New Roman" w:hAnsi="Times New Roman" w:cs="Times New Roman"/>
          <w:b/>
          <w:sz w:val="24"/>
          <w:szCs w:val="24"/>
        </w:rPr>
        <w:t>ĮŽANGA</w:t>
      </w:r>
    </w:p>
    <w:p w:rsidR="00A07A60" w:rsidRPr="00A07A60" w:rsidRDefault="00A07A60" w:rsidP="00A07A60">
      <w:pPr>
        <w:pStyle w:val="PlainText"/>
        <w:spacing w:line="360" w:lineRule="auto"/>
        <w:jc w:val="center"/>
        <w:rPr>
          <w:rFonts w:ascii="Times New Roman" w:hAnsi="Times New Roman" w:cs="Times New Roman"/>
          <w:b/>
          <w:sz w:val="24"/>
          <w:szCs w:val="24"/>
        </w:rPr>
      </w:pPr>
    </w:p>
    <w:p w:rsidR="00BF214A" w:rsidRPr="00421C99" w:rsidRDefault="00BF214A"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XVI Vyriausybė, vadovaujama premjero Algirdo Butkevičiaus, Seimui pateikė savo veiklos </w:t>
      </w:r>
      <w:r w:rsidR="00C03DB0" w:rsidRPr="00421C99">
        <w:rPr>
          <w:rFonts w:ascii="Times New Roman" w:hAnsi="Times New Roman" w:cs="Times New Roman"/>
          <w:sz w:val="24"/>
          <w:szCs w:val="24"/>
        </w:rPr>
        <w:t>2013 m.</w:t>
      </w:r>
      <w:r w:rsidRPr="00421C99">
        <w:rPr>
          <w:rFonts w:ascii="Times New Roman" w:hAnsi="Times New Roman" w:cs="Times New Roman"/>
          <w:sz w:val="24"/>
          <w:szCs w:val="24"/>
        </w:rPr>
        <w:t xml:space="preserve"> ataskaitą. Tai valstybės gyvenime svarbus dokumentas, parodantis</w:t>
      </w:r>
      <w:r w:rsidR="00C03DB0" w:rsidRPr="00421C99">
        <w:rPr>
          <w:rFonts w:ascii="Times New Roman" w:hAnsi="Times New Roman" w:cs="Times New Roman"/>
          <w:sz w:val="24"/>
          <w:szCs w:val="24"/>
        </w:rPr>
        <w:t>,</w:t>
      </w:r>
      <w:r w:rsidRPr="00421C99">
        <w:rPr>
          <w:rFonts w:ascii="Times New Roman" w:hAnsi="Times New Roman" w:cs="Times New Roman"/>
          <w:sz w:val="24"/>
          <w:szCs w:val="24"/>
        </w:rPr>
        <w:t xml:space="preserve"> ką per praeitus metus</w:t>
      </w:r>
      <w:r w:rsidR="005601FD">
        <w:rPr>
          <w:rFonts w:ascii="Times New Roman" w:hAnsi="Times New Roman" w:cs="Times New Roman"/>
          <w:sz w:val="24"/>
          <w:szCs w:val="24"/>
        </w:rPr>
        <w:t xml:space="preserve"> Vyriausybei pavyko pasiekti, kas</w:t>
      </w:r>
      <w:r w:rsidRPr="00421C99">
        <w:rPr>
          <w:rFonts w:ascii="Times New Roman" w:hAnsi="Times New Roman" w:cs="Times New Roman"/>
          <w:sz w:val="24"/>
          <w:szCs w:val="24"/>
        </w:rPr>
        <w:t xml:space="preserve"> nepavyko, kuo galima pasidžiaugti, dėl ko yra verta sunerimti.  </w:t>
      </w:r>
    </w:p>
    <w:p w:rsidR="00BF214A" w:rsidRPr="00421C99" w:rsidRDefault="00BF214A" w:rsidP="00421C99">
      <w:pPr>
        <w:pStyle w:val="PlainText"/>
        <w:spacing w:line="360" w:lineRule="auto"/>
        <w:jc w:val="both"/>
        <w:rPr>
          <w:rFonts w:ascii="Times New Roman" w:hAnsi="Times New Roman" w:cs="Times New Roman"/>
          <w:sz w:val="24"/>
          <w:szCs w:val="24"/>
        </w:rPr>
      </w:pPr>
    </w:p>
    <w:p w:rsidR="00BF214A" w:rsidRPr="00421C99" w:rsidRDefault="00BF214A"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Pateikta ataskaita yra pirmoji, kurią pateikė Algirdo Butkevičiaus Vyriausybė. Ataskaita yra vertinga, nes </w:t>
      </w:r>
      <w:r w:rsidR="008900E6" w:rsidRPr="00421C99">
        <w:rPr>
          <w:rFonts w:ascii="Times New Roman" w:hAnsi="Times New Roman" w:cs="Times New Roman"/>
          <w:sz w:val="24"/>
          <w:szCs w:val="24"/>
        </w:rPr>
        <w:t>atspindi šios Vyriausybės veiklos turinį ir komunikavimo stilių, kurių vieno nuo kito negalima atskirti, nes ši Vyriausybė ypač daug dėmesio skiria ne veiklai, o komunikavimui.</w:t>
      </w:r>
    </w:p>
    <w:p w:rsidR="008900E6" w:rsidRPr="00421C99" w:rsidRDefault="008900E6" w:rsidP="00421C99">
      <w:pPr>
        <w:pStyle w:val="PlainText"/>
        <w:spacing w:line="360" w:lineRule="auto"/>
        <w:jc w:val="both"/>
        <w:rPr>
          <w:rFonts w:ascii="Times New Roman" w:hAnsi="Times New Roman" w:cs="Times New Roman"/>
          <w:sz w:val="24"/>
          <w:szCs w:val="24"/>
        </w:rPr>
      </w:pPr>
    </w:p>
    <w:p w:rsidR="008900E6" w:rsidRPr="00421C99" w:rsidRDefault="008900E6"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Ataskaita pateikia pagrindinius darbus ir rezultatus, kuriais ši Vyriausybė didžiuojasi ir džiaugiasi, tačiau skaitant ataskaitą aiškėja, kad </w:t>
      </w:r>
      <w:r w:rsidR="00CE78BE" w:rsidRPr="00421C99">
        <w:rPr>
          <w:rFonts w:ascii="Times New Roman" w:hAnsi="Times New Roman" w:cs="Times New Roman"/>
          <w:sz w:val="24"/>
          <w:szCs w:val="24"/>
        </w:rPr>
        <w:t xml:space="preserve">tokia ataskaita mažai ką bendro turi su šios Vyriausybės </w:t>
      </w:r>
      <w:r w:rsidR="00CE78BE" w:rsidRPr="00421C99">
        <w:rPr>
          <w:rFonts w:ascii="Times New Roman" w:hAnsi="Times New Roman" w:cs="Times New Roman"/>
          <w:b/>
          <w:sz w:val="24"/>
          <w:szCs w:val="24"/>
        </w:rPr>
        <w:t xml:space="preserve">veiklos </w:t>
      </w:r>
      <w:r w:rsidR="00CE78BE" w:rsidRPr="00421C99">
        <w:rPr>
          <w:rFonts w:ascii="Times New Roman" w:hAnsi="Times New Roman" w:cs="Times New Roman"/>
          <w:sz w:val="24"/>
          <w:szCs w:val="24"/>
        </w:rPr>
        <w:t>ataskaita</w:t>
      </w:r>
      <w:r w:rsidR="00CE07A7" w:rsidRPr="00421C99">
        <w:rPr>
          <w:rFonts w:ascii="Times New Roman" w:hAnsi="Times New Roman" w:cs="Times New Roman"/>
          <w:sz w:val="24"/>
          <w:szCs w:val="24"/>
        </w:rPr>
        <w:t>, su atsiskaitymu už tikrąją veiklą</w:t>
      </w:r>
      <w:r w:rsidR="00CE78BE" w:rsidRPr="00421C99">
        <w:rPr>
          <w:rFonts w:ascii="Times New Roman" w:hAnsi="Times New Roman" w:cs="Times New Roman"/>
          <w:sz w:val="24"/>
          <w:szCs w:val="24"/>
        </w:rPr>
        <w:t xml:space="preserve">, nes labiausiai džiaugiamasi rezultatais, kurie  su </w:t>
      </w:r>
      <w:proofErr w:type="spellStart"/>
      <w:r w:rsidR="006838A4" w:rsidRPr="00421C99">
        <w:rPr>
          <w:rFonts w:ascii="Times New Roman" w:hAnsi="Times New Roman" w:cs="Times New Roman"/>
          <w:sz w:val="24"/>
          <w:szCs w:val="24"/>
        </w:rPr>
        <w:t>A.Butkevičiaus</w:t>
      </w:r>
      <w:proofErr w:type="spellEnd"/>
      <w:r w:rsidR="006838A4" w:rsidRPr="00421C99">
        <w:rPr>
          <w:rFonts w:ascii="Times New Roman" w:hAnsi="Times New Roman" w:cs="Times New Roman"/>
          <w:sz w:val="24"/>
          <w:szCs w:val="24"/>
        </w:rPr>
        <w:t xml:space="preserve"> </w:t>
      </w:r>
      <w:r w:rsidR="00CE78BE" w:rsidRPr="00421C99">
        <w:rPr>
          <w:rFonts w:ascii="Times New Roman" w:hAnsi="Times New Roman" w:cs="Times New Roman"/>
          <w:sz w:val="24"/>
          <w:szCs w:val="24"/>
        </w:rPr>
        <w:t xml:space="preserve"> Vyriausybės veikla neturi</w:t>
      </w:r>
      <w:r w:rsidR="006838A4" w:rsidRPr="00421C99">
        <w:rPr>
          <w:rFonts w:ascii="Times New Roman" w:hAnsi="Times New Roman" w:cs="Times New Roman"/>
          <w:sz w:val="24"/>
          <w:szCs w:val="24"/>
        </w:rPr>
        <w:t xml:space="preserve"> nieko bendro</w:t>
      </w:r>
      <w:r w:rsidR="00CE78BE" w:rsidRPr="00421C99">
        <w:rPr>
          <w:rFonts w:ascii="Times New Roman" w:hAnsi="Times New Roman" w:cs="Times New Roman"/>
          <w:sz w:val="24"/>
          <w:szCs w:val="24"/>
        </w:rPr>
        <w:t>.</w:t>
      </w:r>
    </w:p>
    <w:p w:rsidR="00CE78BE" w:rsidRPr="00421C99" w:rsidRDefault="00CE78BE" w:rsidP="00421C99">
      <w:pPr>
        <w:pStyle w:val="PlainText"/>
        <w:spacing w:line="360" w:lineRule="auto"/>
        <w:jc w:val="both"/>
        <w:rPr>
          <w:rFonts w:ascii="Times New Roman" w:hAnsi="Times New Roman" w:cs="Times New Roman"/>
          <w:sz w:val="24"/>
          <w:szCs w:val="24"/>
        </w:rPr>
      </w:pPr>
    </w:p>
    <w:p w:rsidR="004F294C" w:rsidRDefault="00CE78BE"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Štai ataskaitos pradžioje Vyriausybė ap</w:t>
      </w:r>
      <w:r w:rsidR="00E03D2C" w:rsidRPr="00421C99">
        <w:rPr>
          <w:rFonts w:ascii="Times New Roman" w:hAnsi="Times New Roman" w:cs="Times New Roman"/>
          <w:sz w:val="24"/>
          <w:szCs w:val="24"/>
        </w:rPr>
        <w:t>žvelgia tai, kas jai 2013 m.</w:t>
      </w:r>
      <w:r w:rsidRPr="00421C99">
        <w:rPr>
          <w:rFonts w:ascii="Times New Roman" w:hAnsi="Times New Roman" w:cs="Times New Roman"/>
          <w:sz w:val="24"/>
          <w:szCs w:val="24"/>
        </w:rPr>
        <w:t xml:space="preserve"> buvo svarbiausia ir p</w:t>
      </w:r>
      <w:r w:rsidR="006838A4" w:rsidRPr="00421C99">
        <w:rPr>
          <w:rFonts w:ascii="Times New Roman" w:hAnsi="Times New Roman" w:cs="Times New Roman"/>
          <w:sz w:val="24"/>
          <w:szCs w:val="24"/>
        </w:rPr>
        <w:t>ateikia tai, kas yra pavadinta „</w:t>
      </w:r>
      <w:r w:rsidRPr="00421C99">
        <w:rPr>
          <w:rFonts w:ascii="Times New Roman" w:hAnsi="Times New Roman" w:cs="Times New Roman"/>
          <w:sz w:val="24"/>
          <w:szCs w:val="24"/>
        </w:rPr>
        <w:t xml:space="preserve">Vyriausybės prioritetinių sričių apžvalga: esminiai pokyčiai ir iššūkiai“. Šiame skyriuje yra pateikiama tai, kuo Vyriausybė ypač didžiuojasi, atsiskaitydama Seimui už savo veiklą </w:t>
      </w:r>
      <w:r w:rsidR="006838A4" w:rsidRPr="00421C99">
        <w:rPr>
          <w:rFonts w:ascii="Times New Roman" w:hAnsi="Times New Roman" w:cs="Times New Roman"/>
          <w:sz w:val="24"/>
          <w:szCs w:val="24"/>
        </w:rPr>
        <w:t>2013 m</w:t>
      </w:r>
      <w:r w:rsidRPr="00421C99">
        <w:rPr>
          <w:rFonts w:ascii="Times New Roman" w:hAnsi="Times New Roman" w:cs="Times New Roman"/>
          <w:sz w:val="24"/>
          <w:szCs w:val="24"/>
        </w:rPr>
        <w:t xml:space="preserve">. </w:t>
      </w:r>
    </w:p>
    <w:p w:rsidR="005601FD" w:rsidRPr="00421C99" w:rsidRDefault="005601FD" w:rsidP="00421C99">
      <w:pPr>
        <w:pStyle w:val="PlainText"/>
        <w:spacing w:line="360" w:lineRule="auto"/>
        <w:jc w:val="both"/>
        <w:rPr>
          <w:rFonts w:ascii="Times New Roman" w:hAnsi="Times New Roman" w:cs="Times New Roman"/>
          <w:sz w:val="24"/>
          <w:szCs w:val="24"/>
        </w:rPr>
      </w:pPr>
    </w:p>
    <w:p w:rsidR="006838A4" w:rsidRPr="00421C99" w:rsidRDefault="006838A4"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b/>
          <w:sz w:val="24"/>
          <w:szCs w:val="24"/>
        </w:rPr>
        <w:t>Ką</w:t>
      </w:r>
      <w:r w:rsidR="00CE07A7" w:rsidRPr="00421C99">
        <w:rPr>
          <w:rFonts w:ascii="Times New Roman" w:hAnsi="Times New Roman" w:cs="Times New Roman"/>
          <w:b/>
          <w:sz w:val="24"/>
          <w:szCs w:val="24"/>
        </w:rPr>
        <w:t xml:space="preserve"> pagal ataskaitą</w:t>
      </w:r>
      <w:r w:rsidRPr="00421C99">
        <w:rPr>
          <w:rFonts w:ascii="Times New Roman" w:hAnsi="Times New Roman" w:cs="Times New Roman"/>
          <w:b/>
          <w:sz w:val="24"/>
          <w:szCs w:val="24"/>
        </w:rPr>
        <w:t>, tariamai,  pavyko pasie</w:t>
      </w:r>
      <w:r w:rsidR="00E03D2C" w:rsidRPr="00421C99">
        <w:rPr>
          <w:rFonts w:ascii="Times New Roman" w:hAnsi="Times New Roman" w:cs="Times New Roman"/>
          <w:b/>
          <w:sz w:val="24"/>
          <w:szCs w:val="24"/>
        </w:rPr>
        <w:t>kti šiai Vyriausybei 2013 m.</w:t>
      </w:r>
      <w:r w:rsidRPr="00421C99">
        <w:rPr>
          <w:rFonts w:ascii="Times New Roman" w:hAnsi="Times New Roman" w:cs="Times New Roman"/>
          <w:b/>
          <w:sz w:val="24"/>
          <w:szCs w:val="24"/>
        </w:rPr>
        <w:t>?</w:t>
      </w:r>
    </w:p>
    <w:p w:rsidR="006838A4" w:rsidRPr="00421C99" w:rsidRDefault="006838A4" w:rsidP="00421C99">
      <w:pPr>
        <w:pStyle w:val="PlainText"/>
        <w:spacing w:line="360" w:lineRule="auto"/>
        <w:jc w:val="both"/>
        <w:rPr>
          <w:rFonts w:ascii="Times New Roman" w:hAnsi="Times New Roman" w:cs="Times New Roman"/>
          <w:sz w:val="24"/>
          <w:szCs w:val="24"/>
        </w:rPr>
      </w:pPr>
    </w:p>
    <w:p w:rsidR="00C97573" w:rsidRPr="00421C99" w:rsidRDefault="004F294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Štai k</w:t>
      </w:r>
      <w:r w:rsidR="00C97573" w:rsidRPr="00421C99">
        <w:rPr>
          <w:rFonts w:ascii="Times New Roman" w:hAnsi="Times New Roman" w:cs="Times New Roman"/>
          <w:sz w:val="24"/>
          <w:szCs w:val="24"/>
        </w:rPr>
        <w:t>uo Vyriau</w:t>
      </w:r>
      <w:r w:rsidR="00CE07A7" w:rsidRPr="00421C99">
        <w:rPr>
          <w:rFonts w:ascii="Times New Roman" w:hAnsi="Times New Roman" w:cs="Times New Roman"/>
          <w:sz w:val="24"/>
          <w:szCs w:val="24"/>
        </w:rPr>
        <w:t>sybė</w:t>
      </w:r>
      <w:r w:rsidR="005601FD">
        <w:rPr>
          <w:rFonts w:ascii="Times New Roman" w:hAnsi="Times New Roman" w:cs="Times New Roman"/>
          <w:sz w:val="24"/>
          <w:szCs w:val="24"/>
        </w:rPr>
        <w:t xml:space="preserve"> giriasi savo a</w:t>
      </w:r>
      <w:r w:rsidR="00BF214A" w:rsidRPr="00421C99">
        <w:rPr>
          <w:rFonts w:ascii="Times New Roman" w:hAnsi="Times New Roman" w:cs="Times New Roman"/>
          <w:sz w:val="24"/>
          <w:szCs w:val="24"/>
        </w:rPr>
        <w:t xml:space="preserve">taskaitoje: </w:t>
      </w:r>
    </w:p>
    <w:p w:rsidR="00CE07A7" w:rsidRPr="00421C99" w:rsidRDefault="00CE07A7" w:rsidP="00421C99">
      <w:pPr>
        <w:pStyle w:val="PlainText"/>
        <w:spacing w:line="360" w:lineRule="auto"/>
        <w:jc w:val="both"/>
        <w:rPr>
          <w:rFonts w:ascii="Times New Roman" w:hAnsi="Times New Roman" w:cs="Times New Roman"/>
          <w:sz w:val="24"/>
          <w:szCs w:val="24"/>
        </w:rPr>
      </w:pPr>
    </w:p>
    <w:p w:rsidR="00C97573" w:rsidRPr="00421C99" w:rsidRDefault="00D411C6"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1. BVP augimas virš</w:t>
      </w:r>
      <w:r w:rsidR="00C97573" w:rsidRPr="00421C99">
        <w:rPr>
          <w:rFonts w:ascii="Times New Roman" w:hAnsi="Times New Roman" w:cs="Times New Roman"/>
          <w:sz w:val="24"/>
          <w:szCs w:val="24"/>
        </w:rPr>
        <w:t xml:space="preserve"> 3.3 </w:t>
      </w:r>
      <w:proofErr w:type="spellStart"/>
      <w:r w:rsidR="00C97573" w:rsidRPr="00421C99">
        <w:rPr>
          <w:rFonts w:ascii="Times New Roman" w:hAnsi="Times New Roman" w:cs="Times New Roman"/>
          <w:sz w:val="24"/>
          <w:szCs w:val="24"/>
        </w:rPr>
        <w:t>proc</w:t>
      </w:r>
      <w:proofErr w:type="spellEnd"/>
      <w:r w:rsidR="005601FD">
        <w:rPr>
          <w:rFonts w:ascii="Times New Roman" w:hAnsi="Times New Roman" w:cs="Times New Roman"/>
          <w:sz w:val="24"/>
          <w:szCs w:val="24"/>
        </w:rPr>
        <w:t>;</w:t>
      </w:r>
    </w:p>
    <w:p w:rsidR="00C97573" w:rsidRPr="00421C99" w:rsidRDefault="00BF214A"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2. Vyriausybe gerino verslo są</w:t>
      </w:r>
      <w:r w:rsidR="00755B25" w:rsidRPr="00421C99">
        <w:rPr>
          <w:rFonts w:ascii="Times New Roman" w:hAnsi="Times New Roman" w:cs="Times New Roman"/>
          <w:sz w:val="24"/>
          <w:szCs w:val="24"/>
        </w:rPr>
        <w:t>lygas („</w:t>
      </w:r>
      <w:proofErr w:type="spellStart"/>
      <w:r w:rsidR="00C97573" w:rsidRPr="00421C99">
        <w:rPr>
          <w:rFonts w:ascii="Times New Roman" w:hAnsi="Times New Roman" w:cs="Times New Roman"/>
          <w:sz w:val="24"/>
          <w:szCs w:val="24"/>
        </w:rPr>
        <w:t>Doing</w:t>
      </w:r>
      <w:proofErr w:type="spellEnd"/>
      <w:r w:rsidR="00C97573" w:rsidRPr="00421C99">
        <w:rPr>
          <w:rFonts w:ascii="Times New Roman" w:hAnsi="Times New Roman" w:cs="Times New Roman"/>
          <w:sz w:val="24"/>
          <w:szCs w:val="24"/>
        </w:rPr>
        <w:t xml:space="preserve"> </w:t>
      </w:r>
      <w:proofErr w:type="spellStart"/>
      <w:r w:rsidR="00C97573" w:rsidRPr="00421C99">
        <w:rPr>
          <w:rFonts w:ascii="Times New Roman" w:hAnsi="Times New Roman" w:cs="Times New Roman"/>
          <w:sz w:val="24"/>
          <w:szCs w:val="24"/>
        </w:rPr>
        <w:t>Busines</w:t>
      </w:r>
      <w:r w:rsidR="00755B25" w:rsidRPr="00421C99">
        <w:rPr>
          <w:rFonts w:ascii="Times New Roman" w:hAnsi="Times New Roman" w:cs="Times New Roman"/>
          <w:sz w:val="24"/>
          <w:szCs w:val="24"/>
        </w:rPr>
        <w:t>s</w:t>
      </w:r>
      <w:proofErr w:type="spellEnd"/>
      <w:r w:rsidR="00755B25" w:rsidRPr="00421C99">
        <w:rPr>
          <w:rFonts w:ascii="Times New Roman" w:hAnsi="Times New Roman" w:cs="Times New Roman"/>
          <w:sz w:val="24"/>
          <w:szCs w:val="24"/>
        </w:rPr>
        <w:t>“</w:t>
      </w:r>
      <w:r w:rsidR="00D32B75" w:rsidRPr="00421C99">
        <w:rPr>
          <w:rFonts w:ascii="Times New Roman" w:hAnsi="Times New Roman" w:cs="Times New Roman"/>
          <w:sz w:val="24"/>
          <w:szCs w:val="24"/>
        </w:rPr>
        <w:t xml:space="preserve"> reitinguose Lietuva pakilo iš</w:t>
      </w:r>
      <w:r w:rsidR="00755B25" w:rsidRPr="00421C99">
        <w:rPr>
          <w:rFonts w:ascii="Times New Roman" w:hAnsi="Times New Roman" w:cs="Times New Roman"/>
          <w:sz w:val="24"/>
          <w:szCs w:val="24"/>
        </w:rPr>
        <w:t xml:space="preserve"> 27 į</w:t>
      </w:r>
      <w:r w:rsidR="00C97573" w:rsidRPr="00421C99">
        <w:rPr>
          <w:rFonts w:ascii="Times New Roman" w:hAnsi="Times New Roman" w:cs="Times New Roman"/>
          <w:sz w:val="24"/>
          <w:szCs w:val="24"/>
        </w:rPr>
        <w:t xml:space="preserve"> 17 viet</w:t>
      </w:r>
      <w:r w:rsidR="00755B25" w:rsidRPr="00421C99">
        <w:rPr>
          <w:rFonts w:ascii="Times New Roman" w:hAnsi="Times New Roman" w:cs="Times New Roman"/>
          <w:sz w:val="24"/>
          <w:szCs w:val="24"/>
        </w:rPr>
        <w:t>ą</w:t>
      </w:r>
      <w:r w:rsidR="005601FD">
        <w:rPr>
          <w:rFonts w:ascii="Times New Roman" w:hAnsi="Times New Roman" w:cs="Times New Roman"/>
          <w:sz w:val="24"/>
          <w:szCs w:val="24"/>
        </w:rPr>
        <w:t>);</w:t>
      </w:r>
    </w:p>
    <w:p w:rsidR="00C97573" w:rsidRPr="00421C99" w:rsidRDefault="00C97573"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3.</w:t>
      </w:r>
      <w:r w:rsidR="004F294C" w:rsidRPr="00421C99">
        <w:rPr>
          <w:rFonts w:ascii="Times New Roman" w:hAnsi="Times New Roman" w:cs="Times New Roman"/>
          <w:sz w:val="24"/>
          <w:szCs w:val="24"/>
        </w:rPr>
        <w:t xml:space="preserve"> Lietuva tarp Baltijos valstybių</w:t>
      </w:r>
      <w:r w:rsidRPr="00421C99">
        <w:rPr>
          <w:rFonts w:ascii="Times New Roman" w:hAnsi="Times New Roman" w:cs="Times New Roman"/>
          <w:sz w:val="24"/>
          <w:szCs w:val="24"/>
        </w:rPr>
        <w:t xml:space="preserve"> yra patraukliausia investic</w:t>
      </w:r>
      <w:r w:rsidR="004F294C" w:rsidRPr="00421C99">
        <w:rPr>
          <w:rFonts w:ascii="Times New Roman" w:hAnsi="Times New Roman" w:cs="Times New Roman"/>
          <w:sz w:val="24"/>
          <w:szCs w:val="24"/>
        </w:rPr>
        <w:t>ijoms ir antra pagal patrauklumą tarp ES valstybių</w:t>
      </w:r>
      <w:r w:rsidR="005601FD">
        <w:rPr>
          <w:rFonts w:ascii="Times New Roman" w:hAnsi="Times New Roman" w:cs="Times New Roman"/>
          <w:sz w:val="24"/>
          <w:szCs w:val="24"/>
        </w:rPr>
        <w:t>;</w:t>
      </w:r>
    </w:p>
    <w:p w:rsidR="00C97573" w:rsidRPr="00421C99" w:rsidRDefault="004F294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4. Pagerėjo Lietuvos žmonių ekonominiai lūkesč</w:t>
      </w:r>
      <w:r w:rsidR="005601FD">
        <w:rPr>
          <w:rFonts w:ascii="Times New Roman" w:hAnsi="Times New Roman" w:cs="Times New Roman"/>
          <w:sz w:val="24"/>
          <w:szCs w:val="24"/>
        </w:rPr>
        <w:t>iai;</w:t>
      </w:r>
    </w:p>
    <w:p w:rsidR="00C97573" w:rsidRPr="00421C99" w:rsidRDefault="004F294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5. Didė</w:t>
      </w:r>
      <w:r w:rsidR="00BF214A" w:rsidRPr="00421C99">
        <w:rPr>
          <w:rFonts w:ascii="Times New Roman" w:hAnsi="Times New Roman" w:cs="Times New Roman"/>
          <w:sz w:val="24"/>
          <w:szCs w:val="24"/>
        </w:rPr>
        <w:t>jo vidutinis darb</w:t>
      </w:r>
      <w:r w:rsidRPr="00421C99">
        <w:rPr>
          <w:rFonts w:ascii="Times New Roman" w:hAnsi="Times New Roman" w:cs="Times New Roman"/>
          <w:sz w:val="24"/>
          <w:szCs w:val="24"/>
        </w:rPr>
        <w:t>o užmokestis (5 proc.). Tam didelę į</w:t>
      </w:r>
      <w:r w:rsidR="00C97573" w:rsidRPr="00421C99">
        <w:rPr>
          <w:rFonts w:ascii="Times New Roman" w:hAnsi="Times New Roman" w:cs="Times New Roman"/>
          <w:sz w:val="24"/>
          <w:szCs w:val="24"/>
        </w:rPr>
        <w:t>tak</w:t>
      </w:r>
      <w:r w:rsidRPr="00421C99">
        <w:rPr>
          <w:rFonts w:ascii="Times New Roman" w:hAnsi="Times New Roman" w:cs="Times New Roman"/>
          <w:sz w:val="24"/>
          <w:szCs w:val="24"/>
        </w:rPr>
        <w:t>ą turė</w:t>
      </w:r>
      <w:r w:rsidR="00C97573" w:rsidRPr="00421C99">
        <w:rPr>
          <w:rFonts w:ascii="Times New Roman" w:hAnsi="Times New Roman" w:cs="Times New Roman"/>
          <w:sz w:val="24"/>
          <w:szCs w:val="24"/>
        </w:rPr>
        <w:t xml:space="preserve">jo </w:t>
      </w:r>
      <w:r w:rsidRPr="00421C99">
        <w:rPr>
          <w:rFonts w:ascii="Times New Roman" w:hAnsi="Times New Roman" w:cs="Times New Roman"/>
          <w:sz w:val="24"/>
          <w:szCs w:val="24"/>
        </w:rPr>
        <w:t>Vyriausybės sprendimas dėl MMA padidinimo</w:t>
      </w:r>
      <w:r w:rsidR="005601FD">
        <w:rPr>
          <w:rFonts w:ascii="Times New Roman" w:hAnsi="Times New Roman" w:cs="Times New Roman"/>
          <w:sz w:val="24"/>
          <w:szCs w:val="24"/>
        </w:rPr>
        <w:t xml:space="preserve"> iki 1000 </w:t>
      </w:r>
      <w:proofErr w:type="spellStart"/>
      <w:r w:rsidR="005601FD">
        <w:rPr>
          <w:rFonts w:ascii="Times New Roman" w:hAnsi="Times New Roman" w:cs="Times New Roman"/>
          <w:sz w:val="24"/>
          <w:szCs w:val="24"/>
        </w:rPr>
        <w:t>lt</w:t>
      </w:r>
      <w:proofErr w:type="spellEnd"/>
      <w:r w:rsidR="005601FD">
        <w:rPr>
          <w:rFonts w:ascii="Times New Roman" w:hAnsi="Times New Roman" w:cs="Times New Roman"/>
          <w:sz w:val="24"/>
          <w:szCs w:val="24"/>
        </w:rPr>
        <w:t>;</w:t>
      </w:r>
    </w:p>
    <w:p w:rsidR="00C97573" w:rsidRPr="00421C99" w:rsidRDefault="00C97573"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6. M</w:t>
      </w:r>
      <w:r w:rsidR="004F294C" w:rsidRPr="00421C99">
        <w:rPr>
          <w:rFonts w:ascii="Times New Roman" w:hAnsi="Times New Roman" w:cs="Times New Roman"/>
          <w:sz w:val="24"/>
          <w:szCs w:val="24"/>
        </w:rPr>
        <w:t>ažėjo nedarbas. Mažė</w:t>
      </w:r>
      <w:r w:rsidR="00421C99">
        <w:rPr>
          <w:rFonts w:ascii="Times New Roman" w:hAnsi="Times New Roman" w:cs="Times New Roman"/>
          <w:sz w:val="24"/>
          <w:szCs w:val="24"/>
        </w:rPr>
        <w:t>jo jaunimo</w:t>
      </w:r>
      <w:r w:rsidR="005601FD">
        <w:rPr>
          <w:rFonts w:ascii="Times New Roman" w:hAnsi="Times New Roman" w:cs="Times New Roman"/>
          <w:sz w:val="24"/>
          <w:szCs w:val="24"/>
        </w:rPr>
        <w:t xml:space="preserve"> nedarbas;</w:t>
      </w:r>
    </w:p>
    <w:p w:rsidR="00C97573" w:rsidRPr="00421C99" w:rsidRDefault="004F294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7. Paspartė</w:t>
      </w:r>
      <w:r w:rsidR="005601FD">
        <w:rPr>
          <w:rFonts w:ascii="Times New Roman" w:hAnsi="Times New Roman" w:cs="Times New Roman"/>
          <w:sz w:val="24"/>
          <w:szCs w:val="24"/>
        </w:rPr>
        <w:t>jo renovacija;</w:t>
      </w:r>
    </w:p>
    <w:p w:rsidR="00C97573" w:rsidRPr="00421C99" w:rsidRDefault="004F294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8. Buvo gerai į</w:t>
      </w:r>
      <w:r w:rsidR="00C97573" w:rsidRPr="00421C99">
        <w:rPr>
          <w:rFonts w:ascii="Times New Roman" w:hAnsi="Times New Roman" w:cs="Times New Roman"/>
          <w:sz w:val="24"/>
          <w:szCs w:val="24"/>
        </w:rPr>
        <w:t>gyvendinami stra</w:t>
      </w:r>
      <w:r w:rsidR="005601FD">
        <w:rPr>
          <w:rFonts w:ascii="Times New Roman" w:hAnsi="Times New Roman" w:cs="Times New Roman"/>
          <w:sz w:val="24"/>
          <w:szCs w:val="24"/>
        </w:rPr>
        <w:t>teginiai energetikos projektai;</w:t>
      </w:r>
    </w:p>
    <w:p w:rsidR="00C97573" w:rsidRPr="00421C99" w:rsidRDefault="00C97573"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9. Inicijuoti nauji strate</w:t>
      </w:r>
      <w:r w:rsidR="004F294C" w:rsidRPr="00421C99">
        <w:rPr>
          <w:rFonts w:ascii="Times New Roman" w:hAnsi="Times New Roman" w:cs="Times New Roman"/>
          <w:sz w:val="24"/>
          <w:szCs w:val="24"/>
        </w:rPr>
        <w:t xml:space="preserve">giniai energetikos projektai </w:t>
      </w:r>
      <w:r w:rsidR="00755B25" w:rsidRPr="00421C99">
        <w:rPr>
          <w:rFonts w:ascii="Times New Roman" w:hAnsi="Times New Roman" w:cs="Times New Roman"/>
          <w:sz w:val="24"/>
          <w:szCs w:val="24"/>
        </w:rPr>
        <w:t>–</w:t>
      </w:r>
      <w:r w:rsidR="004F294C" w:rsidRPr="00421C99">
        <w:rPr>
          <w:rFonts w:ascii="Times New Roman" w:hAnsi="Times New Roman" w:cs="Times New Roman"/>
          <w:sz w:val="24"/>
          <w:szCs w:val="24"/>
        </w:rPr>
        <w:t xml:space="preserve"> įvertintos biomasės galimybė</w:t>
      </w:r>
      <w:r w:rsidR="00421C99">
        <w:rPr>
          <w:rFonts w:ascii="Times New Roman" w:hAnsi="Times New Roman" w:cs="Times New Roman"/>
          <w:sz w:val="24"/>
          <w:szCs w:val="24"/>
        </w:rPr>
        <w:t>s</w:t>
      </w:r>
      <w:r w:rsidR="005601FD">
        <w:rPr>
          <w:rFonts w:ascii="Times New Roman" w:hAnsi="Times New Roman" w:cs="Times New Roman"/>
          <w:sz w:val="24"/>
          <w:szCs w:val="24"/>
        </w:rPr>
        <w:t>;</w:t>
      </w:r>
    </w:p>
    <w:p w:rsidR="00C97573" w:rsidRPr="00421C99" w:rsidRDefault="004F294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lastRenderedPageBreak/>
        <w:t>10. Pasirengta tolesnei šilumos ū</w:t>
      </w:r>
      <w:r w:rsidR="005601FD">
        <w:rPr>
          <w:rFonts w:ascii="Times New Roman" w:hAnsi="Times New Roman" w:cs="Times New Roman"/>
          <w:sz w:val="24"/>
          <w:szCs w:val="24"/>
        </w:rPr>
        <w:t>kio pertvarkai;</w:t>
      </w:r>
    </w:p>
    <w:p w:rsidR="00C97573" w:rsidRPr="00421C99" w:rsidRDefault="004F294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11. Pavyko sumažinti emigraciją</w:t>
      </w:r>
      <w:r w:rsidR="005601FD">
        <w:rPr>
          <w:rFonts w:ascii="Times New Roman" w:hAnsi="Times New Roman" w:cs="Times New Roman"/>
          <w:sz w:val="24"/>
          <w:szCs w:val="24"/>
        </w:rPr>
        <w:t>;</w:t>
      </w:r>
    </w:p>
    <w:p w:rsidR="00C97573" w:rsidRPr="00421C99" w:rsidRDefault="00C97573"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12</w:t>
      </w:r>
      <w:r w:rsidR="004F294C" w:rsidRPr="00421C99">
        <w:rPr>
          <w:rFonts w:ascii="Times New Roman" w:hAnsi="Times New Roman" w:cs="Times New Roman"/>
          <w:sz w:val="24"/>
          <w:szCs w:val="24"/>
        </w:rPr>
        <w:t>. Mažėja socialines paramos gavėjų</w:t>
      </w:r>
      <w:r w:rsidR="005601FD">
        <w:rPr>
          <w:rFonts w:ascii="Times New Roman" w:hAnsi="Times New Roman" w:cs="Times New Roman"/>
          <w:sz w:val="24"/>
          <w:szCs w:val="24"/>
        </w:rPr>
        <w:t>;</w:t>
      </w:r>
    </w:p>
    <w:p w:rsidR="00C97573" w:rsidRPr="00421C99" w:rsidRDefault="00755B25"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13. Pavyzdingai pirmininkauta</w:t>
      </w:r>
      <w:r w:rsidR="00C97573" w:rsidRPr="00421C99">
        <w:rPr>
          <w:rFonts w:ascii="Times New Roman" w:hAnsi="Times New Roman" w:cs="Times New Roman"/>
          <w:sz w:val="24"/>
          <w:szCs w:val="24"/>
        </w:rPr>
        <w:t xml:space="preserve"> ES.</w:t>
      </w:r>
    </w:p>
    <w:p w:rsidR="004F294C" w:rsidRPr="00421C99" w:rsidRDefault="004F294C" w:rsidP="00421C99">
      <w:pPr>
        <w:pStyle w:val="PlainText"/>
        <w:spacing w:line="360" w:lineRule="auto"/>
        <w:jc w:val="both"/>
        <w:rPr>
          <w:rFonts w:ascii="Times New Roman" w:hAnsi="Times New Roman" w:cs="Times New Roman"/>
          <w:sz w:val="24"/>
          <w:szCs w:val="24"/>
        </w:rPr>
      </w:pPr>
    </w:p>
    <w:p w:rsidR="004F294C" w:rsidRPr="00421C99" w:rsidRDefault="004F294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Toks Vyriausybės pateikiamas sau prisiskiriamų „nuopelnų“ sąrašas yra</w:t>
      </w:r>
      <w:r w:rsidR="00E37D92" w:rsidRPr="00421C99">
        <w:rPr>
          <w:rFonts w:ascii="Times New Roman" w:hAnsi="Times New Roman" w:cs="Times New Roman"/>
          <w:sz w:val="24"/>
          <w:szCs w:val="24"/>
        </w:rPr>
        <w:t xml:space="preserve"> mažų mažiausiai stebinantis, nėra </w:t>
      </w:r>
      <w:r w:rsidRPr="00421C99">
        <w:rPr>
          <w:rFonts w:ascii="Times New Roman" w:hAnsi="Times New Roman" w:cs="Times New Roman"/>
          <w:sz w:val="24"/>
          <w:szCs w:val="24"/>
        </w:rPr>
        <w:t xml:space="preserve">tikslus, ir daugelyje vietų neturintis nieko bendro </w:t>
      </w:r>
      <w:r w:rsidR="00E37D92" w:rsidRPr="00421C99">
        <w:rPr>
          <w:rFonts w:ascii="Times New Roman" w:hAnsi="Times New Roman" w:cs="Times New Roman"/>
          <w:sz w:val="24"/>
          <w:szCs w:val="24"/>
        </w:rPr>
        <w:t>su XVI</w:t>
      </w:r>
      <w:r w:rsidR="006838A4" w:rsidRPr="00421C99">
        <w:rPr>
          <w:rFonts w:ascii="Times New Roman" w:hAnsi="Times New Roman" w:cs="Times New Roman"/>
          <w:sz w:val="24"/>
          <w:szCs w:val="24"/>
        </w:rPr>
        <w:t xml:space="preserve"> </w:t>
      </w:r>
      <w:proofErr w:type="spellStart"/>
      <w:r w:rsidR="006838A4" w:rsidRPr="00421C99">
        <w:rPr>
          <w:rFonts w:ascii="Times New Roman" w:hAnsi="Times New Roman" w:cs="Times New Roman"/>
          <w:sz w:val="24"/>
          <w:szCs w:val="24"/>
        </w:rPr>
        <w:t>A.Butkevičiaus</w:t>
      </w:r>
      <w:proofErr w:type="spellEnd"/>
      <w:r w:rsidR="00E37D92" w:rsidRPr="00421C99">
        <w:rPr>
          <w:rFonts w:ascii="Times New Roman" w:hAnsi="Times New Roman" w:cs="Times New Roman"/>
          <w:sz w:val="24"/>
          <w:szCs w:val="24"/>
        </w:rPr>
        <w:t xml:space="preserve"> Vyriausybės veikla.</w:t>
      </w:r>
      <w:r w:rsidR="00803C2E" w:rsidRPr="00421C99">
        <w:rPr>
          <w:rFonts w:ascii="Times New Roman" w:hAnsi="Times New Roman" w:cs="Times New Roman"/>
          <w:sz w:val="24"/>
          <w:szCs w:val="24"/>
        </w:rPr>
        <w:t xml:space="preserve"> </w:t>
      </w:r>
    </w:p>
    <w:p w:rsidR="006838A4" w:rsidRPr="00421C99" w:rsidRDefault="006838A4" w:rsidP="00421C99">
      <w:pPr>
        <w:pStyle w:val="PlainText"/>
        <w:spacing w:line="360" w:lineRule="auto"/>
        <w:jc w:val="both"/>
        <w:rPr>
          <w:rFonts w:ascii="Times New Roman" w:hAnsi="Times New Roman" w:cs="Times New Roman"/>
          <w:sz w:val="24"/>
          <w:szCs w:val="24"/>
        </w:rPr>
      </w:pPr>
    </w:p>
    <w:p w:rsidR="007032A5" w:rsidRPr="00421C99" w:rsidRDefault="00803C2E"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Matydami </w:t>
      </w:r>
      <w:proofErr w:type="spellStart"/>
      <w:r w:rsidR="006838A4" w:rsidRPr="00421C99">
        <w:rPr>
          <w:rFonts w:ascii="Times New Roman" w:hAnsi="Times New Roman" w:cs="Times New Roman"/>
          <w:sz w:val="24"/>
          <w:szCs w:val="24"/>
        </w:rPr>
        <w:t>A.Butkevičiaus</w:t>
      </w:r>
      <w:proofErr w:type="spellEnd"/>
      <w:r w:rsidR="006838A4" w:rsidRPr="00421C99">
        <w:rPr>
          <w:rFonts w:ascii="Times New Roman" w:hAnsi="Times New Roman" w:cs="Times New Roman"/>
          <w:sz w:val="24"/>
          <w:szCs w:val="24"/>
        </w:rPr>
        <w:t xml:space="preserve"> </w:t>
      </w:r>
      <w:r w:rsidRPr="00421C99">
        <w:rPr>
          <w:rFonts w:ascii="Times New Roman" w:hAnsi="Times New Roman" w:cs="Times New Roman"/>
          <w:sz w:val="24"/>
          <w:szCs w:val="24"/>
        </w:rPr>
        <w:t xml:space="preserve">Vyriausybės </w:t>
      </w:r>
      <w:proofErr w:type="spellStart"/>
      <w:r w:rsidRPr="00421C99">
        <w:rPr>
          <w:rFonts w:ascii="Times New Roman" w:hAnsi="Times New Roman" w:cs="Times New Roman"/>
          <w:sz w:val="24"/>
          <w:szCs w:val="24"/>
        </w:rPr>
        <w:t>nesugebėjimą</w:t>
      </w:r>
      <w:proofErr w:type="spellEnd"/>
      <w:r w:rsidRPr="00421C99">
        <w:rPr>
          <w:rFonts w:ascii="Times New Roman" w:hAnsi="Times New Roman" w:cs="Times New Roman"/>
          <w:sz w:val="24"/>
          <w:szCs w:val="24"/>
        </w:rPr>
        <w:t xml:space="preserve"> pateikti objektyvi</w:t>
      </w:r>
      <w:r w:rsidR="006838A4" w:rsidRPr="00421C99">
        <w:rPr>
          <w:rFonts w:ascii="Times New Roman" w:hAnsi="Times New Roman" w:cs="Times New Roman"/>
          <w:sz w:val="24"/>
          <w:szCs w:val="24"/>
        </w:rPr>
        <w:t>os</w:t>
      </w:r>
      <w:r w:rsidRPr="00421C99">
        <w:rPr>
          <w:rFonts w:ascii="Times New Roman" w:hAnsi="Times New Roman" w:cs="Times New Roman"/>
          <w:sz w:val="24"/>
          <w:szCs w:val="24"/>
        </w:rPr>
        <w:t xml:space="preserve"> ataskait</w:t>
      </w:r>
      <w:r w:rsidR="006838A4" w:rsidRPr="00421C99">
        <w:rPr>
          <w:rFonts w:ascii="Times New Roman" w:hAnsi="Times New Roman" w:cs="Times New Roman"/>
          <w:sz w:val="24"/>
          <w:szCs w:val="24"/>
        </w:rPr>
        <w:t>os</w:t>
      </w:r>
      <w:r w:rsidRPr="00421C99">
        <w:rPr>
          <w:rFonts w:ascii="Times New Roman" w:hAnsi="Times New Roman" w:cs="Times New Roman"/>
          <w:sz w:val="24"/>
          <w:szCs w:val="24"/>
        </w:rPr>
        <w:t xml:space="preserve"> apie savo veiklą, mes pateikiame „tikrąją“ ataskaitą apie Vyriausybės nuveiktus darbus, padarytas klaidas, pasiektus rezultatus ir tai, kas gero Lietuvoje įvyko</w:t>
      </w:r>
      <w:r w:rsidR="00E37FF9" w:rsidRPr="00421C99">
        <w:rPr>
          <w:rFonts w:ascii="Times New Roman" w:hAnsi="Times New Roman" w:cs="Times New Roman"/>
          <w:sz w:val="24"/>
          <w:szCs w:val="24"/>
        </w:rPr>
        <w:t xml:space="preserve"> per 2013 m</w:t>
      </w:r>
      <w:r w:rsidR="007032A5" w:rsidRPr="00421C99">
        <w:rPr>
          <w:rFonts w:ascii="Times New Roman" w:hAnsi="Times New Roman" w:cs="Times New Roman"/>
          <w:sz w:val="24"/>
          <w:szCs w:val="24"/>
        </w:rPr>
        <w:t>.</w:t>
      </w:r>
      <w:r w:rsidRPr="00421C99">
        <w:rPr>
          <w:rFonts w:ascii="Times New Roman" w:hAnsi="Times New Roman" w:cs="Times New Roman"/>
          <w:sz w:val="24"/>
          <w:szCs w:val="24"/>
        </w:rPr>
        <w:t>, nepaisant šios Vyriausybės pastangų.</w:t>
      </w:r>
      <w:r w:rsidR="00E03699" w:rsidRPr="00421C99">
        <w:rPr>
          <w:rFonts w:ascii="Times New Roman" w:hAnsi="Times New Roman" w:cs="Times New Roman"/>
          <w:sz w:val="24"/>
          <w:szCs w:val="24"/>
        </w:rPr>
        <w:t xml:space="preserve"> </w:t>
      </w:r>
    </w:p>
    <w:p w:rsidR="007032A5" w:rsidRPr="00421C99" w:rsidRDefault="007032A5" w:rsidP="00421C99">
      <w:pPr>
        <w:pStyle w:val="PlainText"/>
        <w:spacing w:line="360" w:lineRule="auto"/>
        <w:jc w:val="both"/>
        <w:rPr>
          <w:rFonts w:ascii="Times New Roman" w:hAnsi="Times New Roman" w:cs="Times New Roman"/>
          <w:sz w:val="24"/>
          <w:szCs w:val="24"/>
        </w:rPr>
      </w:pPr>
    </w:p>
    <w:p w:rsidR="00CE07A7" w:rsidRPr="00421C99" w:rsidRDefault="00E03699"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Dėstydami „tikrąją“ ataskaitą apie XVI Vyriausybės pasiekimus visų pirma remiamės pačios Vyriausybės įvardintais svarbiausiais rezultatais, bet apie juos sakome tiesą, o ne vien tik savigyrą.</w:t>
      </w:r>
      <w:r w:rsidR="00803C2E" w:rsidRPr="00421C99">
        <w:rPr>
          <w:rFonts w:ascii="Times New Roman" w:hAnsi="Times New Roman" w:cs="Times New Roman"/>
          <w:sz w:val="24"/>
          <w:szCs w:val="24"/>
        </w:rPr>
        <w:t xml:space="preserve"> Šiuo tekstu siekiame parodyti, kaip turėtų atrodyti sąžininga ir objektyvi tokio</w:t>
      </w:r>
      <w:r w:rsidRPr="00421C99">
        <w:rPr>
          <w:rFonts w:ascii="Times New Roman" w:hAnsi="Times New Roman" w:cs="Times New Roman"/>
          <w:sz w:val="24"/>
          <w:szCs w:val="24"/>
        </w:rPr>
        <w:t>s Vyriausybės veiklos ataskaita, jeigu Vyriausybei tikrai rūpėtų kiekvienas žmogus, kuriam tiesa yra ne mažiau svarbi nei darbas, atlyginimas ar pensija.</w:t>
      </w:r>
    </w:p>
    <w:p w:rsidR="0099657A" w:rsidRDefault="0099657A">
      <w:pPr>
        <w:rPr>
          <w:rFonts w:ascii="Times New Roman" w:hAnsi="Times New Roman" w:cs="Times New Roman"/>
          <w:b/>
          <w:sz w:val="24"/>
          <w:szCs w:val="24"/>
        </w:rPr>
      </w:pPr>
      <w:r>
        <w:rPr>
          <w:rFonts w:ascii="Times New Roman" w:hAnsi="Times New Roman" w:cs="Times New Roman"/>
          <w:b/>
          <w:sz w:val="24"/>
          <w:szCs w:val="24"/>
        </w:rPr>
        <w:br w:type="page"/>
      </w:r>
    </w:p>
    <w:p w:rsidR="0099657A" w:rsidRDefault="0099657A" w:rsidP="0099657A">
      <w:pPr>
        <w:pStyle w:val="PlainText"/>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„TIKROJI“ LIETUVOS RESPUBLIKOS VYRIAUSYBĖS </w:t>
      </w:r>
      <w:r>
        <w:rPr>
          <w:rFonts w:ascii="Times New Roman" w:hAnsi="Times New Roman" w:cs="Times New Roman"/>
          <w:b/>
          <w:sz w:val="24"/>
          <w:szCs w:val="24"/>
          <w:lang w:val="en-US"/>
        </w:rPr>
        <w:t xml:space="preserve">2013 M. </w:t>
      </w:r>
    </w:p>
    <w:p w:rsidR="00803C2E" w:rsidRDefault="0099657A" w:rsidP="0099657A">
      <w:pPr>
        <w:pStyle w:val="PlainText"/>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VEIKLOS ATASKAITA</w:t>
      </w:r>
    </w:p>
    <w:p w:rsidR="0099657A" w:rsidRPr="0099657A" w:rsidRDefault="0099657A" w:rsidP="0099657A">
      <w:pPr>
        <w:pStyle w:val="PlainText"/>
        <w:spacing w:line="360" w:lineRule="auto"/>
        <w:jc w:val="center"/>
        <w:rPr>
          <w:rFonts w:ascii="Times New Roman" w:hAnsi="Times New Roman" w:cs="Times New Roman"/>
          <w:b/>
          <w:sz w:val="24"/>
          <w:szCs w:val="24"/>
          <w:lang w:val="en-US"/>
        </w:rPr>
      </w:pPr>
    </w:p>
    <w:p w:rsidR="005C63E8" w:rsidRPr="00421C99" w:rsidRDefault="00B9179E"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b/>
          <w:sz w:val="24"/>
          <w:szCs w:val="24"/>
        </w:rPr>
        <w:t xml:space="preserve">1. </w:t>
      </w:r>
      <w:r w:rsidR="00803C2E" w:rsidRPr="00421C99">
        <w:rPr>
          <w:rFonts w:ascii="Times New Roman" w:hAnsi="Times New Roman" w:cs="Times New Roman"/>
          <w:b/>
          <w:sz w:val="24"/>
          <w:szCs w:val="24"/>
        </w:rPr>
        <w:t>Nuo</w:t>
      </w:r>
      <w:r w:rsidR="000E6136" w:rsidRPr="00421C99">
        <w:rPr>
          <w:rFonts w:ascii="Times New Roman" w:hAnsi="Times New Roman" w:cs="Times New Roman"/>
          <w:b/>
          <w:sz w:val="24"/>
          <w:szCs w:val="24"/>
        </w:rPr>
        <w:t>širdi padėka XV Vyriausybei už suvaldytą krizę ir sukurtą pagrindą ekonomikos atsigavimui.</w:t>
      </w:r>
    </w:p>
    <w:p w:rsidR="000E6136" w:rsidRPr="00421C99" w:rsidRDefault="000E6136"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XVI Vyriausybė nuoširdžiai dėkoja XV Vyriausybei už tai, kad 2008</w:t>
      </w:r>
      <w:r w:rsidR="004301AE" w:rsidRPr="00421C99">
        <w:rPr>
          <w:rFonts w:ascii="Times New Roman" w:hAnsi="Times New Roman" w:cs="Times New Roman"/>
          <w:sz w:val="24"/>
          <w:szCs w:val="24"/>
        </w:rPr>
        <w:t>-2012</w:t>
      </w:r>
      <w:r w:rsidR="00E03D2C" w:rsidRPr="00421C99">
        <w:rPr>
          <w:rFonts w:ascii="Times New Roman" w:hAnsi="Times New Roman" w:cs="Times New Roman"/>
          <w:sz w:val="24"/>
          <w:szCs w:val="24"/>
        </w:rPr>
        <w:t xml:space="preserve"> m.</w:t>
      </w:r>
      <w:r w:rsidRPr="00421C99">
        <w:rPr>
          <w:rFonts w:ascii="Times New Roman" w:hAnsi="Times New Roman" w:cs="Times New Roman"/>
          <w:sz w:val="24"/>
          <w:szCs w:val="24"/>
        </w:rPr>
        <w:t xml:space="preserve"> buvo imtasi tinkamų  priemonių ekonominės ir finansinės krizės suvaldymui. Tai leido Lietuvai krizę įveikti efektyviausiai tarp visų Baltijos valstybių. Kaip rodo ekonomikos eksperto </w:t>
      </w:r>
      <w:proofErr w:type="spellStart"/>
      <w:r w:rsidRPr="00421C99">
        <w:rPr>
          <w:rFonts w:ascii="Times New Roman" w:hAnsi="Times New Roman" w:cs="Times New Roman"/>
          <w:sz w:val="24"/>
          <w:szCs w:val="24"/>
        </w:rPr>
        <w:t>G.Nausėdos</w:t>
      </w:r>
      <w:proofErr w:type="spellEnd"/>
      <w:r w:rsidRPr="00421C99">
        <w:rPr>
          <w:rFonts w:ascii="Times New Roman" w:hAnsi="Times New Roman" w:cs="Times New Roman"/>
          <w:sz w:val="24"/>
          <w:szCs w:val="24"/>
        </w:rPr>
        <w:t xml:space="preserve"> (</w:t>
      </w:r>
      <w:proofErr w:type="spellStart"/>
      <w:r w:rsidR="007032A5" w:rsidRPr="00421C99">
        <w:rPr>
          <w:rFonts w:ascii="Times New Roman" w:hAnsi="Times New Roman" w:cs="Times New Roman"/>
          <w:sz w:val="24"/>
          <w:szCs w:val="24"/>
        </w:rPr>
        <w:t>G.Nausėda</w:t>
      </w:r>
      <w:proofErr w:type="spellEnd"/>
      <w:r w:rsidR="007032A5" w:rsidRPr="00421C99">
        <w:rPr>
          <w:rFonts w:ascii="Times New Roman" w:hAnsi="Times New Roman" w:cs="Times New Roman"/>
          <w:sz w:val="24"/>
          <w:szCs w:val="24"/>
        </w:rPr>
        <w:t xml:space="preserve">. </w:t>
      </w:r>
      <w:r w:rsidR="00E03D2C" w:rsidRPr="00421C99">
        <w:rPr>
          <w:rFonts w:ascii="Times New Roman" w:hAnsi="Times New Roman" w:cs="Times New Roman"/>
          <w:sz w:val="24"/>
          <w:szCs w:val="24"/>
        </w:rPr>
        <w:t>„</w:t>
      </w:r>
      <w:r w:rsidR="007032A5" w:rsidRPr="00421C99">
        <w:rPr>
          <w:rFonts w:ascii="Times New Roman" w:hAnsi="Times New Roman" w:cs="Times New Roman"/>
          <w:bCs/>
          <w:color w:val="16387C"/>
          <w:sz w:val="24"/>
          <w:szCs w:val="24"/>
          <w:shd w:val="clear" w:color="auto" w:fill="FFFFFF"/>
        </w:rPr>
        <w:t>Lietuvos ekonomika: krizės pamokos išmoktos (DELFI)</w:t>
      </w:r>
      <w:r w:rsidR="00E03D2C" w:rsidRPr="00421C99">
        <w:rPr>
          <w:rFonts w:ascii="Times New Roman" w:hAnsi="Times New Roman" w:cs="Times New Roman"/>
          <w:bCs/>
          <w:color w:val="16387C"/>
          <w:sz w:val="24"/>
          <w:szCs w:val="24"/>
          <w:shd w:val="clear" w:color="auto" w:fill="FFFFFF"/>
        </w:rPr>
        <w:t>“</w:t>
      </w:r>
      <w:r w:rsidRPr="00421C99">
        <w:rPr>
          <w:rFonts w:ascii="Times New Roman" w:hAnsi="Times New Roman" w:cs="Times New Roman"/>
          <w:sz w:val="24"/>
          <w:szCs w:val="24"/>
        </w:rPr>
        <w:t>) pateikiami duomenys (1 pav.</w:t>
      </w:r>
      <w:r w:rsidR="00E03D2C" w:rsidRPr="00421C99">
        <w:rPr>
          <w:rFonts w:ascii="Times New Roman" w:hAnsi="Times New Roman" w:cs="Times New Roman"/>
          <w:sz w:val="24"/>
          <w:szCs w:val="24"/>
        </w:rPr>
        <w:t>) – Lietuva per 2008-2012 m.</w:t>
      </w:r>
      <w:r w:rsidRPr="00421C99">
        <w:rPr>
          <w:rFonts w:ascii="Times New Roman" w:hAnsi="Times New Roman" w:cs="Times New Roman"/>
          <w:sz w:val="24"/>
          <w:szCs w:val="24"/>
        </w:rPr>
        <w:t xml:space="preserve"> krizę tarp Baltijos valstybių prarado mažiausią BVP dalį, greičiausiai atsigavo po krizės ir iki krizės turėtą BVP lygį pasiekia anksčiau nei mūsų kaimynės Estija ar Latvija.</w:t>
      </w:r>
      <w:r w:rsidR="002E5BDE" w:rsidRPr="00421C99">
        <w:rPr>
          <w:rFonts w:ascii="Times New Roman" w:hAnsi="Times New Roman" w:cs="Times New Roman"/>
          <w:sz w:val="24"/>
          <w:szCs w:val="24"/>
        </w:rPr>
        <w:t xml:space="preserve"> To pozityvios pasekmės lėmė ir pagrindines</w:t>
      </w:r>
      <w:r w:rsidR="00E32CC5" w:rsidRPr="00421C99">
        <w:rPr>
          <w:rFonts w:ascii="Times New Roman" w:hAnsi="Times New Roman" w:cs="Times New Roman"/>
          <w:sz w:val="24"/>
          <w:szCs w:val="24"/>
        </w:rPr>
        <w:t xml:space="preserve"> teigiamas </w:t>
      </w:r>
      <w:r w:rsidR="002E5BDE" w:rsidRPr="00421C99">
        <w:rPr>
          <w:rFonts w:ascii="Times New Roman" w:hAnsi="Times New Roman" w:cs="Times New Roman"/>
          <w:sz w:val="24"/>
          <w:szCs w:val="24"/>
        </w:rPr>
        <w:t>ek</w:t>
      </w:r>
      <w:r w:rsidR="00E03D2C" w:rsidRPr="00421C99">
        <w:rPr>
          <w:rFonts w:ascii="Times New Roman" w:hAnsi="Times New Roman" w:cs="Times New Roman"/>
          <w:sz w:val="24"/>
          <w:szCs w:val="24"/>
        </w:rPr>
        <w:t>onomines tendencijas 2013 m</w:t>
      </w:r>
      <w:r w:rsidR="002E5BDE" w:rsidRPr="00421C99">
        <w:rPr>
          <w:rFonts w:ascii="Times New Roman" w:hAnsi="Times New Roman" w:cs="Times New Roman"/>
          <w:sz w:val="24"/>
          <w:szCs w:val="24"/>
        </w:rPr>
        <w:t>.</w:t>
      </w:r>
    </w:p>
    <w:p w:rsidR="00826F30" w:rsidRPr="00421C99" w:rsidRDefault="00826F30" w:rsidP="00421C99">
      <w:pPr>
        <w:pStyle w:val="PlainText"/>
        <w:spacing w:line="360" w:lineRule="auto"/>
        <w:jc w:val="both"/>
        <w:rPr>
          <w:rFonts w:ascii="Times New Roman" w:hAnsi="Times New Roman" w:cs="Times New Roman"/>
          <w:sz w:val="24"/>
          <w:szCs w:val="24"/>
        </w:rPr>
      </w:pPr>
    </w:p>
    <w:p w:rsidR="00826F30" w:rsidRPr="00421C99" w:rsidRDefault="00826F30" w:rsidP="00421C99">
      <w:pPr>
        <w:pStyle w:val="PlainText"/>
        <w:spacing w:line="360" w:lineRule="auto"/>
        <w:jc w:val="both"/>
        <w:rPr>
          <w:rFonts w:ascii="Times New Roman" w:hAnsi="Times New Roman" w:cs="Times New Roman"/>
          <w:sz w:val="24"/>
          <w:szCs w:val="24"/>
        </w:rPr>
      </w:pPr>
    </w:p>
    <w:p w:rsidR="00B00DEE" w:rsidRPr="00421C99" w:rsidRDefault="00223BA8"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noProof/>
          <w:sz w:val="24"/>
          <w:szCs w:val="24"/>
          <w:lang w:eastAsia="lt-LT"/>
        </w:rPr>
        <w:drawing>
          <wp:inline distT="0" distB="0" distL="0" distR="0" wp14:anchorId="4DE42BDD" wp14:editId="7F5C8E14">
            <wp:extent cx="4572000" cy="3718560"/>
            <wp:effectExtent l="0" t="0" r="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6F30" w:rsidRPr="00421C99" w:rsidRDefault="00826F30" w:rsidP="00421C99">
      <w:pPr>
        <w:pStyle w:val="PlainText"/>
        <w:spacing w:line="360" w:lineRule="auto"/>
        <w:jc w:val="both"/>
        <w:rPr>
          <w:rFonts w:ascii="Times New Roman" w:hAnsi="Times New Roman" w:cs="Times New Roman"/>
          <w:sz w:val="24"/>
          <w:szCs w:val="24"/>
        </w:rPr>
      </w:pPr>
    </w:p>
    <w:p w:rsidR="00826F30" w:rsidRPr="00421C99" w:rsidRDefault="00E03D2C" w:rsidP="00421C99">
      <w:pPr>
        <w:pStyle w:val="PlainText"/>
        <w:spacing w:line="360" w:lineRule="auto"/>
        <w:ind w:left="720" w:firstLine="576"/>
        <w:jc w:val="both"/>
        <w:rPr>
          <w:rFonts w:ascii="Times New Roman" w:hAnsi="Times New Roman" w:cs="Times New Roman"/>
          <w:sz w:val="24"/>
          <w:szCs w:val="24"/>
        </w:rPr>
      </w:pPr>
      <w:r w:rsidRPr="00421C99">
        <w:rPr>
          <w:rFonts w:ascii="Times New Roman" w:hAnsi="Times New Roman" w:cs="Times New Roman"/>
          <w:sz w:val="24"/>
          <w:szCs w:val="24"/>
          <w:lang w:val="en-US"/>
        </w:rPr>
        <w:t xml:space="preserve">1 </w:t>
      </w:r>
      <w:r w:rsidR="00826F30" w:rsidRPr="00421C99">
        <w:rPr>
          <w:rFonts w:ascii="Times New Roman" w:hAnsi="Times New Roman" w:cs="Times New Roman"/>
          <w:sz w:val="24"/>
          <w:szCs w:val="24"/>
        </w:rPr>
        <w:t>pav.</w:t>
      </w:r>
      <w:r w:rsidR="00087BDA" w:rsidRPr="00421C99">
        <w:rPr>
          <w:rFonts w:ascii="Times New Roman" w:hAnsi="Times New Roman" w:cs="Times New Roman"/>
          <w:sz w:val="24"/>
          <w:szCs w:val="24"/>
        </w:rPr>
        <w:t xml:space="preserve"> G.</w:t>
      </w:r>
      <w:r w:rsidRPr="00421C99">
        <w:rPr>
          <w:rFonts w:ascii="Times New Roman" w:hAnsi="Times New Roman" w:cs="Times New Roman"/>
          <w:sz w:val="24"/>
          <w:szCs w:val="24"/>
        </w:rPr>
        <w:t xml:space="preserve"> </w:t>
      </w:r>
      <w:r w:rsidR="00087BDA" w:rsidRPr="00421C99">
        <w:rPr>
          <w:rFonts w:ascii="Times New Roman" w:hAnsi="Times New Roman" w:cs="Times New Roman"/>
          <w:sz w:val="24"/>
          <w:szCs w:val="24"/>
        </w:rPr>
        <w:t xml:space="preserve">Nausėdos </w:t>
      </w:r>
      <w:r w:rsidR="007032A5" w:rsidRPr="00421C99">
        <w:rPr>
          <w:rFonts w:ascii="Times New Roman" w:hAnsi="Times New Roman" w:cs="Times New Roman"/>
          <w:sz w:val="24"/>
          <w:szCs w:val="24"/>
        </w:rPr>
        <w:t xml:space="preserve">pateikiami </w:t>
      </w:r>
      <w:r w:rsidR="00087BDA" w:rsidRPr="00421C99">
        <w:rPr>
          <w:rFonts w:ascii="Times New Roman" w:hAnsi="Times New Roman" w:cs="Times New Roman"/>
          <w:sz w:val="24"/>
          <w:szCs w:val="24"/>
        </w:rPr>
        <w:t>duomenys</w:t>
      </w:r>
      <w:r w:rsidR="00223BA8" w:rsidRPr="00421C99">
        <w:rPr>
          <w:rFonts w:ascii="Times New Roman" w:hAnsi="Times New Roman" w:cs="Times New Roman"/>
          <w:sz w:val="24"/>
          <w:szCs w:val="24"/>
        </w:rPr>
        <w:t xml:space="preserve"> (</w:t>
      </w:r>
      <w:r w:rsidR="005601FD">
        <w:rPr>
          <w:rFonts w:ascii="Times New Roman" w:hAnsi="Times New Roman" w:cs="Times New Roman"/>
          <w:sz w:val="24"/>
          <w:szCs w:val="24"/>
        </w:rPr>
        <w:t xml:space="preserve">Šaltinis: </w:t>
      </w:r>
      <w:r w:rsidR="00100F91" w:rsidRPr="00421C99">
        <w:rPr>
          <w:rFonts w:ascii="Times New Roman" w:hAnsi="Times New Roman" w:cs="Times New Roman"/>
          <w:i/>
          <w:sz w:val="24"/>
          <w:szCs w:val="24"/>
        </w:rPr>
        <w:t>„</w:t>
      </w:r>
      <w:proofErr w:type="spellStart"/>
      <w:r w:rsidR="00223BA8" w:rsidRPr="00421C99">
        <w:rPr>
          <w:rFonts w:ascii="Times New Roman" w:hAnsi="Times New Roman" w:cs="Times New Roman"/>
          <w:i/>
          <w:sz w:val="24"/>
          <w:szCs w:val="24"/>
        </w:rPr>
        <w:t>Eurostat</w:t>
      </w:r>
      <w:proofErr w:type="spellEnd"/>
      <w:r w:rsidR="005601FD">
        <w:rPr>
          <w:rFonts w:ascii="Times New Roman" w:hAnsi="Times New Roman" w:cs="Times New Roman"/>
          <w:i/>
          <w:sz w:val="24"/>
          <w:szCs w:val="24"/>
        </w:rPr>
        <w:t>“</w:t>
      </w:r>
      <w:r w:rsidR="00223BA8" w:rsidRPr="00421C99">
        <w:rPr>
          <w:rFonts w:ascii="Times New Roman" w:hAnsi="Times New Roman" w:cs="Times New Roman"/>
          <w:sz w:val="24"/>
          <w:szCs w:val="24"/>
        </w:rPr>
        <w:t>)</w:t>
      </w:r>
    </w:p>
    <w:p w:rsidR="005C63E8" w:rsidRPr="00421C99" w:rsidRDefault="005B2407" w:rsidP="005B2407">
      <w:pPr>
        <w:pStyle w:val="PlainText"/>
        <w:tabs>
          <w:tab w:val="left" w:pos="238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5C63E8" w:rsidRPr="00421C99" w:rsidRDefault="007032A5"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b/>
          <w:sz w:val="24"/>
          <w:szCs w:val="24"/>
          <w:lang w:val="en-US"/>
        </w:rPr>
        <w:t xml:space="preserve">2. </w:t>
      </w:r>
      <w:r w:rsidR="005C63E8" w:rsidRPr="00421C99">
        <w:rPr>
          <w:rFonts w:ascii="Times New Roman" w:hAnsi="Times New Roman" w:cs="Times New Roman"/>
          <w:b/>
          <w:sz w:val="24"/>
          <w:szCs w:val="24"/>
        </w:rPr>
        <w:t xml:space="preserve">XVI Vyriausybė džiaugiasi, kad per </w:t>
      </w:r>
      <w:r w:rsidRPr="00421C99">
        <w:rPr>
          <w:rFonts w:ascii="Times New Roman" w:hAnsi="Times New Roman" w:cs="Times New Roman"/>
          <w:b/>
          <w:sz w:val="24"/>
          <w:szCs w:val="24"/>
        </w:rPr>
        <w:t>2013 m.</w:t>
      </w:r>
      <w:r w:rsidR="005C63E8" w:rsidRPr="00421C99">
        <w:rPr>
          <w:rFonts w:ascii="Times New Roman" w:hAnsi="Times New Roman" w:cs="Times New Roman"/>
          <w:b/>
          <w:sz w:val="24"/>
          <w:szCs w:val="24"/>
        </w:rPr>
        <w:t xml:space="preserve"> pavyko išvengti klaidų, kurios būtų   galėjusios sugadinti </w:t>
      </w:r>
      <w:proofErr w:type="gramStart"/>
      <w:r w:rsidR="005C63E8" w:rsidRPr="00421C99">
        <w:rPr>
          <w:rFonts w:ascii="Times New Roman" w:hAnsi="Times New Roman" w:cs="Times New Roman"/>
          <w:b/>
          <w:sz w:val="24"/>
          <w:szCs w:val="24"/>
        </w:rPr>
        <w:t>tas</w:t>
      </w:r>
      <w:proofErr w:type="gramEnd"/>
      <w:r w:rsidR="005C63E8" w:rsidRPr="00421C99">
        <w:rPr>
          <w:rFonts w:ascii="Times New Roman" w:hAnsi="Times New Roman" w:cs="Times New Roman"/>
          <w:b/>
          <w:sz w:val="24"/>
          <w:szCs w:val="24"/>
        </w:rPr>
        <w:t xml:space="preserve"> pozityvias ekonomikos tendencijas, kurias sukūrė XV Vyriausybė.</w:t>
      </w:r>
    </w:p>
    <w:p w:rsidR="005C63E8" w:rsidRPr="00421C99" w:rsidRDefault="005C63E8"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XVI Vyriausybė džiaugiasi, kad tos geros ekonomikos tendencijos, kurios pasimatė</w:t>
      </w:r>
      <w:r w:rsidR="004301AE" w:rsidRPr="00421C99">
        <w:rPr>
          <w:rFonts w:ascii="Times New Roman" w:hAnsi="Times New Roman" w:cs="Times New Roman"/>
          <w:sz w:val="24"/>
          <w:szCs w:val="24"/>
        </w:rPr>
        <w:t xml:space="preserve"> įveikiant krizę</w:t>
      </w:r>
      <w:r w:rsidRPr="00421C99">
        <w:rPr>
          <w:rFonts w:ascii="Times New Roman" w:hAnsi="Times New Roman" w:cs="Times New Roman"/>
          <w:sz w:val="24"/>
          <w:szCs w:val="24"/>
        </w:rPr>
        <w:t xml:space="preserve"> jau </w:t>
      </w:r>
      <w:r w:rsidR="007032A5" w:rsidRPr="00421C99">
        <w:rPr>
          <w:rFonts w:ascii="Times New Roman" w:hAnsi="Times New Roman" w:cs="Times New Roman"/>
          <w:sz w:val="24"/>
          <w:szCs w:val="24"/>
        </w:rPr>
        <w:t>2010 m.</w:t>
      </w:r>
      <w:r w:rsidRPr="00421C99">
        <w:rPr>
          <w:rFonts w:ascii="Times New Roman" w:hAnsi="Times New Roman" w:cs="Times New Roman"/>
          <w:sz w:val="24"/>
          <w:szCs w:val="24"/>
        </w:rPr>
        <w:t xml:space="preserve"> – spartus eksporto augimas ir to sąlygotas BVP atsigavimas, </w:t>
      </w:r>
      <w:r w:rsidR="003B57FE" w:rsidRPr="00421C99">
        <w:rPr>
          <w:rFonts w:ascii="Times New Roman" w:hAnsi="Times New Roman" w:cs="Times New Roman"/>
          <w:sz w:val="24"/>
          <w:szCs w:val="24"/>
        </w:rPr>
        <w:t xml:space="preserve">gerėjantys žmonių </w:t>
      </w:r>
      <w:r w:rsidR="003B57FE" w:rsidRPr="00421C99">
        <w:rPr>
          <w:rFonts w:ascii="Times New Roman" w:hAnsi="Times New Roman" w:cs="Times New Roman"/>
          <w:sz w:val="24"/>
          <w:szCs w:val="24"/>
        </w:rPr>
        <w:lastRenderedPageBreak/>
        <w:t xml:space="preserve">ekonominiai lūkesčiai, </w:t>
      </w:r>
      <w:r w:rsidRPr="00421C99">
        <w:rPr>
          <w:rFonts w:ascii="Times New Roman" w:hAnsi="Times New Roman" w:cs="Times New Roman"/>
          <w:sz w:val="24"/>
          <w:szCs w:val="24"/>
        </w:rPr>
        <w:t>ekonomikos atsigavimo sąlygotas nedarb</w:t>
      </w:r>
      <w:r w:rsidR="003B57FE" w:rsidRPr="00421C99">
        <w:rPr>
          <w:rFonts w:ascii="Times New Roman" w:hAnsi="Times New Roman" w:cs="Times New Roman"/>
          <w:sz w:val="24"/>
          <w:szCs w:val="24"/>
        </w:rPr>
        <w:t>o</w:t>
      </w:r>
      <w:r w:rsidRPr="00421C99">
        <w:rPr>
          <w:rFonts w:ascii="Times New Roman" w:hAnsi="Times New Roman" w:cs="Times New Roman"/>
          <w:sz w:val="24"/>
          <w:szCs w:val="24"/>
        </w:rPr>
        <w:t xml:space="preserve">, ir ypač jaunimo nedarbo mažėjimas, emigracijos srautų susitraukimas ir </w:t>
      </w:r>
      <w:proofErr w:type="spellStart"/>
      <w:r w:rsidRPr="00421C99">
        <w:rPr>
          <w:rFonts w:ascii="Times New Roman" w:hAnsi="Times New Roman" w:cs="Times New Roman"/>
          <w:sz w:val="24"/>
          <w:szCs w:val="24"/>
        </w:rPr>
        <w:t>reemigracijos</w:t>
      </w:r>
      <w:proofErr w:type="spellEnd"/>
      <w:r w:rsidRPr="00421C99">
        <w:rPr>
          <w:rFonts w:ascii="Times New Roman" w:hAnsi="Times New Roman" w:cs="Times New Roman"/>
          <w:sz w:val="24"/>
          <w:szCs w:val="24"/>
        </w:rPr>
        <w:t xml:space="preserve"> didėjimas </w:t>
      </w:r>
      <w:r w:rsidR="003B57FE" w:rsidRPr="00421C99">
        <w:rPr>
          <w:rFonts w:ascii="Times New Roman" w:hAnsi="Times New Roman" w:cs="Times New Roman"/>
          <w:sz w:val="24"/>
          <w:szCs w:val="24"/>
        </w:rPr>
        <w:t>–</w:t>
      </w:r>
      <w:r w:rsidRPr="00421C99">
        <w:rPr>
          <w:rFonts w:ascii="Times New Roman" w:hAnsi="Times New Roman" w:cs="Times New Roman"/>
          <w:sz w:val="24"/>
          <w:szCs w:val="24"/>
        </w:rPr>
        <w:t xml:space="preserve"> </w:t>
      </w:r>
      <w:r w:rsidR="003B57FE" w:rsidRPr="00421C99">
        <w:rPr>
          <w:rFonts w:ascii="Times New Roman" w:hAnsi="Times New Roman" w:cs="Times New Roman"/>
          <w:sz w:val="24"/>
          <w:szCs w:val="24"/>
        </w:rPr>
        <w:t xml:space="preserve">kad tai tęsėsi  ir </w:t>
      </w:r>
      <w:r w:rsidR="007032A5" w:rsidRPr="00421C99">
        <w:rPr>
          <w:rFonts w:ascii="Times New Roman" w:hAnsi="Times New Roman" w:cs="Times New Roman"/>
          <w:sz w:val="24"/>
          <w:szCs w:val="24"/>
        </w:rPr>
        <w:t>2013 m</w:t>
      </w:r>
      <w:r w:rsidR="003B57FE" w:rsidRPr="00421C99">
        <w:rPr>
          <w:rFonts w:ascii="Times New Roman" w:hAnsi="Times New Roman" w:cs="Times New Roman"/>
          <w:sz w:val="24"/>
          <w:szCs w:val="24"/>
        </w:rPr>
        <w:t xml:space="preserve">. XVI Vyriausybė siekdama nepakenkti šioms geroms, iš ankstesnių metų paveldėtoms tendencijoms, nesiėmė jokių naujų ekonomikos skatinimo iniciatyvų, tokių būdu siekdama išvengti pavojingų klaidų, kurios galėtų pakenkti tokioms geroms tendencijoms. XVI  Vyriausybė džiaugiasi, kad vienintelė ryškesnė šios Vyriausybės ekonominė iniciatyva – </w:t>
      </w:r>
      <w:r w:rsidR="007032A5" w:rsidRPr="00421C99">
        <w:rPr>
          <w:rFonts w:ascii="Times New Roman" w:hAnsi="Times New Roman" w:cs="Times New Roman"/>
          <w:sz w:val="24"/>
          <w:szCs w:val="24"/>
        </w:rPr>
        <w:t>2013 m.</w:t>
      </w:r>
      <w:r w:rsidR="003B57FE" w:rsidRPr="00421C99">
        <w:rPr>
          <w:rFonts w:ascii="Times New Roman" w:hAnsi="Times New Roman" w:cs="Times New Roman"/>
          <w:sz w:val="24"/>
          <w:szCs w:val="24"/>
        </w:rPr>
        <w:t xml:space="preserve"> pradžioje vienkartiniu veiksmu padidinti MMA daugiau nei </w:t>
      </w:r>
      <w:r w:rsidR="0018261D" w:rsidRPr="00421C99">
        <w:rPr>
          <w:rFonts w:ascii="Times New Roman" w:hAnsi="Times New Roman" w:cs="Times New Roman"/>
          <w:sz w:val="24"/>
          <w:szCs w:val="24"/>
        </w:rPr>
        <w:t xml:space="preserve">20 proc. – </w:t>
      </w:r>
      <w:r w:rsidR="003B57FE" w:rsidRPr="00421C99">
        <w:rPr>
          <w:rFonts w:ascii="Times New Roman" w:hAnsi="Times New Roman" w:cs="Times New Roman"/>
          <w:sz w:val="24"/>
          <w:szCs w:val="24"/>
        </w:rPr>
        <w:t>nepakenkė pozityvioms ekonomikos augimo tendencijoms, nors tokia grėsmė buvo.</w:t>
      </w:r>
    </w:p>
    <w:p w:rsidR="003B57FE" w:rsidRPr="00421C99" w:rsidRDefault="003B57FE" w:rsidP="00421C99">
      <w:pPr>
        <w:pStyle w:val="PlainText"/>
        <w:spacing w:line="360" w:lineRule="auto"/>
        <w:jc w:val="both"/>
        <w:rPr>
          <w:rFonts w:ascii="Times New Roman" w:hAnsi="Times New Roman" w:cs="Times New Roman"/>
          <w:sz w:val="24"/>
          <w:szCs w:val="24"/>
        </w:rPr>
      </w:pPr>
    </w:p>
    <w:p w:rsidR="003B57FE" w:rsidRPr="00421C99" w:rsidRDefault="00E03D2C"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2</w:t>
      </w:r>
      <w:r w:rsidR="003B57FE" w:rsidRPr="00421C99">
        <w:rPr>
          <w:rFonts w:ascii="Times New Roman" w:hAnsi="Times New Roman" w:cs="Times New Roman"/>
          <w:b/>
          <w:sz w:val="24"/>
          <w:szCs w:val="24"/>
        </w:rPr>
        <w:t>.</w:t>
      </w:r>
      <w:r w:rsidRPr="00421C99">
        <w:rPr>
          <w:rFonts w:ascii="Times New Roman" w:hAnsi="Times New Roman" w:cs="Times New Roman"/>
          <w:b/>
          <w:sz w:val="24"/>
          <w:szCs w:val="24"/>
        </w:rPr>
        <w:t>1.</w:t>
      </w:r>
      <w:r w:rsidR="003B57FE" w:rsidRPr="00421C99">
        <w:rPr>
          <w:rFonts w:ascii="Times New Roman" w:hAnsi="Times New Roman" w:cs="Times New Roman"/>
          <w:b/>
          <w:sz w:val="24"/>
          <w:szCs w:val="24"/>
        </w:rPr>
        <w:t xml:space="preserve"> BVP augimo</w:t>
      </w:r>
      <w:r w:rsidRPr="00421C99">
        <w:rPr>
          <w:rFonts w:ascii="Times New Roman" w:hAnsi="Times New Roman" w:cs="Times New Roman"/>
          <w:b/>
          <w:sz w:val="24"/>
          <w:szCs w:val="24"/>
        </w:rPr>
        <w:t xml:space="preserve"> 2013 m.</w:t>
      </w:r>
      <w:r w:rsidR="003B57FE" w:rsidRPr="00421C99">
        <w:rPr>
          <w:rFonts w:ascii="Times New Roman" w:hAnsi="Times New Roman" w:cs="Times New Roman"/>
          <w:b/>
          <w:sz w:val="24"/>
          <w:szCs w:val="24"/>
        </w:rPr>
        <w:t xml:space="preserve"> </w:t>
      </w:r>
      <w:r w:rsidRPr="00421C99">
        <w:rPr>
          <w:rFonts w:ascii="Times New Roman" w:hAnsi="Times New Roman" w:cs="Times New Roman"/>
          <w:b/>
          <w:sz w:val="24"/>
          <w:szCs w:val="24"/>
        </w:rPr>
        <w:t>tendencija tęsiasi nuo 2010 m.</w:t>
      </w:r>
    </w:p>
    <w:p w:rsidR="003B57FE" w:rsidRPr="00421C99" w:rsidRDefault="003B57FE"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Kaip rodo 1 pav</w:t>
      </w:r>
      <w:r w:rsidR="007032A5" w:rsidRPr="00421C99">
        <w:rPr>
          <w:rFonts w:ascii="Times New Roman" w:hAnsi="Times New Roman" w:cs="Times New Roman"/>
          <w:sz w:val="24"/>
          <w:szCs w:val="24"/>
        </w:rPr>
        <w:t>.</w:t>
      </w:r>
      <w:r w:rsidR="00774718" w:rsidRPr="00421C99">
        <w:rPr>
          <w:rFonts w:ascii="Times New Roman" w:hAnsi="Times New Roman" w:cs="Times New Roman"/>
          <w:sz w:val="24"/>
          <w:szCs w:val="24"/>
        </w:rPr>
        <w:t xml:space="preserve"> duomenys ir Lietuvos s</w:t>
      </w:r>
      <w:r w:rsidRPr="00421C99">
        <w:rPr>
          <w:rFonts w:ascii="Times New Roman" w:hAnsi="Times New Roman" w:cs="Times New Roman"/>
          <w:sz w:val="24"/>
          <w:szCs w:val="24"/>
        </w:rPr>
        <w:t xml:space="preserve">tatistikos </w:t>
      </w:r>
      <w:r w:rsidR="00774718" w:rsidRPr="00421C99">
        <w:rPr>
          <w:rFonts w:ascii="Times New Roman" w:hAnsi="Times New Roman" w:cs="Times New Roman"/>
          <w:sz w:val="24"/>
          <w:szCs w:val="24"/>
        </w:rPr>
        <w:t>d</w:t>
      </w:r>
      <w:r w:rsidR="00087BDA" w:rsidRPr="00421C99">
        <w:rPr>
          <w:rFonts w:ascii="Times New Roman" w:hAnsi="Times New Roman" w:cs="Times New Roman"/>
          <w:sz w:val="24"/>
          <w:szCs w:val="24"/>
        </w:rPr>
        <w:t>epartamento duomenys (2 pav.) – Lietuvos ekonomikos spartus augimas</w:t>
      </w:r>
      <w:r w:rsidRPr="00421C99">
        <w:rPr>
          <w:rFonts w:ascii="Times New Roman" w:hAnsi="Times New Roman" w:cs="Times New Roman"/>
          <w:b/>
          <w:sz w:val="24"/>
          <w:szCs w:val="24"/>
        </w:rPr>
        <w:t xml:space="preserve"> </w:t>
      </w:r>
      <w:r w:rsidR="00087BDA" w:rsidRPr="00421C99">
        <w:rPr>
          <w:rFonts w:ascii="Times New Roman" w:hAnsi="Times New Roman" w:cs="Times New Roman"/>
          <w:sz w:val="24"/>
          <w:szCs w:val="24"/>
        </w:rPr>
        <w:t xml:space="preserve">prasidėjęs dar </w:t>
      </w:r>
      <w:r w:rsidR="00774718" w:rsidRPr="00421C99">
        <w:rPr>
          <w:rFonts w:ascii="Times New Roman" w:hAnsi="Times New Roman" w:cs="Times New Roman"/>
          <w:sz w:val="24"/>
          <w:szCs w:val="24"/>
        </w:rPr>
        <w:t>2010 m.</w:t>
      </w:r>
      <w:r w:rsidR="00087BDA" w:rsidRPr="00421C99">
        <w:rPr>
          <w:rFonts w:ascii="Times New Roman" w:hAnsi="Times New Roman" w:cs="Times New Roman"/>
          <w:sz w:val="24"/>
          <w:szCs w:val="24"/>
        </w:rPr>
        <w:t xml:space="preserve"> XV Vyriausybės darbo metu, tęsėsi ir </w:t>
      </w:r>
      <w:r w:rsidR="007032A5" w:rsidRPr="00421C99">
        <w:rPr>
          <w:rFonts w:ascii="Times New Roman" w:hAnsi="Times New Roman" w:cs="Times New Roman"/>
          <w:sz w:val="24"/>
          <w:szCs w:val="24"/>
        </w:rPr>
        <w:t>2013 m</w:t>
      </w:r>
      <w:r w:rsidR="00087BDA" w:rsidRPr="00421C99">
        <w:rPr>
          <w:rFonts w:ascii="Times New Roman" w:hAnsi="Times New Roman" w:cs="Times New Roman"/>
          <w:sz w:val="24"/>
          <w:szCs w:val="24"/>
        </w:rPr>
        <w:t xml:space="preserve">. Tai leido 2013 metų viduryje pasidžiaugti tuo, kad pagal </w:t>
      </w:r>
      <w:r w:rsidR="00E03D2C" w:rsidRPr="00421C99">
        <w:rPr>
          <w:rFonts w:ascii="Times New Roman" w:hAnsi="Times New Roman" w:cs="Times New Roman"/>
          <w:sz w:val="24"/>
          <w:szCs w:val="24"/>
        </w:rPr>
        <w:t>„</w:t>
      </w:r>
      <w:r w:rsidR="00087BDA" w:rsidRPr="00421C99">
        <w:rPr>
          <w:rFonts w:ascii="Times New Roman" w:hAnsi="Times New Roman" w:cs="Times New Roman"/>
          <w:sz w:val="24"/>
          <w:szCs w:val="24"/>
        </w:rPr>
        <w:t>Eurost</w:t>
      </w:r>
      <w:r w:rsidR="00774718" w:rsidRPr="00421C99">
        <w:rPr>
          <w:rFonts w:ascii="Times New Roman" w:hAnsi="Times New Roman" w:cs="Times New Roman"/>
          <w:sz w:val="24"/>
          <w:szCs w:val="24"/>
        </w:rPr>
        <w:t>ato</w:t>
      </w:r>
      <w:r w:rsidR="00E03D2C" w:rsidRPr="00421C99">
        <w:rPr>
          <w:rFonts w:ascii="Times New Roman" w:hAnsi="Times New Roman" w:cs="Times New Roman"/>
          <w:sz w:val="24"/>
          <w:szCs w:val="24"/>
        </w:rPr>
        <w:t>“</w:t>
      </w:r>
      <w:r w:rsidR="00774718" w:rsidRPr="00421C99">
        <w:rPr>
          <w:rFonts w:ascii="Times New Roman" w:hAnsi="Times New Roman" w:cs="Times New Roman"/>
          <w:sz w:val="24"/>
          <w:szCs w:val="24"/>
        </w:rPr>
        <w:t xml:space="preserve"> duomenis Lietuvos BVP vienam gyventojui</w:t>
      </w:r>
      <w:r w:rsidR="00087BDA" w:rsidRPr="00421C99">
        <w:rPr>
          <w:rFonts w:ascii="Times New Roman" w:hAnsi="Times New Roman" w:cs="Times New Roman"/>
          <w:sz w:val="24"/>
          <w:szCs w:val="24"/>
        </w:rPr>
        <w:t xml:space="preserve"> pasivijo ir pralenkė </w:t>
      </w:r>
      <w:r w:rsidR="00774718" w:rsidRPr="00421C99">
        <w:rPr>
          <w:rFonts w:ascii="Times New Roman" w:hAnsi="Times New Roman" w:cs="Times New Roman"/>
          <w:sz w:val="24"/>
          <w:szCs w:val="24"/>
        </w:rPr>
        <w:t xml:space="preserve">analogišką </w:t>
      </w:r>
      <w:r w:rsidR="00087BDA" w:rsidRPr="00421C99">
        <w:rPr>
          <w:rFonts w:ascii="Times New Roman" w:hAnsi="Times New Roman" w:cs="Times New Roman"/>
          <w:sz w:val="24"/>
          <w:szCs w:val="24"/>
        </w:rPr>
        <w:t>Estijos  rodiklį – tai yra Lietuva iš giliausios pasaulinės krizės išeina su stipriausia tarp Baltijos valstybių ekonomika ir tai yra didelis XV Vyriaus</w:t>
      </w:r>
      <w:r w:rsidR="00E03D2C" w:rsidRPr="00421C99">
        <w:rPr>
          <w:rFonts w:ascii="Times New Roman" w:hAnsi="Times New Roman" w:cs="Times New Roman"/>
          <w:sz w:val="24"/>
          <w:szCs w:val="24"/>
        </w:rPr>
        <w:t>ybės, dirbusios 2008-2012 m.</w:t>
      </w:r>
      <w:r w:rsidR="00087BDA" w:rsidRPr="00421C99">
        <w:rPr>
          <w:rFonts w:ascii="Times New Roman" w:hAnsi="Times New Roman" w:cs="Times New Roman"/>
          <w:sz w:val="24"/>
          <w:szCs w:val="24"/>
        </w:rPr>
        <w:t xml:space="preserve"> pasiekimas.</w:t>
      </w:r>
    </w:p>
    <w:p w:rsidR="00087BDA" w:rsidRPr="00421C99" w:rsidRDefault="00087BDA" w:rsidP="00421C99">
      <w:pPr>
        <w:pStyle w:val="PlainText"/>
        <w:spacing w:line="360" w:lineRule="auto"/>
        <w:jc w:val="both"/>
        <w:rPr>
          <w:rFonts w:ascii="Times New Roman" w:hAnsi="Times New Roman" w:cs="Times New Roman"/>
          <w:sz w:val="24"/>
          <w:szCs w:val="24"/>
        </w:rPr>
      </w:pPr>
    </w:p>
    <w:p w:rsidR="00087BDA" w:rsidRPr="00421C99" w:rsidRDefault="00B95090"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noProof/>
          <w:sz w:val="24"/>
          <w:szCs w:val="24"/>
          <w:lang w:eastAsia="lt-LT"/>
        </w:rPr>
        <w:drawing>
          <wp:inline distT="0" distB="0" distL="0" distR="0" wp14:anchorId="56E4535B" wp14:editId="1C6EA173">
            <wp:extent cx="4572000" cy="3916680"/>
            <wp:effectExtent l="0" t="0" r="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A02" w:rsidRPr="00421C99" w:rsidRDefault="00C51A02" w:rsidP="00421C99">
      <w:pPr>
        <w:pStyle w:val="PlainText"/>
        <w:spacing w:line="360" w:lineRule="auto"/>
        <w:jc w:val="both"/>
        <w:rPr>
          <w:rFonts w:ascii="Times New Roman" w:hAnsi="Times New Roman" w:cs="Times New Roman"/>
          <w:sz w:val="24"/>
          <w:szCs w:val="24"/>
        </w:rPr>
      </w:pPr>
    </w:p>
    <w:p w:rsidR="00087BDA" w:rsidRPr="00421C99" w:rsidRDefault="00E03D2C"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sz w:val="24"/>
          <w:szCs w:val="24"/>
        </w:rPr>
        <w:t xml:space="preserve">2 pav. Baltijos valstybių </w:t>
      </w:r>
      <w:r w:rsidR="00087BDA" w:rsidRPr="00421C99">
        <w:rPr>
          <w:rFonts w:ascii="Times New Roman" w:hAnsi="Times New Roman" w:cs="Times New Roman"/>
          <w:sz w:val="24"/>
          <w:szCs w:val="24"/>
        </w:rPr>
        <w:t>BVP</w:t>
      </w:r>
      <w:r w:rsidRPr="00421C99">
        <w:rPr>
          <w:rFonts w:ascii="Times New Roman" w:hAnsi="Times New Roman" w:cs="Times New Roman"/>
          <w:sz w:val="24"/>
          <w:szCs w:val="24"/>
        </w:rPr>
        <w:t xml:space="preserve"> pokyčio kreivė (</w:t>
      </w:r>
      <w:r w:rsidR="005601FD" w:rsidRPr="005601FD">
        <w:rPr>
          <w:rFonts w:ascii="Times New Roman" w:hAnsi="Times New Roman" w:cs="Times New Roman"/>
          <w:i/>
          <w:sz w:val="24"/>
          <w:szCs w:val="24"/>
        </w:rPr>
        <w:t>Šaltinis: „</w:t>
      </w:r>
      <w:proofErr w:type="spellStart"/>
      <w:r w:rsidR="005601FD" w:rsidRPr="005601FD">
        <w:rPr>
          <w:rFonts w:ascii="Times New Roman" w:hAnsi="Times New Roman" w:cs="Times New Roman"/>
          <w:i/>
          <w:sz w:val="24"/>
          <w:szCs w:val="24"/>
        </w:rPr>
        <w:t>Eurostat</w:t>
      </w:r>
      <w:proofErr w:type="spellEnd"/>
      <w:r w:rsidR="005601FD" w:rsidRPr="005601FD">
        <w:rPr>
          <w:rFonts w:ascii="Times New Roman" w:hAnsi="Times New Roman" w:cs="Times New Roman"/>
          <w:i/>
          <w:sz w:val="24"/>
          <w:szCs w:val="24"/>
        </w:rPr>
        <w:t>“</w:t>
      </w:r>
      <w:r w:rsidRPr="00421C99">
        <w:rPr>
          <w:rFonts w:ascii="Times New Roman" w:hAnsi="Times New Roman" w:cs="Times New Roman"/>
          <w:sz w:val="24"/>
          <w:szCs w:val="24"/>
        </w:rPr>
        <w:t>)</w:t>
      </w:r>
    </w:p>
    <w:p w:rsidR="00087BDA" w:rsidRPr="00421C99" w:rsidRDefault="00087BDA" w:rsidP="00421C99">
      <w:pPr>
        <w:pStyle w:val="PlainText"/>
        <w:spacing w:line="360" w:lineRule="auto"/>
        <w:jc w:val="both"/>
        <w:rPr>
          <w:rFonts w:ascii="Times New Roman" w:hAnsi="Times New Roman" w:cs="Times New Roman"/>
          <w:sz w:val="24"/>
          <w:szCs w:val="24"/>
        </w:rPr>
      </w:pPr>
    </w:p>
    <w:p w:rsidR="00087BDA" w:rsidRPr="00421C99" w:rsidRDefault="00087BDA" w:rsidP="00421C99">
      <w:pPr>
        <w:pStyle w:val="PlainText"/>
        <w:spacing w:line="360" w:lineRule="auto"/>
        <w:jc w:val="both"/>
        <w:rPr>
          <w:rFonts w:ascii="Times New Roman" w:hAnsi="Times New Roman" w:cs="Times New Roman"/>
          <w:sz w:val="24"/>
          <w:szCs w:val="24"/>
        </w:rPr>
      </w:pPr>
    </w:p>
    <w:p w:rsidR="00C47ED0" w:rsidRPr="00421C99" w:rsidRDefault="00E03D2C"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2</w:t>
      </w:r>
      <w:r w:rsidR="00087BDA" w:rsidRPr="00421C99">
        <w:rPr>
          <w:rFonts w:ascii="Times New Roman" w:hAnsi="Times New Roman" w:cs="Times New Roman"/>
          <w:b/>
          <w:sz w:val="24"/>
          <w:szCs w:val="24"/>
        </w:rPr>
        <w:t>.</w:t>
      </w:r>
      <w:r w:rsidRPr="00421C99">
        <w:rPr>
          <w:rFonts w:ascii="Times New Roman" w:hAnsi="Times New Roman" w:cs="Times New Roman"/>
          <w:b/>
          <w:sz w:val="24"/>
          <w:szCs w:val="24"/>
          <w:lang w:val="en-US"/>
        </w:rPr>
        <w:t>2.</w:t>
      </w:r>
      <w:r w:rsidR="00087BDA" w:rsidRPr="00421C99">
        <w:rPr>
          <w:rFonts w:ascii="Times New Roman" w:hAnsi="Times New Roman" w:cs="Times New Roman"/>
          <w:b/>
          <w:sz w:val="24"/>
          <w:szCs w:val="24"/>
        </w:rPr>
        <w:t xml:space="preserve"> </w:t>
      </w:r>
      <w:r w:rsidR="00A604F2" w:rsidRPr="00421C99">
        <w:rPr>
          <w:rFonts w:ascii="Times New Roman" w:hAnsi="Times New Roman" w:cs="Times New Roman"/>
          <w:b/>
          <w:sz w:val="24"/>
          <w:szCs w:val="24"/>
        </w:rPr>
        <w:t xml:space="preserve">Toliau gerėjo </w:t>
      </w:r>
      <w:r w:rsidR="00AA3BDD" w:rsidRPr="00421C99">
        <w:rPr>
          <w:rFonts w:ascii="Times New Roman" w:hAnsi="Times New Roman" w:cs="Times New Roman"/>
          <w:b/>
          <w:sz w:val="24"/>
          <w:szCs w:val="24"/>
        </w:rPr>
        <w:t xml:space="preserve">vartotojų </w:t>
      </w:r>
      <w:r w:rsidR="00A604F2" w:rsidRPr="00421C99">
        <w:rPr>
          <w:rFonts w:ascii="Times New Roman" w:hAnsi="Times New Roman" w:cs="Times New Roman"/>
          <w:b/>
          <w:sz w:val="24"/>
          <w:szCs w:val="24"/>
        </w:rPr>
        <w:t>ekonominiai lūkesčiai</w:t>
      </w:r>
      <w:r w:rsidR="00AA3BDD" w:rsidRPr="00421C99">
        <w:rPr>
          <w:rFonts w:ascii="Times New Roman" w:hAnsi="Times New Roman" w:cs="Times New Roman"/>
          <w:b/>
          <w:sz w:val="24"/>
          <w:szCs w:val="24"/>
        </w:rPr>
        <w:t>, tačiau bendrasis ekonominių vertinimų rodiklis nustojo augti</w:t>
      </w:r>
    </w:p>
    <w:p w:rsidR="00C47ED0" w:rsidRPr="00421C99" w:rsidRDefault="00C47ED0"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Tebesitęsiant teigiamoms ekonominėms tendencijoms, 2013 m</w:t>
      </w:r>
      <w:r w:rsidR="00C51A02" w:rsidRPr="00421C99">
        <w:rPr>
          <w:rFonts w:ascii="Times New Roman" w:hAnsi="Times New Roman" w:cs="Times New Roman"/>
          <w:sz w:val="24"/>
          <w:szCs w:val="24"/>
        </w:rPr>
        <w:t>.</w:t>
      </w:r>
      <w:r w:rsidRPr="00421C99">
        <w:rPr>
          <w:rFonts w:ascii="Times New Roman" w:hAnsi="Times New Roman" w:cs="Times New Roman"/>
          <w:sz w:val="24"/>
          <w:szCs w:val="24"/>
        </w:rPr>
        <w:t xml:space="preserve"> tęsėsi vartotojų pasitikėjimo indekso lėtas augimas</w:t>
      </w:r>
      <w:r w:rsidR="005B2407">
        <w:rPr>
          <w:rFonts w:ascii="Times New Roman" w:hAnsi="Times New Roman" w:cs="Times New Roman"/>
          <w:sz w:val="24"/>
          <w:szCs w:val="24"/>
        </w:rPr>
        <w:t xml:space="preserve"> (3 pav.)</w:t>
      </w:r>
      <w:r w:rsidRPr="00421C99">
        <w:rPr>
          <w:rFonts w:ascii="Times New Roman" w:hAnsi="Times New Roman" w:cs="Times New Roman"/>
          <w:sz w:val="24"/>
          <w:szCs w:val="24"/>
        </w:rPr>
        <w:t>, nors metams baigiantis galima buvo konstatuoti ir prasidedančią šio rodiklio stagnaciją.</w:t>
      </w:r>
    </w:p>
    <w:p w:rsidR="00B42906" w:rsidRPr="00421C99" w:rsidRDefault="00B42906" w:rsidP="00421C99">
      <w:pPr>
        <w:pStyle w:val="PlainText"/>
        <w:spacing w:line="360" w:lineRule="auto"/>
        <w:jc w:val="both"/>
        <w:rPr>
          <w:rFonts w:ascii="Times New Roman" w:hAnsi="Times New Roman" w:cs="Times New Roman"/>
          <w:sz w:val="24"/>
          <w:szCs w:val="24"/>
        </w:rPr>
      </w:pPr>
    </w:p>
    <w:p w:rsidR="00AA3BDD" w:rsidRPr="00421C99" w:rsidRDefault="00B42906"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noProof/>
          <w:sz w:val="24"/>
          <w:szCs w:val="24"/>
          <w:lang w:eastAsia="lt-LT"/>
        </w:rPr>
        <w:drawing>
          <wp:inline distT="0" distB="0" distL="0" distR="0" wp14:anchorId="207266AE" wp14:editId="4719A38F">
            <wp:extent cx="5706533" cy="4690533"/>
            <wp:effectExtent l="0" t="0" r="889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0C51" w:rsidRPr="00421C99" w:rsidRDefault="00030C51" w:rsidP="00421C99">
      <w:pPr>
        <w:pStyle w:val="PlainText"/>
        <w:spacing w:line="360" w:lineRule="auto"/>
        <w:jc w:val="center"/>
        <w:rPr>
          <w:rFonts w:ascii="Times New Roman" w:hAnsi="Times New Roman" w:cs="Times New Roman"/>
          <w:b/>
          <w:sz w:val="24"/>
          <w:szCs w:val="24"/>
        </w:rPr>
      </w:pPr>
    </w:p>
    <w:p w:rsidR="00030C51" w:rsidRPr="00421C99" w:rsidRDefault="00030C51" w:rsidP="00421C99">
      <w:pPr>
        <w:pStyle w:val="PlainText"/>
        <w:spacing w:line="360" w:lineRule="auto"/>
        <w:rPr>
          <w:rFonts w:ascii="Times New Roman" w:hAnsi="Times New Roman" w:cs="Times New Roman"/>
          <w:sz w:val="24"/>
          <w:szCs w:val="24"/>
        </w:rPr>
      </w:pPr>
      <w:r w:rsidRPr="00421C99">
        <w:rPr>
          <w:rFonts w:ascii="Times New Roman" w:hAnsi="Times New Roman" w:cs="Times New Roman"/>
          <w:b/>
          <w:sz w:val="24"/>
          <w:szCs w:val="24"/>
        </w:rPr>
        <w:t xml:space="preserve">                </w:t>
      </w:r>
      <w:r w:rsidR="00E03D2C" w:rsidRPr="00421C99">
        <w:rPr>
          <w:rFonts w:ascii="Times New Roman" w:hAnsi="Times New Roman" w:cs="Times New Roman"/>
          <w:sz w:val="24"/>
          <w:szCs w:val="24"/>
        </w:rPr>
        <w:t xml:space="preserve">3 </w:t>
      </w:r>
      <w:proofErr w:type="spellStart"/>
      <w:r w:rsidRPr="00421C99">
        <w:rPr>
          <w:rFonts w:ascii="Times New Roman" w:hAnsi="Times New Roman" w:cs="Times New Roman"/>
          <w:sz w:val="24"/>
          <w:szCs w:val="24"/>
          <w:lang w:val="en-US"/>
        </w:rPr>
        <w:t>pav</w:t>
      </w:r>
      <w:proofErr w:type="spellEnd"/>
      <w:r w:rsidRPr="00421C99">
        <w:rPr>
          <w:rFonts w:ascii="Times New Roman" w:hAnsi="Times New Roman" w:cs="Times New Roman"/>
          <w:sz w:val="24"/>
          <w:szCs w:val="24"/>
          <w:lang w:val="en-US"/>
        </w:rPr>
        <w:t xml:space="preserve">. </w:t>
      </w:r>
      <w:proofErr w:type="spellStart"/>
      <w:r w:rsidRPr="00421C99">
        <w:rPr>
          <w:rFonts w:ascii="Times New Roman" w:hAnsi="Times New Roman" w:cs="Times New Roman"/>
          <w:sz w:val="24"/>
          <w:szCs w:val="24"/>
          <w:lang w:val="en-US"/>
        </w:rPr>
        <w:t>Vartotoj</w:t>
      </w:r>
      <w:proofErr w:type="spellEnd"/>
      <w:r w:rsidRPr="00421C99">
        <w:rPr>
          <w:rFonts w:ascii="Times New Roman" w:hAnsi="Times New Roman" w:cs="Times New Roman"/>
          <w:sz w:val="24"/>
          <w:szCs w:val="24"/>
        </w:rPr>
        <w:t>ų pasitikėjimo rodiklis (</w:t>
      </w:r>
      <w:r w:rsidR="005601FD" w:rsidRPr="005601FD">
        <w:rPr>
          <w:rFonts w:ascii="Times New Roman" w:hAnsi="Times New Roman" w:cs="Times New Roman"/>
          <w:i/>
          <w:sz w:val="24"/>
          <w:szCs w:val="24"/>
        </w:rPr>
        <w:t>Šaltinis:</w:t>
      </w:r>
      <w:r w:rsidR="005601FD">
        <w:rPr>
          <w:rFonts w:ascii="Times New Roman" w:hAnsi="Times New Roman" w:cs="Times New Roman"/>
          <w:sz w:val="24"/>
          <w:szCs w:val="24"/>
        </w:rPr>
        <w:t xml:space="preserve"> </w:t>
      </w:r>
      <w:r w:rsidR="005601FD">
        <w:rPr>
          <w:rFonts w:ascii="Times New Roman" w:hAnsi="Times New Roman" w:cs="Times New Roman"/>
          <w:i/>
          <w:sz w:val="24"/>
          <w:szCs w:val="24"/>
        </w:rPr>
        <w:t>Lietuvos statistikos departamentas</w:t>
      </w:r>
      <w:r w:rsidRPr="00421C99">
        <w:rPr>
          <w:rFonts w:ascii="Times New Roman" w:hAnsi="Times New Roman" w:cs="Times New Roman"/>
          <w:sz w:val="24"/>
          <w:szCs w:val="24"/>
        </w:rPr>
        <w:t>)</w:t>
      </w:r>
    </w:p>
    <w:p w:rsidR="00AA3BDD" w:rsidRPr="00421C99" w:rsidRDefault="00030C51"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ab/>
      </w:r>
    </w:p>
    <w:p w:rsidR="005B2407" w:rsidRDefault="005B2407" w:rsidP="00421C99">
      <w:pPr>
        <w:pStyle w:val="PlainText"/>
        <w:spacing w:line="360" w:lineRule="auto"/>
        <w:jc w:val="both"/>
        <w:rPr>
          <w:rFonts w:ascii="Times New Roman" w:hAnsi="Times New Roman" w:cs="Times New Roman"/>
          <w:sz w:val="24"/>
          <w:szCs w:val="24"/>
        </w:rPr>
      </w:pPr>
    </w:p>
    <w:p w:rsidR="005B2407" w:rsidRDefault="005B2407" w:rsidP="00421C99">
      <w:pPr>
        <w:pStyle w:val="PlainText"/>
        <w:spacing w:line="360" w:lineRule="auto"/>
        <w:jc w:val="both"/>
        <w:rPr>
          <w:rFonts w:ascii="Times New Roman" w:hAnsi="Times New Roman" w:cs="Times New Roman"/>
          <w:sz w:val="24"/>
          <w:szCs w:val="24"/>
        </w:rPr>
      </w:pPr>
    </w:p>
    <w:p w:rsidR="005B2407" w:rsidRDefault="005B2407" w:rsidP="00421C99">
      <w:pPr>
        <w:pStyle w:val="PlainText"/>
        <w:spacing w:line="360" w:lineRule="auto"/>
        <w:jc w:val="both"/>
        <w:rPr>
          <w:rFonts w:ascii="Times New Roman" w:hAnsi="Times New Roman" w:cs="Times New Roman"/>
          <w:sz w:val="24"/>
          <w:szCs w:val="24"/>
        </w:rPr>
      </w:pPr>
    </w:p>
    <w:p w:rsidR="005B2407" w:rsidRDefault="005B2407" w:rsidP="00421C99">
      <w:pPr>
        <w:pStyle w:val="PlainText"/>
        <w:spacing w:line="360" w:lineRule="auto"/>
        <w:jc w:val="both"/>
        <w:rPr>
          <w:rFonts w:ascii="Times New Roman" w:hAnsi="Times New Roman" w:cs="Times New Roman"/>
          <w:sz w:val="24"/>
          <w:szCs w:val="24"/>
        </w:rPr>
      </w:pPr>
    </w:p>
    <w:p w:rsidR="005B2407" w:rsidRDefault="005B2407" w:rsidP="00421C99">
      <w:pPr>
        <w:pStyle w:val="PlainText"/>
        <w:spacing w:line="360" w:lineRule="auto"/>
        <w:jc w:val="both"/>
        <w:rPr>
          <w:rFonts w:ascii="Times New Roman" w:hAnsi="Times New Roman" w:cs="Times New Roman"/>
          <w:sz w:val="24"/>
          <w:szCs w:val="24"/>
        </w:rPr>
      </w:pPr>
    </w:p>
    <w:p w:rsidR="005B2407" w:rsidRDefault="005B2407" w:rsidP="00421C99">
      <w:pPr>
        <w:pStyle w:val="PlainText"/>
        <w:spacing w:line="360" w:lineRule="auto"/>
        <w:jc w:val="both"/>
        <w:rPr>
          <w:rFonts w:ascii="Times New Roman" w:hAnsi="Times New Roman" w:cs="Times New Roman"/>
          <w:sz w:val="24"/>
          <w:szCs w:val="24"/>
        </w:rPr>
      </w:pPr>
    </w:p>
    <w:p w:rsidR="00AA3BDD" w:rsidRPr="00421C99" w:rsidRDefault="00D04866"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lastRenderedPageBreak/>
        <w:t>Tuo tar</w:t>
      </w:r>
      <w:r w:rsidR="00FC6F26" w:rsidRPr="00421C99">
        <w:rPr>
          <w:rFonts w:ascii="Times New Roman" w:hAnsi="Times New Roman" w:cs="Times New Roman"/>
          <w:sz w:val="24"/>
          <w:szCs w:val="24"/>
        </w:rPr>
        <w:t>pu ekonomi</w:t>
      </w:r>
      <w:r w:rsidRPr="00421C99">
        <w:rPr>
          <w:rFonts w:ascii="Times New Roman" w:hAnsi="Times New Roman" w:cs="Times New Roman"/>
          <w:sz w:val="24"/>
          <w:szCs w:val="24"/>
        </w:rPr>
        <w:t>nių vertinimų rodiklis</w:t>
      </w:r>
      <w:r w:rsidR="005B2407">
        <w:rPr>
          <w:rFonts w:ascii="Times New Roman" w:hAnsi="Times New Roman" w:cs="Times New Roman"/>
          <w:sz w:val="24"/>
          <w:szCs w:val="24"/>
        </w:rPr>
        <w:t xml:space="preserve"> (4 pav.)</w:t>
      </w:r>
      <w:r w:rsidRPr="00421C99">
        <w:rPr>
          <w:rFonts w:ascii="Times New Roman" w:hAnsi="Times New Roman" w:cs="Times New Roman"/>
          <w:sz w:val="24"/>
          <w:szCs w:val="24"/>
        </w:rPr>
        <w:t xml:space="preserve">, po pradinio </w:t>
      </w:r>
      <w:r w:rsidR="00E03D2C" w:rsidRPr="00421C99">
        <w:rPr>
          <w:rFonts w:ascii="Times New Roman" w:hAnsi="Times New Roman" w:cs="Times New Roman"/>
          <w:sz w:val="24"/>
          <w:szCs w:val="24"/>
        </w:rPr>
        <w:t>spartaus augimo 2009-2011 m., nustojo  augti jau 2012 m., neaugo ir 2013 m</w:t>
      </w:r>
      <w:r w:rsidRPr="00421C99">
        <w:rPr>
          <w:rFonts w:ascii="Times New Roman" w:hAnsi="Times New Roman" w:cs="Times New Roman"/>
          <w:sz w:val="24"/>
          <w:szCs w:val="24"/>
        </w:rPr>
        <w:t>.</w:t>
      </w:r>
    </w:p>
    <w:p w:rsidR="00AA3BDD" w:rsidRPr="00421C99" w:rsidRDefault="00AA3BDD" w:rsidP="00421C99">
      <w:pPr>
        <w:pStyle w:val="PlainText"/>
        <w:spacing w:line="360" w:lineRule="auto"/>
        <w:jc w:val="both"/>
        <w:rPr>
          <w:rFonts w:ascii="Times New Roman" w:hAnsi="Times New Roman" w:cs="Times New Roman"/>
          <w:b/>
          <w:sz w:val="24"/>
          <w:szCs w:val="24"/>
        </w:rPr>
      </w:pPr>
    </w:p>
    <w:p w:rsidR="00AA3BDD" w:rsidRPr="00421C99" w:rsidRDefault="00FC6F26"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noProof/>
          <w:sz w:val="24"/>
          <w:szCs w:val="24"/>
          <w:lang w:eastAsia="lt-LT"/>
        </w:rPr>
        <w:drawing>
          <wp:inline distT="0" distB="0" distL="0" distR="0" wp14:anchorId="289B4F89" wp14:editId="649B711D">
            <wp:extent cx="5238750" cy="4792134"/>
            <wp:effectExtent l="0" t="0" r="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3D2C" w:rsidRPr="00421C99" w:rsidRDefault="00030C51" w:rsidP="00421C99">
      <w:pPr>
        <w:pStyle w:val="PlainText"/>
        <w:spacing w:line="360" w:lineRule="auto"/>
        <w:rPr>
          <w:rFonts w:ascii="Times New Roman" w:hAnsi="Times New Roman" w:cs="Times New Roman"/>
          <w:b/>
          <w:sz w:val="24"/>
          <w:szCs w:val="24"/>
        </w:rPr>
      </w:pPr>
      <w:r w:rsidRPr="00421C99">
        <w:rPr>
          <w:rFonts w:ascii="Times New Roman" w:hAnsi="Times New Roman" w:cs="Times New Roman"/>
          <w:b/>
          <w:sz w:val="24"/>
          <w:szCs w:val="24"/>
        </w:rPr>
        <w:t xml:space="preserve">                </w:t>
      </w:r>
    </w:p>
    <w:p w:rsidR="00030C51" w:rsidRPr="00421C99" w:rsidRDefault="00E03D2C"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sz w:val="24"/>
          <w:szCs w:val="24"/>
          <w:lang w:val="en-US"/>
        </w:rPr>
        <w:t>4</w:t>
      </w:r>
      <w:r w:rsidR="00363BF3" w:rsidRPr="00421C99">
        <w:rPr>
          <w:rFonts w:ascii="Times New Roman" w:hAnsi="Times New Roman" w:cs="Times New Roman"/>
          <w:b/>
          <w:sz w:val="24"/>
          <w:szCs w:val="24"/>
          <w:lang w:val="en-US"/>
        </w:rPr>
        <w:t xml:space="preserve"> </w:t>
      </w:r>
      <w:proofErr w:type="spellStart"/>
      <w:r w:rsidR="00030C51" w:rsidRPr="00421C99">
        <w:rPr>
          <w:rFonts w:ascii="Times New Roman" w:hAnsi="Times New Roman" w:cs="Times New Roman"/>
          <w:sz w:val="24"/>
          <w:szCs w:val="24"/>
          <w:lang w:val="en-US"/>
        </w:rPr>
        <w:t>pav</w:t>
      </w:r>
      <w:proofErr w:type="spellEnd"/>
      <w:r w:rsidR="00030C51" w:rsidRPr="00421C99">
        <w:rPr>
          <w:rFonts w:ascii="Times New Roman" w:hAnsi="Times New Roman" w:cs="Times New Roman"/>
          <w:sz w:val="24"/>
          <w:szCs w:val="24"/>
          <w:lang w:val="en-US"/>
        </w:rPr>
        <w:t xml:space="preserve">. </w:t>
      </w:r>
      <w:proofErr w:type="spellStart"/>
      <w:r w:rsidR="00030C51" w:rsidRPr="00421C99">
        <w:rPr>
          <w:rFonts w:ascii="Times New Roman" w:hAnsi="Times New Roman" w:cs="Times New Roman"/>
          <w:sz w:val="24"/>
          <w:szCs w:val="24"/>
          <w:lang w:val="en-US"/>
        </w:rPr>
        <w:t>Ekonomini</w:t>
      </w:r>
      <w:proofErr w:type="spellEnd"/>
      <w:r w:rsidR="00030C51" w:rsidRPr="00421C99">
        <w:rPr>
          <w:rFonts w:ascii="Times New Roman" w:hAnsi="Times New Roman" w:cs="Times New Roman"/>
          <w:sz w:val="24"/>
          <w:szCs w:val="24"/>
        </w:rPr>
        <w:t>ų vertinimų rodiklis (</w:t>
      </w:r>
      <w:r w:rsidR="005601FD" w:rsidRPr="005601FD">
        <w:rPr>
          <w:rFonts w:ascii="Times New Roman" w:hAnsi="Times New Roman" w:cs="Times New Roman"/>
          <w:i/>
          <w:sz w:val="24"/>
          <w:szCs w:val="24"/>
        </w:rPr>
        <w:t>Šaltinis:</w:t>
      </w:r>
      <w:r w:rsidR="005601FD">
        <w:rPr>
          <w:rFonts w:ascii="Times New Roman" w:hAnsi="Times New Roman" w:cs="Times New Roman"/>
          <w:sz w:val="24"/>
          <w:szCs w:val="24"/>
        </w:rPr>
        <w:t xml:space="preserve"> </w:t>
      </w:r>
      <w:r w:rsidR="005601FD">
        <w:rPr>
          <w:rFonts w:ascii="Times New Roman" w:hAnsi="Times New Roman" w:cs="Times New Roman"/>
          <w:i/>
          <w:sz w:val="24"/>
          <w:szCs w:val="24"/>
        </w:rPr>
        <w:t>Lietuvos statistikos departamentas</w:t>
      </w:r>
      <w:r w:rsidR="00030C51" w:rsidRPr="00421C99">
        <w:rPr>
          <w:rFonts w:ascii="Times New Roman" w:hAnsi="Times New Roman" w:cs="Times New Roman"/>
          <w:sz w:val="24"/>
          <w:szCs w:val="24"/>
        </w:rPr>
        <w:t>)</w:t>
      </w:r>
    </w:p>
    <w:p w:rsidR="00A604F2" w:rsidRPr="00421C99" w:rsidRDefault="00A604F2" w:rsidP="00421C99">
      <w:pPr>
        <w:pStyle w:val="PlainText"/>
        <w:spacing w:line="360" w:lineRule="auto"/>
        <w:jc w:val="both"/>
        <w:rPr>
          <w:rFonts w:ascii="Times New Roman" w:hAnsi="Times New Roman" w:cs="Times New Roman"/>
          <w:b/>
          <w:sz w:val="24"/>
          <w:szCs w:val="24"/>
        </w:rPr>
      </w:pPr>
    </w:p>
    <w:p w:rsidR="00D04866" w:rsidRPr="00421C99" w:rsidRDefault="00E03D2C"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2</w:t>
      </w:r>
      <w:r w:rsidR="00A604F2" w:rsidRPr="00421C99">
        <w:rPr>
          <w:rFonts w:ascii="Times New Roman" w:hAnsi="Times New Roman" w:cs="Times New Roman"/>
          <w:b/>
          <w:sz w:val="24"/>
          <w:szCs w:val="24"/>
        </w:rPr>
        <w:t>.</w:t>
      </w:r>
      <w:r w:rsidRPr="00421C99">
        <w:rPr>
          <w:rFonts w:ascii="Times New Roman" w:hAnsi="Times New Roman" w:cs="Times New Roman"/>
          <w:b/>
          <w:sz w:val="24"/>
          <w:szCs w:val="24"/>
        </w:rPr>
        <w:t>3.</w:t>
      </w:r>
      <w:r w:rsidR="00A604F2" w:rsidRPr="00421C99">
        <w:rPr>
          <w:rFonts w:ascii="Times New Roman" w:hAnsi="Times New Roman" w:cs="Times New Roman"/>
          <w:b/>
          <w:sz w:val="24"/>
          <w:szCs w:val="24"/>
        </w:rPr>
        <w:t xml:space="preserve"> </w:t>
      </w:r>
      <w:r w:rsidR="00087BDA" w:rsidRPr="00421C99">
        <w:rPr>
          <w:rFonts w:ascii="Times New Roman" w:hAnsi="Times New Roman" w:cs="Times New Roman"/>
          <w:b/>
          <w:sz w:val="24"/>
          <w:szCs w:val="24"/>
        </w:rPr>
        <w:t>Toliau mažė</w:t>
      </w:r>
      <w:r w:rsidR="00421C99">
        <w:rPr>
          <w:rFonts w:ascii="Times New Roman" w:hAnsi="Times New Roman" w:cs="Times New Roman"/>
          <w:b/>
          <w:sz w:val="24"/>
          <w:szCs w:val="24"/>
        </w:rPr>
        <w:t>jo nedarbas ir jaunimo nedarbas</w:t>
      </w:r>
    </w:p>
    <w:p w:rsidR="004301AE" w:rsidRPr="00421C99" w:rsidRDefault="004301AE"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Nedarbas, pasiekęs savo „piką“ krizės giliaus</w:t>
      </w:r>
      <w:r w:rsidR="00E03D2C" w:rsidRPr="00421C99">
        <w:rPr>
          <w:rFonts w:ascii="Times New Roman" w:hAnsi="Times New Roman" w:cs="Times New Roman"/>
          <w:sz w:val="24"/>
          <w:szCs w:val="24"/>
        </w:rPr>
        <w:t>ios duobės laikotarpiu 2010 m.</w:t>
      </w:r>
      <w:r w:rsidRPr="00421C99">
        <w:rPr>
          <w:rFonts w:ascii="Times New Roman" w:hAnsi="Times New Roman" w:cs="Times New Roman"/>
          <w:sz w:val="24"/>
          <w:szCs w:val="24"/>
        </w:rPr>
        <w:t xml:space="preserve"> pirmą pusmetį, po t</w:t>
      </w:r>
      <w:r w:rsidR="00E03D2C" w:rsidRPr="00421C99">
        <w:rPr>
          <w:rFonts w:ascii="Times New Roman" w:hAnsi="Times New Roman" w:cs="Times New Roman"/>
          <w:sz w:val="24"/>
          <w:szCs w:val="24"/>
        </w:rPr>
        <w:t>o pradėjo nuosekliai mažėti. Tam didžiausią įtaką darė</w:t>
      </w:r>
      <w:r w:rsidRPr="00421C99">
        <w:rPr>
          <w:rFonts w:ascii="Times New Roman" w:hAnsi="Times New Roman" w:cs="Times New Roman"/>
          <w:sz w:val="24"/>
          <w:szCs w:val="24"/>
        </w:rPr>
        <w:t xml:space="preserve"> atsigaunanti ekonomika.</w:t>
      </w:r>
      <w:r w:rsidR="00FC6F26" w:rsidRPr="00421C99">
        <w:rPr>
          <w:rFonts w:ascii="Times New Roman" w:hAnsi="Times New Roman" w:cs="Times New Roman"/>
          <w:sz w:val="24"/>
          <w:szCs w:val="24"/>
        </w:rPr>
        <w:t xml:space="preserve"> </w:t>
      </w:r>
      <w:r w:rsidRPr="00421C99">
        <w:rPr>
          <w:rFonts w:ascii="Times New Roman" w:hAnsi="Times New Roman" w:cs="Times New Roman"/>
          <w:sz w:val="24"/>
          <w:szCs w:val="24"/>
        </w:rPr>
        <w:t xml:space="preserve">Toks nuoseklus </w:t>
      </w:r>
      <w:r w:rsidR="00E03D2C" w:rsidRPr="00421C99">
        <w:rPr>
          <w:rFonts w:ascii="Times New Roman" w:hAnsi="Times New Roman" w:cs="Times New Roman"/>
          <w:sz w:val="24"/>
          <w:szCs w:val="24"/>
        </w:rPr>
        <w:t xml:space="preserve">nedarbo </w:t>
      </w:r>
      <w:r w:rsidR="005B2407">
        <w:rPr>
          <w:rFonts w:ascii="Times New Roman" w:hAnsi="Times New Roman" w:cs="Times New Roman"/>
          <w:sz w:val="24"/>
          <w:szCs w:val="24"/>
        </w:rPr>
        <w:t>mažėjimas tęsėsi ir 2013 m</w:t>
      </w:r>
      <w:r w:rsidRPr="00421C99">
        <w:rPr>
          <w:rFonts w:ascii="Times New Roman" w:hAnsi="Times New Roman" w:cs="Times New Roman"/>
          <w:sz w:val="24"/>
          <w:szCs w:val="24"/>
        </w:rPr>
        <w:t>.</w:t>
      </w:r>
      <w:r w:rsidR="005B2407">
        <w:rPr>
          <w:rFonts w:ascii="Times New Roman" w:hAnsi="Times New Roman" w:cs="Times New Roman"/>
          <w:sz w:val="24"/>
          <w:szCs w:val="24"/>
        </w:rPr>
        <w:t xml:space="preserve"> (5 pav.).</w:t>
      </w:r>
      <w:r w:rsidRPr="00421C99">
        <w:rPr>
          <w:rFonts w:ascii="Times New Roman" w:hAnsi="Times New Roman" w:cs="Times New Roman"/>
          <w:sz w:val="24"/>
          <w:szCs w:val="24"/>
        </w:rPr>
        <w:t xml:space="preserve"> Lygiai tas pačias tendencijas galima matyti ir jaunimo nedarbo statistikoje</w:t>
      </w:r>
      <w:r w:rsidR="005B2407">
        <w:rPr>
          <w:rFonts w:ascii="Times New Roman" w:hAnsi="Times New Roman" w:cs="Times New Roman"/>
          <w:sz w:val="24"/>
          <w:szCs w:val="24"/>
        </w:rPr>
        <w:t xml:space="preserve"> (6 pav.)</w:t>
      </w:r>
      <w:r w:rsidRPr="00421C99">
        <w:rPr>
          <w:rFonts w:ascii="Times New Roman" w:hAnsi="Times New Roman" w:cs="Times New Roman"/>
          <w:sz w:val="24"/>
          <w:szCs w:val="24"/>
        </w:rPr>
        <w:t xml:space="preserve"> – didžiausias ned</w:t>
      </w:r>
      <w:r w:rsidR="00E03D2C" w:rsidRPr="00421C99">
        <w:rPr>
          <w:rFonts w:ascii="Times New Roman" w:hAnsi="Times New Roman" w:cs="Times New Roman"/>
          <w:sz w:val="24"/>
          <w:szCs w:val="24"/>
        </w:rPr>
        <w:t>arbas buvo fiksuojamas 2010 m.</w:t>
      </w:r>
      <w:r w:rsidRPr="00421C99">
        <w:rPr>
          <w:rFonts w:ascii="Times New Roman" w:hAnsi="Times New Roman" w:cs="Times New Roman"/>
          <w:sz w:val="24"/>
          <w:szCs w:val="24"/>
        </w:rPr>
        <w:t xml:space="preserve"> pradžioje, po to buvo stebimas nuoseklus šio rodiklio mažėjimas. Šių gerų tendencijų ypatingai nepaveikė ir MMA padidinimas, tačia</w:t>
      </w:r>
      <w:r w:rsidR="00E03D2C" w:rsidRPr="00421C99">
        <w:rPr>
          <w:rFonts w:ascii="Times New Roman" w:hAnsi="Times New Roman" w:cs="Times New Roman"/>
          <w:sz w:val="24"/>
          <w:szCs w:val="24"/>
        </w:rPr>
        <w:t>u galima matyti, kad 2013 m.</w:t>
      </w:r>
      <w:r w:rsidRPr="00421C99">
        <w:rPr>
          <w:rFonts w:ascii="Times New Roman" w:hAnsi="Times New Roman" w:cs="Times New Roman"/>
          <w:sz w:val="24"/>
          <w:szCs w:val="24"/>
        </w:rPr>
        <w:t xml:space="preserve"> nedarbo mažėjimo bendri tempai buvo lėtesni</w:t>
      </w:r>
      <w:r w:rsidR="00E03D2C" w:rsidRPr="00421C99">
        <w:rPr>
          <w:rFonts w:ascii="Times New Roman" w:hAnsi="Times New Roman" w:cs="Times New Roman"/>
          <w:sz w:val="24"/>
          <w:szCs w:val="24"/>
        </w:rPr>
        <w:t xml:space="preserve"> nei mažėjimo tempai 2012 m</w:t>
      </w:r>
      <w:r w:rsidRPr="00421C99">
        <w:rPr>
          <w:rFonts w:ascii="Times New Roman" w:hAnsi="Times New Roman" w:cs="Times New Roman"/>
          <w:sz w:val="24"/>
          <w:szCs w:val="24"/>
        </w:rPr>
        <w:t>.</w:t>
      </w:r>
    </w:p>
    <w:p w:rsidR="00181AA4" w:rsidRPr="00421C99" w:rsidRDefault="00181AA4"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noProof/>
          <w:sz w:val="24"/>
          <w:szCs w:val="24"/>
          <w:lang w:eastAsia="lt-LT"/>
        </w:rPr>
        <w:lastRenderedPageBreak/>
        <w:drawing>
          <wp:inline distT="0" distB="0" distL="0" distR="0" wp14:anchorId="6641B3FD" wp14:editId="01A2D41F">
            <wp:extent cx="4777740" cy="407670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01AE" w:rsidRPr="00421C99" w:rsidRDefault="004301AE" w:rsidP="00421C99">
      <w:pPr>
        <w:pStyle w:val="PlainText"/>
        <w:spacing w:line="360" w:lineRule="auto"/>
        <w:jc w:val="both"/>
        <w:rPr>
          <w:rFonts w:ascii="Times New Roman" w:hAnsi="Times New Roman" w:cs="Times New Roman"/>
          <w:sz w:val="24"/>
          <w:szCs w:val="24"/>
        </w:rPr>
      </w:pPr>
    </w:p>
    <w:p w:rsidR="004301AE" w:rsidRPr="00421C99" w:rsidRDefault="00363BF3"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sz w:val="24"/>
          <w:szCs w:val="24"/>
          <w:lang w:val="en-US"/>
        </w:rPr>
        <w:t xml:space="preserve">5 </w:t>
      </w:r>
      <w:r w:rsidRPr="00421C99">
        <w:rPr>
          <w:rFonts w:ascii="Times New Roman" w:hAnsi="Times New Roman" w:cs="Times New Roman"/>
          <w:sz w:val="24"/>
          <w:szCs w:val="24"/>
        </w:rPr>
        <w:t>p</w:t>
      </w:r>
      <w:r w:rsidR="004301AE" w:rsidRPr="00421C99">
        <w:rPr>
          <w:rFonts w:ascii="Times New Roman" w:hAnsi="Times New Roman" w:cs="Times New Roman"/>
          <w:sz w:val="24"/>
          <w:szCs w:val="24"/>
        </w:rPr>
        <w:t>av. Nedarbo mažėjimas</w:t>
      </w:r>
      <w:r w:rsidR="00E03D2C" w:rsidRPr="00421C99">
        <w:rPr>
          <w:rFonts w:ascii="Times New Roman" w:hAnsi="Times New Roman" w:cs="Times New Roman"/>
          <w:sz w:val="24"/>
          <w:szCs w:val="24"/>
        </w:rPr>
        <w:t xml:space="preserve"> (</w:t>
      </w:r>
      <w:r w:rsidR="005601FD" w:rsidRPr="005601FD">
        <w:rPr>
          <w:rFonts w:ascii="Times New Roman" w:hAnsi="Times New Roman" w:cs="Times New Roman"/>
          <w:i/>
          <w:sz w:val="24"/>
          <w:szCs w:val="24"/>
        </w:rPr>
        <w:t>Šaltinis:</w:t>
      </w:r>
      <w:r w:rsidR="005601FD">
        <w:rPr>
          <w:rFonts w:ascii="Times New Roman" w:hAnsi="Times New Roman" w:cs="Times New Roman"/>
          <w:sz w:val="24"/>
          <w:szCs w:val="24"/>
        </w:rPr>
        <w:t xml:space="preserve"> </w:t>
      </w:r>
      <w:r w:rsidR="005601FD">
        <w:rPr>
          <w:rFonts w:ascii="Times New Roman" w:hAnsi="Times New Roman" w:cs="Times New Roman"/>
          <w:i/>
          <w:sz w:val="24"/>
          <w:szCs w:val="24"/>
        </w:rPr>
        <w:t>Lietuvos statistikos departamentas</w:t>
      </w:r>
      <w:r w:rsidRPr="00421C99">
        <w:rPr>
          <w:rFonts w:ascii="Times New Roman" w:hAnsi="Times New Roman" w:cs="Times New Roman"/>
          <w:sz w:val="24"/>
          <w:szCs w:val="24"/>
        </w:rPr>
        <w:t>)</w:t>
      </w:r>
    </w:p>
    <w:p w:rsidR="00363BF3" w:rsidRPr="00421C99" w:rsidRDefault="00363BF3" w:rsidP="00421C99">
      <w:pPr>
        <w:pStyle w:val="PlainText"/>
        <w:spacing w:line="360" w:lineRule="auto"/>
        <w:jc w:val="both"/>
        <w:rPr>
          <w:rFonts w:ascii="Times New Roman" w:hAnsi="Times New Roman" w:cs="Times New Roman"/>
          <w:sz w:val="24"/>
          <w:szCs w:val="24"/>
        </w:rPr>
      </w:pPr>
    </w:p>
    <w:p w:rsidR="00E03D2C" w:rsidRPr="00421C99" w:rsidRDefault="00181AA4"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noProof/>
          <w:sz w:val="24"/>
          <w:szCs w:val="24"/>
          <w:lang w:eastAsia="lt-LT"/>
        </w:rPr>
        <w:drawing>
          <wp:inline distT="0" distB="0" distL="0" distR="0" wp14:anchorId="00F29755" wp14:editId="75A435FF">
            <wp:extent cx="4724400" cy="4053840"/>
            <wp:effectExtent l="0" t="0" r="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7665" w:rsidRPr="00421C99" w:rsidRDefault="00363BF3" w:rsidP="004535CE">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sz w:val="24"/>
          <w:szCs w:val="24"/>
        </w:rPr>
        <w:t>6pav. Jaunimo nedarbas (</w:t>
      </w:r>
      <w:r w:rsidR="005601FD" w:rsidRPr="005601FD">
        <w:rPr>
          <w:rFonts w:ascii="Times New Roman" w:hAnsi="Times New Roman" w:cs="Times New Roman"/>
          <w:i/>
          <w:sz w:val="24"/>
          <w:szCs w:val="24"/>
        </w:rPr>
        <w:t>Šaltinis:</w:t>
      </w:r>
      <w:r w:rsidR="005601FD">
        <w:rPr>
          <w:rFonts w:ascii="Times New Roman" w:hAnsi="Times New Roman" w:cs="Times New Roman"/>
          <w:sz w:val="24"/>
          <w:szCs w:val="24"/>
        </w:rPr>
        <w:t xml:space="preserve"> </w:t>
      </w:r>
      <w:r w:rsidR="005601FD">
        <w:rPr>
          <w:rFonts w:ascii="Times New Roman" w:hAnsi="Times New Roman" w:cs="Times New Roman"/>
          <w:i/>
          <w:sz w:val="24"/>
          <w:szCs w:val="24"/>
        </w:rPr>
        <w:t>Lietuvos statistikos departamentas</w:t>
      </w:r>
      <w:r w:rsidRPr="00421C99">
        <w:rPr>
          <w:rFonts w:ascii="Times New Roman" w:hAnsi="Times New Roman" w:cs="Times New Roman"/>
          <w:sz w:val="24"/>
          <w:szCs w:val="24"/>
        </w:rPr>
        <w:t>)</w:t>
      </w:r>
    </w:p>
    <w:p w:rsidR="00842E99" w:rsidRPr="00421C99" w:rsidRDefault="00E03D2C"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lastRenderedPageBreak/>
        <w:t>2</w:t>
      </w:r>
      <w:r w:rsidR="007C7665" w:rsidRPr="00421C99">
        <w:rPr>
          <w:rFonts w:ascii="Times New Roman" w:hAnsi="Times New Roman" w:cs="Times New Roman"/>
          <w:b/>
          <w:sz w:val="24"/>
          <w:szCs w:val="24"/>
        </w:rPr>
        <w:t>.</w:t>
      </w:r>
      <w:r w:rsidRPr="00421C99">
        <w:rPr>
          <w:rFonts w:ascii="Times New Roman" w:hAnsi="Times New Roman" w:cs="Times New Roman"/>
          <w:b/>
          <w:sz w:val="24"/>
          <w:szCs w:val="24"/>
          <w:lang w:val="en-US"/>
        </w:rPr>
        <w:t>4.</w:t>
      </w:r>
      <w:r w:rsidR="007C7665" w:rsidRPr="00421C99">
        <w:rPr>
          <w:rFonts w:ascii="Times New Roman" w:hAnsi="Times New Roman" w:cs="Times New Roman"/>
          <w:b/>
          <w:sz w:val="24"/>
          <w:szCs w:val="24"/>
        </w:rPr>
        <w:t xml:space="preserve"> Toliau mažėjo emigracijos sraut</w:t>
      </w:r>
      <w:r w:rsidR="00421C99">
        <w:rPr>
          <w:rFonts w:ascii="Times New Roman" w:hAnsi="Times New Roman" w:cs="Times New Roman"/>
          <w:b/>
          <w:sz w:val="24"/>
          <w:szCs w:val="24"/>
        </w:rPr>
        <w:t xml:space="preserve">ai ir augo </w:t>
      </w:r>
      <w:proofErr w:type="spellStart"/>
      <w:r w:rsidR="00421C99">
        <w:rPr>
          <w:rFonts w:ascii="Times New Roman" w:hAnsi="Times New Roman" w:cs="Times New Roman"/>
          <w:b/>
          <w:sz w:val="24"/>
          <w:szCs w:val="24"/>
        </w:rPr>
        <w:t>reemigracijos</w:t>
      </w:r>
      <w:proofErr w:type="spellEnd"/>
      <w:r w:rsidR="00421C99">
        <w:rPr>
          <w:rFonts w:ascii="Times New Roman" w:hAnsi="Times New Roman" w:cs="Times New Roman"/>
          <w:b/>
          <w:sz w:val="24"/>
          <w:szCs w:val="24"/>
        </w:rPr>
        <w:t xml:space="preserve"> tempai</w:t>
      </w:r>
    </w:p>
    <w:p w:rsidR="00842E99" w:rsidRPr="00421C99" w:rsidRDefault="00842E99"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Ekonomiko</w:t>
      </w:r>
      <w:r w:rsidR="00E03D2C" w:rsidRPr="00421C99">
        <w:rPr>
          <w:rFonts w:ascii="Times New Roman" w:hAnsi="Times New Roman" w:cs="Times New Roman"/>
          <w:sz w:val="24"/>
          <w:szCs w:val="24"/>
        </w:rPr>
        <w:t>s krizė, prasidėjusi 2008 m.</w:t>
      </w:r>
      <w:r w:rsidRPr="00421C99">
        <w:rPr>
          <w:rFonts w:ascii="Times New Roman" w:hAnsi="Times New Roman" w:cs="Times New Roman"/>
          <w:sz w:val="24"/>
          <w:szCs w:val="24"/>
        </w:rPr>
        <w:t>, lėmė ir staigų emigracijos srautų padidėjim</w:t>
      </w:r>
      <w:r w:rsidR="00100F91" w:rsidRPr="00421C99">
        <w:rPr>
          <w:rFonts w:ascii="Times New Roman" w:hAnsi="Times New Roman" w:cs="Times New Roman"/>
          <w:sz w:val="24"/>
          <w:szCs w:val="24"/>
        </w:rPr>
        <w:t>ą tuo laikotarpiu. Nuo 2010 m.</w:t>
      </w:r>
      <w:r w:rsidRPr="00421C99">
        <w:rPr>
          <w:rFonts w:ascii="Times New Roman" w:hAnsi="Times New Roman" w:cs="Times New Roman"/>
          <w:sz w:val="24"/>
          <w:szCs w:val="24"/>
        </w:rPr>
        <w:t xml:space="preserve"> </w:t>
      </w:r>
      <w:r w:rsidR="00100F91" w:rsidRPr="00421C99">
        <w:rPr>
          <w:rFonts w:ascii="Times New Roman" w:hAnsi="Times New Roman" w:cs="Times New Roman"/>
          <w:sz w:val="24"/>
          <w:szCs w:val="24"/>
        </w:rPr>
        <w:t>įgyvendintas Privalomojo sveikatos draudimo fondo (PSDF)</w:t>
      </w:r>
      <w:r w:rsidRPr="00421C99">
        <w:rPr>
          <w:rFonts w:ascii="Times New Roman" w:hAnsi="Times New Roman" w:cs="Times New Roman"/>
          <w:sz w:val="24"/>
          <w:szCs w:val="24"/>
        </w:rPr>
        <w:t xml:space="preserve"> taisyklių pakeitimas tuo laikotarpiu lėmė ir ženklų emigrantų registracijos padidėjimą, kas atsispindi ir to laikotarpio st</w:t>
      </w:r>
      <w:r w:rsidR="00100F91" w:rsidRPr="00421C99">
        <w:rPr>
          <w:rFonts w:ascii="Times New Roman" w:hAnsi="Times New Roman" w:cs="Times New Roman"/>
          <w:sz w:val="24"/>
          <w:szCs w:val="24"/>
        </w:rPr>
        <w:t>atistikoje. Tačiau nuo 2010 m. prasidėjęs</w:t>
      </w:r>
      <w:r w:rsidRPr="00421C99">
        <w:rPr>
          <w:rFonts w:ascii="Times New Roman" w:hAnsi="Times New Roman" w:cs="Times New Roman"/>
          <w:sz w:val="24"/>
          <w:szCs w:val="24"/>
        </w:rPr>
        <w:t xml:space="preserve"> spartus </w:t>
      </w:r>
      <w:r w:rsidR="00100F91" w:rsidRPr="00421C99">
        <w:rPr>
          <w:rFonts w:ascii="Times New Roman" w:hAnsi="Times New Roman" w:cs="Times New Roman"/>
          <w:sz w:val="24"/>
          <w:szCs w:val="24"/>
        </w:rPr>
        <w:t xml:space="preserve">ekonomikos </w:t>
      </w:r>
      <w:r w:rsidRPr="00421C99">
        <w:rPr>
          <w:rFonts w:ascii="Times New Roman" w:hAnsi="Times New Roman" w:cs="Times New Roman"/>
          <w:sz w:val="24"/>
          <w:szCs w:val="24"/>
        </w:rPr>
        <w:t>atsigavimas, l</w:t>
      </w:r>
      <w:r w:rsidR="00100F91" w:rsidRPr="00421C99">
        <w:rPr>
          <w:rFonts w:ascii="Times New Roman" w:hAnsi="Times New Roman" w:cs="Times New Roman"/>
          <w:sz w:val="24"/>
          <w:szCs w:val="24"/>
        </w:rPr>
        <w:t>ėmė ir tai, kad jau 2011 m.</w:t>
      </w:r>
      <w:r w:rsidRPr="00421C99">
        <w:rPr>
          <w:rFonts w:ascii="Times New Roman" w:hAnsi="Times New Roman" w:cs="Times New Roman"/>
          <w:sz w:val="24"/>
          <w:szCs w:val="24"/>
        </w:rPr>
        <w:t xml:space="preserve"> emigracijos tempai stipriai sumažėjo</w:t>
      </w:r>
      <w:r w:rsidR="00D411C6" w:rsidRPr="00421C99">
        <w:rPr>
          <w:rFonts w:ascii="Times New Roman" w:hAnsi="Times New Roman" w:cs="Times New Roman"/>
          <w:sz w:val="24"/>
          <w:szCs w:val="24"/>
        </w:rPr>
        <w:t xml:space="preserve">, tokios pat tendencijos  buvo </w:t>
      </w:r>
      <w:r w:rsidR="00100F91" w:rsidRPr="00421C99">
        <w:rPr>
          <w:rFonts w:ascii="Times New Roman" w:hAnsi="Times New Roman" w:cs="Times New Roman"/>
          <w:sz w:val="24"/>
          <w:szCs w:val="24"/>
        </w:rPr>
        <w:t>stebimos ir 2012 bei 2013 m</w:t>
      </w:r>
      <w:r w:rsidR="00D411C6" w:rsidRPr="00421C99">
        <w:rPr>
          <w:rFonts w:ascii="Times New Roman" w:hAnsi="Times New Roman" w:cs="Times New Roman"/>
          <w:sz w:val="24"/>
          <w:szCs w:val="24"/>
        </w:rPr>
        <w:t>.</w:t>
      </w:r>
      <w:r w:rsidR="004535CE">
        <w:rPr>
          <w:rFonts w:ascii="Times New Roman" w:hAnsi="Times New Roman" w:cs="Times New Roman"/>
          <w:sz w:val="24"/>
          <w:szCs w:val="24"/>
        </w:rPr>
        <w:t xml:space="preserve"> </w:t>
      </w:r>
      <w:r w:rsidR="005B2407">
        <w:rPr>
          <w:rFonts w:ascii="Times New Roman" w:hAnsi="Times New Roman" w:cs="Times New Roman"/>
          <w:sz w:val="24"/>
          <w:szCs w:val="24"/>
        </w:rPr>
        <w:t xml:space="preserve">(7 pav.). </w:t>
      </w:r>
      <w:r w:rsidR="004535CE" w:rsidRPr="004535CE">
        <w:rPr>
          <w:rFonts w:ascii="Times New Roman" w:hAnsi="Times New Roman" w:cs="Times New Roman"/>
          <w:sz w:val="24"/>
          <w:szCs w:val="24"/>
        </w:rPr>
        <w:t xml:space="preserve">Verta pastebėti, kad atsigaunant Lietuvos ekonomikai, ėmė didėti ir lietuvių </w:t>
      </w:r>
      <w:proofErr w:type="spellStart"/>
      <w:r w:rsidR="004535CE">
        <w:rPr>
          <w:rFonts w:ascii="Times New Roman" w:hAnsi="Times New Roman" w:cs="Times New Roman"/>
          <w:sz w:val="24"/>
          <w:szCs w:val="24"/>
        </w:rPr>
        <w:t>re</w:t>
      </w:r>
      <w:r w:rsidR="004535CE" w:rsidRPr="004535CE">
        <w:rPr>
          <w:rFonts w:ascii="Times New Roman" w:hAnsi="Times New Roman" w:cs="Times New Roman"/>
          <w:sz w:val="24"/>
          <w:szCs w:val="24"/>
        </w:rPr>
        <w:t>emigracijos</w:t>
      </w:r>
      <w:proofErr w:type="spellEnd"/>
      <w:r w:rsidR="004535CE" w:rsidRPr="004535CE">
        <w:rPr>
          <w:rFonts w:ascii="Times New Roman" w:hAnsi="Times New Roman" w:cs="Times New Roman"/>
          <w:sz w:val="24"/>
          <w:szCs w:val="24"/>
        </w:rPr>
        <w:t xml:space="preserve"> srautai, kurie dar niekada nėra buvę tokie dideli. Tai lėmė ir paaštrėjusios ekonominės problemos tose šalyse, kur yra susikaupę didžiausios lietuvių emigrantų bendruomenės.</w:t>
      </w:r>
    </w:p>
    <w:p w:rsidR="00D411C6" w:rsidRPr="00421C99" w:rsidRDefault="00D411C6" w:rsidP="00421C99">
      <w:pPr>
        <w:pStyle w:val="PlainText"/>
        <w:spacing w:line="360" w:lineRule="auto"/>
        <w:jc w:val="both"/>
        <w:rPr>
          <w:rFonts w:ascii="Times New Roman" w:hAnsi="Times New Roman" w:cs="Times New Roman"/>
          <w:sz w:val="24"/>
          <w:szCs w:val="24"/>
        </w:rPr>
      </w:pPr>
    </w:p>
    <w:p w:rsidR="000A4A39" w:rsidRPr="00421C99" w:rsidRDefault="000A4A39"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noProof/>
          <w:sz w:val="24"/>
          <w:szCs w:val="24"/>
          <w:lang w:eastAsia="lt-LT"/>
        </w:rPr>
        <w:drawing>
          <wp:inline distT="0" distB="0" distL="0" distR="0" wp14:anchorId="0D91D7BE" wp14:editId="2F0E4B79">
            <wp:extent cx="5029200" cy="3649980"/>
            <wp:effectExtent l="0" t="0" r="0" b="76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11C6" w:rsidRPr="00421C99" w:rsidRDefault="00D411C6" w:rsidP="00421C99">
      <w:pPr>
        <w:pStyle w:val="PlainText"/>
        <w:spacing w:line="360" w:lineRule="auto"/>
        <w:jc w:val="both"/>
        <w:rPr>
          <w:rFonts w:ascii="Times New Roman" w:hAnsi="Times New Roman" w:cs="Times New Roman"/>
          <w:sz w:val="24"/>
          <w:szCs w:val="24"/>
        </w:rPr>
      </w:pPr>
    </w:p>
    <w:p w:rsidR="00D411C6" w:rsidRPr="00421C99" w:rsidRDefault="00363BF3"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sz w:val="24"/>
          <w:szCs w:val="24"/>
        </w:rPr>
        <w:t xml:space="preserve">7 pav. </w:t>
      </w:r>
      <w:r w:rsidR="00D411C6" w:rsidRPr="00421C99">
        <w:rPr>
          <w:rFonts w:ascii="Times New Roman" w:hAnsi="Times New Roman" w:cs="Times New Roman"/>
          <w:sz w:val="24"/>
          <w:szCs w:val="24"/>
        </w:rPr>
        <w:t xml:space="preserve">Emigracijos nuoseklus mažėjimas ir </w:t>
      </w:r>
      <w:proofErr w:type="spellStart"/>
      <w:r w:rsidR="00D411C6" w:rsidRPr="00421C99">
        <w:rPr>
          <w:rFonts w:ascii="Times New Roman" w:hAnsi="Times New Roman" w:cs="Times New Roman"/>
          <w:sz w:val="24"/>
          <w:szCs w:val="24"/>
        </w:rPr>
        <w:t>reemigracijos</w:t>
      </w:r>
      <w:proofErr w:type="spellEnd"/>
      <w:r w:rsidR="00D411C6" w:rsidRPr="00421C99">
        <w:rPr>
          <w:rFonts w:ascii="Times New Roman" w:hAnsi="Times New Roman" w:cs="Times New Roman"/>
          <w:sz w:val="24"/>
          <w:szCs w:val="24"/>
        </w:rPr>
        <w:t xml:space="preserve"> didėjimas</w:t>
      </w:r>
      <w:r w:rsidRPr="00421C99">
        <w:rPr>
          <w:rFonts w:ascii="Times New Roman" w:hAnsi="Times New Roman" w:cs="Times New Roman"/>
          <w:sz w:val="24"/>
          <w:szCs w:val="24"/>
        </w:rPr>
        <w:t xml:space="preserve"> (</w:t>
      </w:r>
      <w:r w:rsidR="005601FD" w:rsidRPr="005601FD">
        <w:rPr>
          <w:rFonts w:ascii="Times New Roman" w:hAnsi="Times New Roman" w:cs="Times New Roman"/>
          <w:i/>
          <w:sz w:val="24"/>
          <w:szCs w:val="24"/>
        </w:rPr>
        <w:t>Šaltinis:</w:t>
      </w:r>
      <w:r w:rsidR="005601FD">
        <w:rPr>
          <w:rFonts w:ascii="Times New Roman" w:hAnsi="Times New Roman" w:cs="Times New Roman"/>
          <w:sz w:val="24"/>
          <w:szCs w:val="24"/>
        </w:rPr>
        <w:t xml:space="preserve"> </w:t>
      </w:r>
      <w:r w:rsidR="005601FD">
        <w:rPr>
          <w:rFonts w:ascii="Times New Roman" w:hAnsi="Times New Roman" w:cs="Times New Roman"/>
          <w:i/>
          <w:sz w:val="24"/>
          <w:szCs w:val="24"/>
        </w:rPr>
        <w:t>Lietuvos statistikos departamentas</w:t>
      </w:r>
      <w:r w:rsidRPr="00421C99">
        <w:rPr>
          <w:rFonts w:ascii="Times New Roman" w:hAnsi="Times New Roman" w:cs="Times New Roman"/>
          <w:sz w:val="24"/>
          <w:szCs w:val="24"/>
        </w:rPr>
        <w:t>)</w:t>
      </w:r>
    </w:p>
    <w:p w:rsidR="000A4A39" w:rsidRPr="00421C99" w:rsidRDefault="000A4A39" w:rsidP="00421C99">
      <w:pPr>
        <w:pStyle w:val="PlainText"/>
        <w:spacing w:line="360" w:lineRule="auto"/>
        <w:jc w:val="both"/>
        <w:rPr>
          <w:rFonts w:ascii="Times New Roman" w:hAnsi="Times New Roman" w:cs="Times New Roman"/>
          <w:sz w:val="24"/>
          <w:szCs w:val="24"/>
        </w:rPr>
      </w:pPr>
    </w:p>
    <w:p w:rsidR="00D411C6" w:rsidRPr="00421C99" w:rsidRDefault="00100F91"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2.5</w:t>
      </w:r>
      <w:r w:rsidR="00D411C6" w:rsidRPr="00421C99">
        <w:rPr>
          <w:rFonts w:ascii="Times New Roman" w:hAnsi="Times New Roman" w:cs="Times New Roman"/>
          <w:b/>
          <w:sz w:val="24"/>
          <w:szCs w:val="24"/>
        </w:rPr>
        <w:t>. Augant ekonomikai, pradeda augti ir atlyginimai</w:t>
      </w:r>
    </w:p>
    <w:p w:rsidR="00D411C6" w:rsidRPr="00421C99" w:rsidRDefault="00D411C6"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Po krizės atsigaunant ekonomikai, pradeda augti ir atlyginimai, kurie krizės laikotarpiu tiek privačiame, tiek viešajame sektoriuje buvo stipriai sumažėję. Lietuva krizę įveikė vidinės devalvacijos būdu, kai ekonomikos konkurencingumas išorės rinkose buvo ženkliai sustiprintas sumažinus darbo jėgos kaštus. Atsigavus ekonomikai, atsirandant naujoms darbo vietoms, prasidedant konkurencijai dėl kvalifikuotos darbo jėgos, stiprėja ir natūralūs rinkos faktoriai, lemiantys nuoseklų darbo užmokesčio augimą. 2013 </w:t>
      </w:r>
      <w:r w:rsidR="00100F91" w:rsidRPr="00421C99">
        <w:rPr>
          <w:rFonts w:ascii="Times New Roman" w:hAnsi="Times New Roman" w:cs="Times New Roman"/>
          <w:sz w:val="24"/>
          <w:szCs w:val="24"/>
        </w:rPr>
        <w:t>m.</w:t>
      </w:r>
      <w:r w:rsidR="005B2407">
        <w:rPr>
          <w:rFonts w:ascii="Times New Roman" w:hAnsi="Times New Roman" w:cs="Times New Roman"/>
          <w:sz w:val="24"/>
          <w:szCs w:val="24"/>
        </w:rPr>
        <w:t xml:space="preserve"> tęsėsi nuo </w:t>
      </w:r>
      <w:r w:rsidR="005B2407">
        <w:rPr>
          <w:rFonts w:ascii="Times New Roman" w:hAnsi="Times New Roman" w:cs="Times New Roman"/>
          <w:sz w:val="24"/>
          <w:szCs w:val="24"/>
          <w:lang w:val="en-US"/>
        </w:rPr>
        <w:t xml:space="preserve">2004 m. </w:t>
      </w:r>
      <w:proofErr w:type="spellStart"/>
      <w:r w:rsidR="005B2407">
        <w:rPr>
          <w:rFonts w:ascii="Times New Roman" w:hAnsi="Times New Roman" w:cs="Times New Roman"/>
          <w:sz w:val="24"/>
          <w:szCs w:val="24"/>
          <w:lang w:val="en-US"/>
        </w:rPr>
        <w:t>prasid</w:t>
      </w:r>
      <w:proofErr w:type="spellEnd"/>
      <w:r w:rsidR="005B2407">
        <w:rPr>
          <w:rFonts w:ascii="Times New Roman" w:hAnsi="Times New Roman" w:cs="Times New Roman"/>
          <w:sz w:val="24"/>
          <w:szCs w:val="24"/>
        </w:rPr>
        <w:t>ėjusios</w:t>
      </w:r>
      <w:r w:rsidRPr="00421C99">
        <w:rPr>
          <w:rFonts w:ascii="Times New Roman" w:hAnsi="Times New Roman" w:cs="Times New Roman"/>
          <w:sz w:val="24"/>
          <w:szCs w:val="24"/>
        </w:rPr>
        <w:t xml:space="preserve"> darbo </w:t>
      </w:r>
      <w:r w:rsidRPr="00421C99">
        <w:rPr>
          <w:rFonts w:ascii="Times New Roman" w:hAnsi="Times New Roman" w:cs="Times New Roman"/>
          <w:sz w:val="24"/>
          <w:szCs w:val="24"/>
        </w:rPr>
        <w:lastRenderedPageBreak/>
        <w:t>u</w:t>
      </w:r>
      <w:r w:rsidR="00D32B75" w:rsidRPr="00421C99">
        <w:rPr>
          <w:rFonts w:ascii="Times New Roman" w:hAnsi="Times New Roman" w:cs="Times New Roman"/>
          <w:sz w:val="24"/>
          <w:szCs w:val="24"/>
        </w:rPr>
        <w:t>žmokesčio augimo</w:t>
      </w:r>
      <w:r w:rsidR="00100F91" w:rsidRPr="00421C99">
        <w:rPr>
          <w:rFonts w:ascii="Times New Roman" w:hAnsi="Times New Roman" w:cs="Times New Roman"/>
          <w:sz w:val="24"/>
          <w:szCs w:val="24"/>
        </w:rPr>
        <w:t xml:space="preserve"> tendencijos</w:t>
      </w:r>
      <w:r w:rsidR="005B2407">
        <w:rPr>
          <w:rFonts w:ascii="Times New Roman" w:hAnsi="Times New Roman" w:cs="Times New Roman"/>
          <w:sz w:val="24"/>
          <w:szCs w:val="24"/>
        </w:rPr>
        <w:t xml:space="preserve"> (</w:t>
      </w:r>
      <w:r w:rsidR="005B2407">
        <w:rPr>
          <w:rFonts w:ascii="Times New Roman" w:hAnsi="Times New Roman" w:cs="Times New Roman"/>
          <w:sz w:val="24"/>
          <w:szCs w:val="24"/>
          <w:lang w:val="en-US"/>
        </w:rPr>
        <w:t xml:space="preserve">8 </w:t>
      </w:r>
      <w:proofErr w:type="spellStart"/>
      <w:r w:rsidR="005B2407">
        <w:rPr>
          <w:rFonts w:ascii="Times New Roman" w:hAnsi="Times New Roman" w:cs="Times New Roman"/>
          <w:sz w:val="24"/>
          <w:szCs w:val="24"/>
          <w:lang w:val="en-US"/>
        </w:rPr>
        <w:t>pav</w:t>
      </w:r>
      <w:proofErr w:type="spellEnd"/>
      <w:r w:rsidR="005B2407">
        <w:rPr>
          <w:rFonts w:ascii="Times New Roman" w:hAnsi="Times New Roman" w:cs="Times New Roman"/>
          <w:sz w:val="24"/>
          <w:szCs w:val="24"/>
          <w:lang w:val="en-US"/>
        </w:rPr>
        <w:t xml:space="preserve">.), </w:t>
      </w:r>
      <w:proofErr w:type="spellStart"/>
      <w:r w:rsidR="005B2407">
        <w:rPr>
          <w:rFonts w:ascii="Times New Roman" w:hAnsi="Times New Roman" w:cs="Times New Roman"/>
          <w:sz w:val="24"/>
          <w:szCs w:val="24"/>
          <w:lang w:val="en-US"/>
        </w:rPr>
        <w:t>jos</w:t>
      </w:r>
      <w:proofErr w:type="spellEnd"/>
      <w:r w:rsidR="00100F91" w:rsidRPr="00421C99">
        <w:rPr>
          <w:rFonts w:ascii="Times New Roman" w:hAnsi="Times New Roman" w:cs="Times New Roman"/>
          <w:sz w:val="24"/>
          <w:szCs w:val="24"/>
        </w:rPr>
        <w:t xml:space="preserve"> atitiko 2012 m.</w:t>
      </w:r>
      <w:r w:rsidR="00D32B75" w:rsidRPr="00421C99">
        <w:rPr>
          <w:rFonts w:ascii="Times New Roman" w:hAnsi="Times New Roman" w:cs="Times New Roman"/>
          <w:sz w:val="24"/>
          <w:szCs w:val="24"/>
        </w:rPr>
        <w:t xml:space="preserve"> dar XV Vyriausybės n</w:t>
      </w:r>
      <w:r w:rsidR="00100F91" w:rsidRPr="00421C99">
        <w:rPr>
          <w:rFonts w:ascii="Times New Roman" w:hAnsi="Times New Roman" w:cs="Times New Roman"/>
          <w:sz w:val="24"/>
          <w:szCs w:val="24"/>
        </w:rPr>
        <w:t>ustatytas darbo užmokesčio 2013 m.</w:t>
      </w:r>
      <w:r w:rsidR="00D32B75" w:rsidRPr="00421C99">
        <w:rPr>
          <w:rFonts w:ascii="Times New Roman" w:hAnsi="Times New Roman" w:cs="Times New Roman"/>
          <w:sz w:val="24"/>
          <w:szCs w:val="24"/>
        </w:rPr>
        <w:t xml:space="preserve"> augimo prognozes, kuriomis re</w:t>
      </w:r>
      <w:r w:rsidR="00100F91" w:rsidRPr="00421C99">
        <w:rPr>
          <w:rFonts w:ascii="Times New Roman" w:hAnsi="Times New Roman" w:cs="Times New Roman"/>
          <w:sz w:val="24"/>
          <w:szCs w:val="24"/>
        </w:rPr>
        <w:t>miantis buvo parengtas 2013 m.</w:t>
      </w:r>
      <w:r w:rsidR="00D32B75" w:rsidRPr="00421C99">
        <w:rPr>
          <w:rFonts w:ascii="Times New Roman" w:hAnsi="Times New Roman" w:cs="Times New Roman"/>
          <w:sz w:val="24"/>
          <w:szCs w:val="24"/>
        </w:rPr>
        <w:t xml:space="preserve"> Nacionalinio biudžeto pajamų planas. Šių prognozių išsipildymo  iš esmės nepaveikė ir XVI Vyriausybės įgyvendintas žymus MMA padidinimas.</w:t>
      </w:r>
      <w:r w:rsidR="004535CE" w:rsidRPr="004535CE">
        <w:t xml:space="preserve"> </w:t>
      </w:r>
      <w:r w:rsidR="004535CE" w:rsidRPr="004535CE">
        <w:rPr>
          <w:rFonts w:ascii="Times New Roman" w:hAnsi="Times New Roman" w:cs="Times New Roman"/>
          <w:sz w:val="24"/>
          <w:szCs w:val="24"/>
        </w:rPr>
        <w:t>Šios darbo užmokesčio augimo tendencij</w:t>
      </w:r>
      <w:r w:rsidR="004535CE">
        <w:rPr>
          <w:rFonts w:ascii="Times New Roman" w:hAnsi="Times New Roman" w:cs="Times New Roman"/>
          <w:sz w:val="24"/>
          <w:szCs w:val="24"/>
        </w:rPr>
        <w:t>os nesikeičia nuo pat 2011 m.</w:t>
      </w:r>
    </w:p>
    <w:p w:rsidR="00D32B75" w:rsidRPr="00421C99" w:rsidRDefault="00D32B75" w:rsidP="00421C99">
      <w:pPr>
        <w:pStyle w:val="PlainText"/>
        <w:spacing w:line="360" w:lineRule="auto"/>
        <w:jc w:val="both"/>
        <w:rPr>
          <w:rFonts w:ascii="Times New Roman" w:hAnsi="Times New Roman" w:cs="Times New Roman"/>
          <w:sz w:val="24"/>
          <w:szCs w:val="24"/>
        </w:rPr>
      </w:pPr>
    </w:p>
    <w:p w:rsidR="00D32B75" w:rsidRPr="00421C99" w:rsidRDefault="000A4A39"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noProof/>
          <w:sz w:val="24"/>
          <w:szCs w:val="24"/>
          <w:lang w:eastAsia="lt-LT"/>
        </w:rPr>
        <w:drawing>
          <wp:inline distT="0" distB="0" distL="0" distR="0" wp14:anchorId="78E596C4" wp14:editId="1AD5DC49">
            <wp:extent cx="4869180" cy="2964180"/>
            <wp:effectExtent l="0" t="0" r="7620" b="76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2B75" w:rsidRPr="00421C99" w:rsidRDefault="00D32B75" w:rsidP="00421C99">
      <w:pPr>
        <w:pStyle w:val="PlainText"/>
        <w:spacing w:line="360" w:lineRule="auto"/>
        <w:jc w:val="both"/>
        <w:rPr>
          <w:rFonts w:ascii="Times New Roman" w:hAnsi="Times New Roman" w:cs="Times New Roman"/>
          <w:sz w:val="24"/>
          <w:szCs w:val="24"/>
        </w:rPr>
      </w:pPr>
    </w:p>
    <w:p w:rsidR="00D32B75" w:rsidRPr="00421C99" w:rsidRDefault="00363BF3" w:rsidP="00421C99">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sz w:val="24"/>
          <w:szCs w:val="24"/>
        </w:rPr>
        <w:t>8 p</w:t>
      </w:r>
      <w:r w:rsidR="00D32B75" w:rsidRPr="00421C99">
        <w:rPr>
          <w:rFonts w:ascii="Times New Roman" w:hAnsi="Times New Roman" w:cs="Times New Roman"/>
          <w:sz w:val="24"/>
          <w:szCs w:val="24"/>
        </w:rPr>
        <w:t>av. Vidutinio atlyginimo augimo tendencijos</w:t>
      </w:r>
      <w:r w:rsidRPr="00421C99">
        <w:rPr>
          <w:rFonts w:ascii="Times New Roman" w:hAnsi="Times New Roman" w:cs="Times New Roman"/>
          <w:sz w:val="24"/>
          <w:szCs w:val="24"/>
        </w:rPr>
        <w:t xml:space="preserve"> (</w:t>
      </w:r>
      <w:r w:rsidR="005601FD" w:rsidRPr="005601FD">
        <w:rPr>
          <w:rFonts w:ascii="Times New Roman" w:hAnsi="Times New Roman" w:cs="Times New Roman"/>
          <w:i/>
          <w:sz w:val="24"/>
          <w:szCs w:val="24"/>
        </w:rPr>
        <w:t>Šaltinis:</w:t>
      </w:r>
      <w:r w:rsidR="005601FD">
        <w:rPr>
          <w:rFonts w:ascii="Times New Roman" w:hAnsi="Times New Roman" w:cs="Times New Roman"/>
          <w:sz w:val="24"/>
          <w:szCs w:val="24"/>
        </w:rPr>
        <w:t xml:space="preserve"> </w:t>
      </w:r>
      <w:r w:rsidR="005601FD">
        <w:rPr>
          <w:rFonts w:ascii="Times New Roman" w:hAnsi="Times New Roman" w:cs="Times New Roman"/>
          <w:i/>
          <w:sz w:val="24"/>
          <w:szCs w:val="24"/>
        </w:rPr>
        <w:t>Lietuvos statistikos departamentas</w:t>
      </w:r>
      <w:r w:rsidRPr="00421C99">
        <w:rPr>
          <w:rFonts w:ascii="Times New Roman" w:hAnsi="Times New Roman" w:cs="Times New Roman"/>
          <w:sz w:val="24"/>
          <w:szCs w:val="24"/>
        </w:rPr>
        <w:t>)</w:t>
      </w:r>
    </w:p>
    <w:p w:rsidR="00D32B75" w:rsidRPr="00421C99" w:rsidRDefault="00D32B75" w:rsidP="00421C99">
      <w:pPr>
        <w:pStyle w:val="PlainText"/>
        <w:spacing w:line="360" w:lineRule="auto"/>
        <w:jc w:val="both"/>
        <w:rPr>
          <w:rFonts w:ascii="Times New Roman" w:hAnsi="Times New Roman" w:cs="Times New Roman"/>
          <w:sz w:val="24"/>
          <w:szCs w:val="24"/>
        </w:rPr>
      </w:pPr>
    </w:p>
    <w:p w:rsidR="00075CE9" w:rsidRPr="00421C99" w:rsidRDefault="00100F91"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2.6</w:t>
      </w:r>
      <w:r w:rsidR="00D32B75" w:rsidRPr="00421C99">
        <w:rPr>
          <w:rFonts w:ascii="Times New Roman" w:hAnsi="Times New Roman" w:cs="Times New Roman"/>
          <w:b/>
          <w:sz w:val="24"/>
          <w:szCs w:val="24"/>
        </w:rPr>
        <w:t>. Toliau nuosekliai mažėjo socialinės paramos gavėjų skaičius.</w:t>
      </w:r>
    </w:p>
    <w:p w:rsidR="00AD675A" w:rsidRPr="00421C99" w:rsidRDefault="00100F91"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2013 m. tę</w:t>
      </w:r>
      <w:r w:rsidR="00075CE9" w:rsidRPr="00421C99">
        <w:rPr>
          <w:rFonts w:ascii="Times New Roman" w:hAnsi="Times New Roman" w:cs="Times New Roman"/>
          <w:sz w:val="24"/>
          <w:szCs w:val="24"/>
        </w:rPr>
        <w:t>sėsi pozityvi tendencija, kuri</w:t>
      </w:r>
      <w:r w:rsidRPr="00421C99">
        <w:rPr>
          <w:rFonts w:ascii="Times New Roman" w:hAnsi="Times New Roman" w:cs="Times New Roman"/>
          <w:sz w:val="24"/>
          <w:szCs w:val="24"/>
        </w:rPr>
        <w:t xml:space="preserve"> buvo stebima jau ir 2012 m.</w:t>
      </w:r>
      <w:r w:rsidR="00075CE9" w:rsidRPr="00421C99">
        <w:rPr>
          <w:rFonts w:ascii="Times New Roman" w:hAnsi="Times New Roman" w:cs="Times New Roman"/>
          <w:sz w:val="24"/>
          <w:szCs w:val="24"/>
        </w:rPr>
        <w:t xml:space="preserve"> – nuosekliai mažėjo socialinės pašalpos gavėjų skaičius ir </w:t>
      </w:r>
      <w:r w:rsidR="005B2407">
        <w:rPr>
          <w:rFonts w:ascii="Times New Roman" w:hAnsi="Times New Roman" w:cs="Times New Roman"/>
          <w:sz w:val="24"/>
          <w:szCs w:val="24"/>
        </w:rPr>
        <w:t>tam skirtų išlaidų kiekis (9 pav.).</w:t>
      </w:r>
      <w:r w:rsidR="00AD675A" w:rsidRPr="00421C99">
        <w:rPr>
          <w:rFonts w:ascii="Times New Roman" w:hAnsi="Times New Roman" w:cs="Times New Roman"/>
          <w:sz w:val="24"/>
          <w:szCs w:val="24"/>
        </w:rPr>
        <w:t xml:space="preserve"> Tai</w:t>
      </w:r>
      <w:r w:rsidR="002E5BDE" w:rsidRPr="00421C99">
        <w:rPr>
          <w:rFonts w:ascii="Times New Roman" w:hAnsi="Times New Roman" w:cs="Times New Roman"/>
          <w:sz w:val="24"/>
          <w:szCs w:val="24"/>
        </w:rPr>
        <w:t xml:space="preserve"> lemia dvi esminės priežastys: </w:t>
      </w:r>
      <w:r w:rsidRPr="00421C99">
        <w:rPr>
          <w:rFonts w:ascii="Times New Roman" w:hAnsi="Times New Roman" w:cs="Times New Roman"/>
          <w:sz w:val="24"/>
          <w:szCs w:val="24"/>
        </w:rPr>
        <w:t xml:space="preserve">pirma, </w:t>
      </w:r>
      <w:r w:rsidR="00AD675A" w:rsidRPr="00421C99">
        <w:rPr>
          <w:rFonts w:ascii="Times New Roman" w:hAnsi="Times New Roman" w:cs="Times New Roman"/>
          <w:sz w:val="24"/>
          <w:szCs w:val="24"/>
        </w:rPr>
        <w:t>atsigaunanti ekonomika ir mažėjanti bedarbystė nuosekliai didina žmonių pajam</w:t>
      </w:r>
      <w:r w:rsidRPr="00421C99">
        <w:rPr>
          <w:rFonts w:ascii="Times New Roman" w:hAnsi="Times New Roman" w:cs="Times New Roman"/>
          <w:sz w:val="24"/>
          <w:szCs w:val="24"/>
        </w:rPr>
        <w:t>as; antra, dar 2012 m.</w:t>
      </w:r>
      <w:r w:rsidR="00AD675A" w:rsidRPr="00421C99">
        <w:rPr>
          <w:rFonts w:ascii="Times New Roman" w:hAnsi="Times New Roman" w:cs="Times New Roman"/>
          <w:sz w:val="24"/>
          <w:szCs w:val="24"/>
        </w:rPr>
        <w:t xml:space="preserve"> pradėta įgyvendinti reforma, šių pašalpų mokėjimą perduodant savivaldybėms, sudaro galimybes šias pašalpas skirstyti žymiai skaidriau,  teisingiau ir taupiau.</w:t>
      </w:r>
    </w:p>
    <w:p w:rsidR="00AD675A" w:rsidRPr="00421C99" w:rsidRDefault="00925295" w:rsidP="005B2407">
      <w:pPr>
        <w:pStyle w:val="PlainText"/>
        <w:spacing w:line="360" w:lineRule="auto"/>
        <w:jc w:val="center"/>
        <w:rPr>
          <w:rFonts w:ascii="Times New Roman" w:hAnsi="Times New Roman" w:cs="Times New Roman"/>
          <w:sz w:val="24"/>
          <w:szCs w:val="24"/>
        </w:rPr>
      </w:pPr>
      <w:r w:rsidRPr="00421C99">
        <w:rPr>
          <w:rFonts w:ascii="Times New Roman" w:hAnsi="Times New Roman" w:cs="Times New Roman"/>
          <w:noProof/>
          <w:sz w:val="24"/>
          <w:szCs w:val="24"/>
          <w:lang w:eastAsia="lt-LT"/>
        </w:rPr>
        <w:lastRenderedPageBreak/>
        <w:drawing>
          <wp:inline distT="0" distB="0" distL="0" distR="0">
            <wp:extent cx="6062182" cy="3733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2282" cy="3740021"/>
                    </a:xfrm>
                    <a:prstGeom prst="rect">
                      <a:avLst/>
                    </a:prstGeom>
                    <a:noFill/>
                    <a:ln>
                      <a:noFill/>
                    </a:ln>
                  </pic:spPr>
                </pic:pic>
              </a:graphicData>
            </a:graphic>
          </wp:inline>
        </w:drawing>
      </w:r>
    </w:p>
    <w:p w:rsidR="00AD675A" w:rsidRPr="00421C99" w:rsidRDefault="00AD675A" w:rsidP="00421C99">
      <w:pPr>
        <w:pStyle w:val="PlainText"/>
        <w:spacing w:line="360" w:lineRule="auto"/>
        <w:jc w:val="both"/>
        <w:rPr>
          <w:rFonts w:ascii="Times New Roman" w:hAnsi="Times New Roman" w:cs="Times New Roman"/>
          <w:sz w:val="24"/>
          <w:szCs w:val="24"/>
        </w:rPr>
      </w:pPr>
    </w:p>
    <w:p w:rsidR="00AD675A" w:rsidRPr="00421C99" w:rsidRDefault="00363BF3" w:rsidP="00421C99">
      <w:pPr>
        <w:pStyle w:val="PlainText"/>
        <w:spacing w:line="360" w:lineRule="auto"/>
        <w:jc w:val="both"/>
        <w:rPr>
          <w:rFonts w:ascii="Times New Roman" w:hAnsi="Times New Roman" w:cs="Times New Roman"/>
          <w:i/>
          <w:sz w:val="24"/>
          <w:szCs w:val="24"/>
        </w:rPr>
      </w:pPr>
      <w:r w:rsidRPr="00421C99">
        <w:rPr>
          <w:rFonts w:ascii="Times New Roman" w:hAnsi="Times New Roman" w:cs="Times New Roman"/>
          <w:sz w:val="24"/>
          <w:szCs w:val="24"/>
        </w:rPr>
        <w:t xml:space="preserve"> 9 p</w:t>
      </w:r>
      <w:r w:rsidR="00AD675A" w:rsidRPr="00421C99">
        <w:rPr>
          <w:rFonts w:ascii="Times New Roman" w:hAnsi="Times New Roman" w:cs="Times New Roman"/>
          <w:sz w:val="24"/>
          <w:szCs w:val="24"/>
        </w:rPr>
        <w:t>av. Socialinės pašalpos išlaidų ir gavėjų kaita 60 savivaldybių (</w:t>
      </w:r>
      <w:r w:rsidR="00AD675A" w:rsidRPr="00421C99">
        <w:rPr>
          <w:rFonts w:ascii="Times New Roman" w:hAnsi="Times New Roman" w:cs="Times New Roman"/>
          <w:i/>
          <w:sz w:val="24"/>
          <w:szCs w:val="24"/>
        </w:rPr>
        <w:t>iš Vyriausybės ataskaitos).</w:t>
      </w:r>
    </w:p>
    <w:p w:rsidR="00363BF3" w:rsidRPr="00421C99" w:rsidRDefault="00363BF3" w:rsidP="00421C99">
      <w:pPr>
        <w:pStyle w:val="PlainText"/>
        <w:spacing w:line="360" w:lineRule="auto"/>
        <w:jc w:val="both"/>
        <w:rPr>
          <w:rFonts w:ascii="Times New Roman" w:hAnsi="Times New Roman" w:cs="Times New Roman"/>
          <w:i/>
          <w:sz w:val="24"/>
          <w:szCs w:val="24"/>
        </w:rPr>
      </w:pPr>
    </w:p>
    <w:p w:rsidR="00363BF3" w:rsidRPr="00421C99" w:rsidRDefault="004535CE" w:rsidP="00421C99">
      <w:pPr>
        <w:pStyle w:val="PlainText"/>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2 SKYRIAIS APIBENDRINIMAS:</w:t>
      </w:r>
      <w:r w:rsidR="00FC25D7" w:rsidRPr="00421C99">
        <w:rPr>
          <w:rFonts w:ascii="Times New Roman" w:hAnsi="Times New Roman" w:cs="Times New Roman"/>
          <w:b/>
          <w:sz w:val="24"/>
          <w:szCs w:val="24"/>
        </w:rPr>
        <w:t xml:space="preserve"> </w:t>
      </w:r>
      <w:r w:rsidR="00363BF3" w:rsidRPr="00421C99">
        <w:rPr>
          <w:rFonts w:ascii="Times New Roman" w:hAnsi="Times New Roman" w:cs="Times New Roman"/>
          <w:b/>
          <w:sz w:val="24"/>
          <w:szCs w:val="24"/>
        </w:rPr>
        <w:t>XV</w:t>
      </w:r>
      <w:r w:rsidR="00E54D38" w:rsidRPr="00421C99">
        <w:rPr>
          <w:rFonts w:ascii="Times New Roman" w:hAnsi="Times New Roman" w:cs="Times New Roman"/>
          <w:b/>
          <w:sz w:val="24"/>
          <w:szCs w:val="24"/>
        </w:rPr>
        <w:t>I</w:t>
      </w:r>
      <w:r w:rsidR="00100F91" w:rsidRPr="00421C99">
        <w:rPr>
          <w:rFonts w:ascii="Times New Roman" w:hAnsi="Times New Roman" w:cs="Times New Roman"/>
          <w:b/>
          <w:sz w:val="24"/>
          <w:szCs w:val="24"/>
        </w:rPr>
        <w:t xml:space="preserve"> Vyriausybė džiaugiasi, kad</w:t>
      </w:r>
      <w:r w:rsidR="00363BF3" w:rsidRPr="00421C99">
        <w:rPr>
          <w:rFonts w:ascii="Times New Roman" w:hAnsi="Times New Roman" w:cs="Times New Roman"/>
          <w:b/>
          <w:sz w:val="24"/>
          <w:szCs w:val="24"/>
        </w:rPr>
        <w:t xml:space="preserve"> geros ekonominės tendencijos,</w:t>
      </w:r>
      <w:r w:rsidR="00100F91" w:rsidRPr="00421C99">
        <w:rPr>
          <w:rFonts w:ascii="Times New Roman" w:hAnsi="Times New Roman" w:cs="Times New Roman"/>
          <w:b/>
          <w:sz w:val="24"/>
          <w:szCs w:val="24"/>
        </w:rPr>
        <w:t xml:space="preserve"> prasidėjusios</w:t>
      </w:r>
      <w:r w:rsidR="00E54D38" w:rsidRPr="00421C99">
        <w:rPr>
          <w:rFonts w:ascii="Times New Roman" w:hAnsi="Times New Roman" w:cs="Times New Roman"/>
          <w:b/>
          <w:sz w:val="24"/>
          <w:szCs w:val="24"/>
        </w:rPr>
        <w:t xml:space="preserve"> XV</w:t>
      </w:r>
      <w:r w:rsidR="00363BF3" w:rsidRPr="00421C99">
        <w:rPr>
          <w:rFonts w:ascii="Times New Roman" w:hAnsi="Times New Roman" w:cs="Times New Roman"/>
          <w:b/>
          <w:sz w:val="24"/>
          <w:szCs w:val="24"/>
        </w:rPr>
        <w:t xml:space="preserve"> Vyriaus</w:t>
      </w:r>
      <w:r w:rsidR="00E54D38" w:rsidRPr="00421C99">
        <w:rPr>
          <w:rFonts w:ascii="Times New Roman" w:hAnsi="Times New Roman" w:cs="Times New Roman"/>
          <w:b/>
          <w:sz w:val="24"/>
          <w:szCs w:val="24"/>
        </w:rPr>
        <w:t>ybei tinkamai suvaldžius ypač gilią</w:t>
      </w:r>
      <w:r w:rsidR="00100F91" w:rsidRPr="00421C99">
        <w:rPr>
          <w:rFonts w:ascii="Times New Roman" w:hAnsi="Times New Roman" w:cs="Times New Roman"/>
          <w:b/>
          <w:sz w:val="24"/>
          <w:szCs w:val="24"/>
        </w:rPr>
        <w:t xml:space="preserve"> ekonominę krizę, tęsiasi ir XVI Vyriausybės veiklos metu</w:t>
      </w:r>
      <w:r w:rsidR="00E54D38" w:rsidRPr="00421C99">
        <w:rPr>
          <w:rFonts w:ascii="Times New Roman" w:hAnsi="Times New Roman" w:cs="Times New Roman"/>
          <w:b/>
          <w:sz w:val="24"/>
          <w:szCs w:val="24"/>
        </w:rPr>
        <w:t>.</w:t>
      </w:r>
    </w:p>
    <w:p w:rsidR="00826F30" w:rsidRPr="00421C99" w:rsidRDefault="00826F30" w:rsidP="00421C99">
      <w:pPr>
        <w:pStyle w:val="PlainText"/>
        <w:spacing w:line="360" w:lineRule="auto"/>
        <w:jc w:val="both"/>
        <w:rPr>
          <w:rFonts w:ascii="Times New Roman" w:hAnsi="Times New Roman" w:cs="Times New Roman"/>
          <w:sz w:val="24"/>
          <w:szCs w:val="24"/>
        </w:rPr>
      </w:pPr>
    </w:p>
    <w:p w:rsidR="00826F30" w:rsidRPr="00421C99" w:rsidRDefault="00B9179E"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b/>
          <w:sz w:val="24"/>
          <w:szCs w:val="24"/>
        </w:rPr>
        <w:t xml:space="preserve">3. </w:t>
      </w:r>
      <w:r w:rsidR="002210CA" w:rsidRPr="00421C99">
        <w:rPr>
          <w:rFonts w:ascii="Times New Roman" w:hAnsi="Times New Roman" w:cs="Times New Roman"/>
          <w:b/>
          <w:sz w:val="24"/>
          <w:szCs w:val="24"/>
        </w:rPr>
        <w:t>XVI Vyriausybė džiaugiasi tais XV Vyriausybės veiksmais, k</w:t>
      </w:r>
      <w:r w:rsidR="00100F91" w:rsidRPr="00421C99">
        <w:rPr>
          <w:rFonts w:ascii="Times New Roman" w:hAnsi="Times New Roman" w:cs="Times New Roman"/>
          <w:b/>
          <w:sz w:val="24"/>
          <w:szCs w:val="24"/>
        </w:rPr>
        <w:t>urie davė rezultatus 2013 m.</w:t>
      </w:r>
    </w:p>
    <w:p w:rsidR="002210CA" w:rsidRPr="00421C99" w:rsidRDefault="002210CA" w:rsidP="00421C99">
      <w:pPr>
        <w:pStyle w:val="PlainText"/>
        <w:spacing w:line="360" w:lineRule="auto"/>
        <w:jc w:val="both"/>
        <w:rPr>
          <w:rFonts w:ascii="Times New Roman" w:hAnsi="Times New Roman" w:cs="Times New Roman"/>
          <w:b/>
          <w:sz w:val="24"/>
          <w:szCs w:val="24"/>
        </w:rPr>
      </w:pPr>
    </w:p>
    <w:p w:rsidR="002210CA" w:rsidRPr="00421C99" w:rsidRDefault="00100F91"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3</w:t>
      </w:r>
      <w:r w:rsidR="008B333D" w:rsidRPr="00421C99">
        <w:rPr>
          <w:rFonts w:ascii="Times New Roman" w:hAnsi="Times New Roman" w:cs="Times New Roman"/>
          <w:b/>
          <w:sz w:val="24"/>
          <w:szCs w:val="24"/>
        </w:rPr>
        <w:t>.</w:t>
      </w:r>
      <w:r w:rsidRPr="00421C99">
        <w:rPr>
          <w:rFonts w:ascii="Times New Roman" w:hAnsi="Times New Roman" w:cs="Times New Roman"/>
          <w:b/>
          <w:sz w:val="24"/>
          <w:szCs w:val="24"/>
          <w:lang w:val="en-US"/>
        </w:rPr>
        <w:t>1.</w:t>
      </w:r>
      <w:r w:rsidR="008B333D" w:rsidRPr="00421C99">
        <w:rPr>
          <w:rFonts w:ascii="Times New Roman" w:hAnsi="Times New Roman" w:cs="Times New Roman"/>
          <w:b/>
          <w:sz w:val="24"/>
          <w:szCs w:val="24"/>
        </w:rPr>
        <w:t xml:space="preserve"> Lietuva paki</w:t>
      </w:r>
      <w:r w:rsidRPr="00421C99">
        <w:rPr>
          <w:rFonts w:ascii="Times New Roman" w:hAnsi="Times New Roman" w:cs="Times New Roman"/>
          <w:b/>
          <w:sz w:val="24"/>
          <w:szCs w:val="24"/>
        </w:rPr>
        <w:t>lo Pasaulio Banko „</w:t>
      </w:r>
      <w:proofErr w:type="spellStart"/>
      <w:r w:rsidRPr="00421C99">
        <w:rPr>
          <w:rFonts w:ascii="Times New Roman" w:hAnsi="Times New Roman" w:cs="Times New Roman"/>
          <w:b/>
          <w:sz w:val="24"/>
          <w:szCs w:val="24"/>
        </w:rPr>
        <w:t>Doing</w:t>
      </w:r>
      <w:proofErr w:type="spellEnd"/>
      <w:r w:rsidRPr="00421C99">
        <w:rPr>
          <w:rFonts w:ascii="Times New Roman" w:hAnsi="Times New Roman" w:cs="Times New Roman"/>
          <w:b/>
          <w:sz w:val="24"/>
          <w:szCs w:val="24"/>
        </w:rPr>
        <w:t xml:space="preserve"> </w:t>
      </w:r>
      <w:proofErr w:type="spellStart"/>
      <w:r w:rsidRPr="00421C99">
        <w:rPr>
          <w:rFonts w:ascii="Times New Roman" w:hAnsi="Times New Roman" w:cs="Times New Roman"/>
          <w:b/>
          <w:sz w:val="24"/>
          <w:szCs w:val="24"/>
        </w:rPr>
        <w:t>Business</w:t>
      </w:r>
      <w:proofErr w:type="spellEnd"/>
      <w:r w:rsidRPr="00421C99">
        <w:rPr>
          <w:rFonts w:ascii="Times New Roman" w:hAnsi="Times New Roman" w:cs="Times New Roman"/>
          <w:b/>
          <w:sz w:val="24"/>
          <w:szCs w:val="24"/>
        </w:rPr>
        <w:t>“</w:t>
      </w:r>
      <w:r w:rsidR="00421C99">
        <w:rPr>
          <w:rFonts w:ascii="Times New Roman" w:hAnsi="Times New Roman" w:cs="Times New Roman"/>
          <w:b/>
          <w:sz w:val="24"/>
          <w:szCs w:val="24"/>
        </w:rPr>
        <w:t xml:space="preserve"> reitinguose</w:t>
      </w:r>
    </w:p>
    <w:p w:rsidR="008B333D" w:rsidRDefault="002210CA"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XV Vyriausybė </w:t>
      </w:r>
      <w:r w:rsidR="008B333D" w:rsidRPr="00421C99">
        <w:rPr>
          <w:rFonts w:ascii="Times New Roman" w:hAnsi="Times New Roman" w:cs="Times New Roman"/>
          <w:sz w:val="24"/>
          <w:szCs w:val="24"/>
        </w:rPr>
        <w:t>2009-2012</w:t>
      </w:r>
      <w:r w:rsidR="00100F91" w:rsidRPr="00421C99">
        <w:rPr>
          <w:rFonts w:ascii="Times New Roman" w:hAnsi="Times New Roman" w:cs="Times New Roman"/>
          <w:sz w:val="24"/>
          <w:szCs w:val="24"/>
        </w:rPr>
        <w:t xml:space="preserve"> m.</w:t>
      </w:r>
      <w:r w:rsidRPr="00421C99">
        <w:rPr>
          <w:rFonts w:ascii="Times New Roman" w:hAnsi="Times New Roman" w:cs="Times New Roman"/>
          <w:sz w:val="24"/>
          <w:szCs w:val="24"/>
        </w:rPr>
        <w:t xml:space="preserve"> nuosekliai gerino verslo sąlygas. XVI Vyriausybė stengiasi pasiekto įdirbio nesugadinti. </w:t>
      </w:r>
      <w:r w:rsidR="004535CE">
        <w:rPr>
          <w:rFonts w:ascii="Times New Roman" w:hAnsi="Times New Roman" w:cs="Times New Roman"/>
          <w:sz w:val="24"/>
          <w:szCs w:val="24"/>
        </w:rPr>
        <w:t>XV Vyriausybė 2012 m.</w:t>
      </w:r>
      <w:r w:rsidR="004535CE" w:rsidRPr="004535CE">
        <w:rPr>
          <w:rFonts w:ascii="Times New Roman" w:hAnsi="Times New Roman" w:cs="Times New Roman"/>
          <w:sz w:val="24"/>
          <w:szCs w:val="24"/>
        </w:rPr>
        <w:t xml:space="preserve"> įgyvendino esminę reformą, kuri sudarė</w:t>
      </w:r>
      <w:r w:rsidR="004535CE">
        <w:rPr>
          <w:rFonts w:ascii="Times New Roman" w:hAnsi="Times New Roman" w:cs="Times New Roman"/>
          <w:sz w:val="24"/>
          <w:szCs w:val="24"/>
        </w:rPr>
        <w:t xml:space="preserve"> </w:t>
      </w:r>
      <w:r w:rsidRPr="00421C99">
        <w:rPr>
          <w:rFonts w:ascii="Times New Roman" w:hAnsi="Times New Roman" w:cs="Times New Roman"/>
          <w:sz w:val="24"/>
          <w:szCs w:val="24"/>
        </w:rPr>
        <w:t>galimybes lengvai steigti naują</w:t>
      </w:r>
      <w:r w:rsidR="00491D15" w:rsidRPr="00421C99">
        <w:rPr>
          <w:rFonts w:ascii="Times New Roman" w:hAnsi="Times New Roman" w:cs="Times New Roman"/>
          <w:sz w:val="24"/>
          <w:szCs w:val="24"/>
        </w:rPr>
        <w:t xml:space="preserve"> verslo formą – Mažąją bendriją. Ši reforma</w:t>
      </w:r>
      <w:r w:rsidRPr="00421C99">
        <w:rPr>
          <w:rFonts w:ascii="Times New Roman" w:hAnsi="Times New Roman" w:cs="Times New Roman"/>
          <w:sz w:val="24"/>
          <w:szCs w:val="24"/>
        </w:rPr>
        <w:t xml:space="preserve"> </w:t>
      </w:r>
      <w:r w:rsidR="008B333D" w:rsidRPr="00421C99">
        <w:rPr>
          <w:rFonts w:ascii="Times New Roman" w:hAnsi="Times New Roman" w:cs="Times New Roman"/>
          <w:sz w:val="24"/>
          <w:szCs w:val="24"/>
        </w:rPr>
        <w:t>buvo įvertint</w:t>
      </w:r>
      <w:r w:rsidR="00100F91" w:rsidRPr="00421C99">
        <w:rPr>
          <w:rFonts w:ascii="Times New Roman" w:hAnsi="Times New Roman" w:cs="Times New Roman"/>
          <w:sz w:val="24"/>
          <w:szCs w:val="24"/>
        </w:rPr>
        <w:t>a ir Pasaulio Banko. 2013 m.</w:t>
      </w:r>
      <w:r w:rsidR="008B333D" w:rsidRPr="00421C99">
        <w:rPr>
          <w:rFonts w:ascii="Times New Roman" w:hAnsi="Times New Roman" w:cs="Times New Roman"/>
          <w:sz w:val="24"/>
          <w:szCs w:val="24"/>
        </w:rPr>
        <w:t xml:space="preserve"> sudarant ir paskelbiant kasmetinį Pasaulio Banko „</w:t>
      </w:r>
      <w:proofErr w:type="spellStart"/>
      <w:r w:rsidR="008B333D" w:rsidRPr="00421C99">
        <w:rPr>
          <w:rFonts w:ascii="Times New Roman" w:hAnsi="Times New Roman" w:cs="Times New Roman"/>
          <w:sz w:val="24"/>
          <w:szCs w:val="24"/>
        </w:rPr>
        <w:t>Doing</w:t>
      </w:r>
      <w:proofErr w:type="spellEnd"/>
      <w:r w:rsidR="008B333D" w:rsidRPr="00421C99">
        <w:rPr>
          <w:rFonts w:ascii="Times New Roman" w:hAnsi="Times New Roman" w:cs="Times New Roman"/>
          <w:sz w:val="24"/>
          <w:szCs w:val="24"/>
        </w:rPr>
        <w:t xml:space="preserve"> </w:t>
      </w:r>
      <w:proofErr w:type="spellStart"/>
      <w:r w:rsidR="008B333D" w:rsidRPr="00421C99">
        <w:rPr>
          <w:rFonts w:ascii="Times New Roman" w:hAnsi="Times New Roman" w:cs="Times New Roman"/>
          <w:sz w:val="24"/>
          <w:szCs w:val="24"/>
        </w:rPr>
        <w:t>Business</w:t>
      </w:r>
      <w:proofErr w:type="spellEnd"/>
      <w:r w:rsidR="008B333D" w:rsidRPr="00421C99">
        <w:rPr>
          <w:rFonts w:ascii="Times New Roman" w:hAnsi="Times New Roman" w:cs="Times New Roman"/>
          <w:sz w:val="24"/>
          <w:szCs w:val="24"/>
        </w:rPr>
        <w:t xml:space="preserve"> 2014” reitingą,  Lietuva iš 27 vietos pakilo į 17 (Latvija – 24, Estija – 22, Lenkija – 45). Reitingo sudarytojai teigia, kad tokį šuolį lėmė</w:t>
      </w:r>
      <w:r w:rsidR="00100F91" w:rsidRPr="00421C99">
        <w:rPr>
          <w:rFonts w:ascii="Times New Roman" w:hAnsi="Times New Roman" w:cs="Times New Roman"/>
          <w:sz w:val="24"/>
          <w:szCs w:val="24"/>
        </w:rPr>
        <w:t xml:space="preserve"> 2012 m. įgyvendinta</w:t>
      </w:r>
      <w:r w:rsidR="008B333D" w:rsidRPr="00421C99">
        <w:rPr>
          <w:rFonts w:ascii="Times New Roman" w:hAnsi="Times New Roman" w:cs="Times New Roman"/>
          <w:sz w:val="24"/>
          <w:szCs w:val="24"/>
        </w:rPr>
        <w:t xml:space="preserve"> Mažųjų bendrijų reforma. Tarp ES valstybių Lietuva užima 6 vietą.</w:t>
      </w:r>
    </w:p>
    <w:p w:rsidR="00421C99" w:rsidRPr="00421C99" w:rsidRDefault="00421C99" w:rsidP="00421C99">
      <w:pPr>
        <w:pStyle w:val="PlainText"/>
        <w:spacing w:line="360" w:lineRule="auto"/>
        <w:jc w:val="both"/>
        <w:rPr>
          <w:rFonts w:ascii="Times New Roman" w:hAnsi="Times New Roman" w:cs="Times New Roman"/>
          <w:sz w:val="24"/>
          <w:szCs w:val="24"/>
        </w:rPr>
      </w:pPr>
    </w:p>
    <w:p w:rsidR="00421C99" w:rsidRPr="00421C99" w:rsidRDefault="00100F91"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3</w:t>
      </w:r>
      <w:r w:rsidR="008B333D" w:rsidRPr="00421C99">
        <w:rPr>
          <w:rFonts w:ascii="Times New Roman" w:hAnsi="Times New Roman" w:cs="Times New Roman"/>
          <w:b/>
          <w:sz w:val="24"/>
          <w:szCs w:val="24"/>
        </w:rPr>
        <w:t>.</w:t>
      </w:r>
      <w:r w:rsidRPr="00421C99">
        <w:rPr>
          <w:rFonts w:ascii="Times New Roman" w:hAnsi="Times New Roman" w:cs="Times New Roman"/>
          <w:b/>
          <w:sz w:val="24"/>
          <w:szCs w:val="24"/>
          <w:lang w:val="en-US"/>
        </w:rPr>
        <w:t>2.</w:t>
      </w:r>
      <w:r w:rsidR="008B333D" w:rsidRPr="00421C99">
        <w:rPr>
          <w:rFonts w:ascii="Times New Roman" w:hAnsi="Times New Roman" w:cs="Times New Roman"/>
          <w:b/>
          <w:sz w:val="24"/>
          <w:szCs w:val="24"/>
        </w:rPr>
        <w:t xml:space="preserve"> Lietuva – investuotojams patraukliausia Baltijos regiono </w:t>
      </w:r>
      <w:r w:rsidR="00421C99">
        <w:rPr>
          <w:rFonts w:ascii="Times New Roman" w:hAnsi="Times New Roman" w:cs="Times New Roman"/>
          <w:b/>
          <w:sz w:val="24"/>
          <w:szCs w:val="24"/>
        </w:rPr>
        <w:t>valstybė</w:t>
      </w:r>
    </w:p>
    <w:p w:rsidR="008B333D" w:rsidRPr="00421C99" w:rsidRDefault="008B333D"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XV Vyriausybė 2009-2012 </w:t>
      </w:r>
      <w:r w:rsidR="00100F91" w:rsidRPr="00421C99">
        <w:rPr>
          <w:rFonts w:ascii="Times New Roman" w:hAnsi="Times New Roman" w:cs="Times New Roman"/>
          <w:sz w:val="24"/>
          <w:szCs w:val="24"/>
        </w:rPr>
        <w:t xml:space="preserve">m. </w:t>
      </w:r>
      <w:r w:rsidRPr="00421C99">
        <w:rPr>
          <w:rFonts w:ascii="Times New Roman" w:hAnsi="Times New Roman" w:cs="Times New Roman"/>
          <w:sz w:val="24"/>
          <w:szCs w:val="24"/>
        </w:rPr>
        <w:t>vykdė aktyvią investicijų pritraukimo politik</w:t>
      </w:r>
      <w:r w:rsidR="00087882" w:rsidRPr="00421C99">
        <w:rPr>
          <w:rFonts w:ascii="Times New Roman" w:hAnsi="Times New Roman" w:cs="Times New Roman"/>
          <w:sz w:val="24"/>
          <w:szCs w:val="24"/>
        </w:rPr>
        <w:t>ą. Jos realizavimu</w:t>
      </w:r>
      <w:r w:rsidR="00FC25D7" w:rsidRPr="00421C99">
        <w:rPr>
          <w:rFonts w:ascii="Times New Roman" w:hAnsi="Times New Roman" w:cs="Times New Roman"/>
          <w:sz w:val="24"/>
          <w:szCs w:val="24"/>
        </w:rPr>
        <w:t>i buvo įsteigta speciali „Investuok Lietuvoje</w:t>
      </w:r>
      <w:r w:rsidR="00087882" w:rsidRPr="00421C99">
        <w:rPr>
          <w:rFonts w:ascii="Times New Roman" w:hAnsi="Times New Roman" w:cs="Times New Roman"/>
          <w:sz w:val="24"/>
          <w:szCs w:val="24"/>
        </w:rPr>
        <w:t>“ agentūra, kuriai ėmėsi vadovaut</w:t>
      </w:r>
      <w:r w:rsidR="00D34B59" w:rsidRPr="00421C99">
        <w:rPr>
          <w:rFonts w:ascii="Times New Roman" w:hAnsi="Times New Roman" w:cs="Times New Roman"/>
          <w:sz w:val="24"/>
          <w:szCs w:val="24"/>
        </w:rPr>
        <w:t xml:space="preserve">i gabi, </w:t>
      </w:r>
      <w:r w:rsidR="00FC25D7" w:rsidRPr="00421C99">
        <w:rPr>
          <w:rFonts w:ascii="Times New Roman" w:hAnsi="Times New Roman" w:cs="Times New Roman"/>
          <w:sz w:val="24"/>
          <w:szCs w:val="24"/>
        </w:rPr>
        <w:t xml:space="preserve">iš JAV į Lietuvą sugrįžusi, </w:t>
      </w:r>
      <w:r w:rsidR="00D34B59" w:rsidRPr="00421C99">
        <w:rPr>
          <w:rFonts w:ascii="Times New Roman" w:hAnsi="Times New Roman" w:cs="Times New Roman"/>
          <w:sz w:val="24"/>
          <w:szCs w:val="24"/>
        </w:rPr>
        <w:t>pasaulinės patirties įgi</w:t>
      </w:r>
      <w:r w:rsidR="00087882" w:rsidRPr="00421C99">
        <w:rPr>
          <w:rFonts w:ascii="Times New Roman" w:hAnsi="Times New Roman" w:cs="Times New Roman"/>
          <w:sz w:val="24"/>
          <w:szCs w:val="24"/>
        </w:rPr>
        <w:t>jusi</w:t>
      </w:r>
      <w:r w:rsidR="00D34B59" w:rsidRPr="00421C99">
        <w:rPr>
          <w:rFonts w:ascii="Times New Roman" w:hAnsi="Times New Roman" w:cs="Times New Roman"/>
          <w:sz w:val="24"/>
          <w:szCs w:val="24"/>
        </w:rPr>
        <w:t>, jauna</w:t>
      </w:r>
      <w:r w:rsidR="002D6250" w:rsidRPr="00421C99">
        <w:rPr>
          <w:rFonts w:ascii="Times New Roman" w:hAnsi="Times New Roman" w:cs="Times New Roman"/>
          <w:sz w:val="24"/>
          <w:szCs w:val="24"/>
        </w:rPr>
        <w:t xml:space="preserve"> profesionalė Milda </w:t>
      </w:r>
      <w:proofErr w:type="spellStart"/>
      <w:r w:rsidR="002D6250" w:rsidRPr="00421C99">
        <w:rPr>
          <w:rFonts w:ascii="Times New Roman" w:hAnsi="Times New Roman" w:cs="Times New Roman"/>
          <w:sz w:val="24"/>
          <w:szCs w:val="24"/>
        </w:rPr>
        <w:t>Dargužaitė</w:t>
      </w:r>
      <w:proofErr w:type="spellEnd"/>
      <w:r w:rsidR="002D6250" w:rsidRPr="00421C99">
        <w:rPr>
          <w:rFonts w:ascii="Times New Roman" w:hAnsi="Times New Roman" w:cs="Times New Roman"/>
          <w:sz w:val="24"/>
          <w:szCs w:val="24"/>
        </w:rPr>
        <w:t xml:space="preserve">. </w:t>
      </w:r>
      <w:r w:rsidR="00FC25D7" w:rsidRPr="00421C99">
        <w:rPr>
          <w:rFonts w:ascii="Times New Roman" w:hAnsi="Times New Roman" w:cs="Times New Roman"/>
          <w:sz w:val="24"/>
          <w:szCs w:val="24"/>
        </w:rPr>
        <w:t>Nors 2013 m.</w:t>
      </w:r>
      <w:r w:rsidR="00D34B59" w:rsidRPr="00421C99">
        <w:rPr>
          <w:rFonts w:ascii="Times New Roman" w:hAnsi="Times New Roman" w:cs="Times New Roman"/>
          <w:sz w:val="24"/>
          <w:szCs w:val="24"/>
        </w:rPr>
        <w:t xml:space="preserve"> pradžioje </w:t>
      </w:r>
      <w:r w:rsidR="00D34B59" w:rsidRPr="00421C99">
        <w:rPr>
          <w:rFonts w:ascii="Times New Roman" w:hAnsi="Times New Roman" w:cs="Times New Roman"/>
          <w:sz w:val="24"/>
          <w:szCs w:val="24"/>
        </w:rPr>
        <w:lastRenderedPageBreak/>
        <w:t>min</w:t>
      </w:r>
      <w:r w:rsidR="00FC25D7" w:rsidRPr="00421C99">
        <w:rPr>
          <w:rFonts w:ascii="Times New Roman" w:hAnsi="Times New Roman" w:cs="Times New Roman"/>
          <w:sz w:val="24"/>
          <w:szCs w:val="24"/>
        </w:rPr>
        <w:t xml:space="preserve">istrė </w:t>
      </w:r>
      <w:proofErr w:type="spellStart"/>
      <w:r w:rsidR="00FC25D7" w:rsidRPr="00421C99">
        <w:rPr>
          <w:rFonts w:ascii="Times New Roman" w:hAnsi="Times New Roman" w:cs="Times New Roman"/>
          <w:sz w:val="24"/>
          <w:szCs w:val="24"/>
        </w:rPr>
        <w:t>B.Vėsaitė</w:t>
      </w:r>
      <w:proofErr w:type="spellEnd"/>
      <w:r w:rsidR="00FC25D7" w:rsidRPr="00421C99">
        <w:rPr>
          <w:rFonts w:ascii="Times New Roman" w:hAnsi="Times New Roman" w:cs="Times New Roman"/>
          <w:sz w:val="24"/>
          <w:szCs w:val="24"/>
        </w:rPr>
        <w:t xml:space="preserve"> ėmėsi žalingos</w:t>
      </w:r>
      <w:r w:rsidR="00D34B59" w:rsidRPr="00421C99">
        <w:rPr>
          <w:rFonts w:ascii="Times New Roman" w:hAnsi="Times New Roman" w:cs="Times New Roman"/>
          <w:sz w:val="24"/>
          <w:szCs w:val="24"/>
        </w:rPr>
        <w:t xml:space="preserve"> iniciatyvos griauti gerai veikiančias „Invest</w:t>
      </w:r>
      <w:r w:rsidR="00FC25D7" w:rsidRPr="00421C99">
        <w:rPr>
          <w:rFonts w:ascii="Times New Roman" w:hAnsi="Times New Roman" w:cs="Times New Roman"/>
          <w:sz w:val="24"/>
          <w:szCs w:val="24"/>
        </w:rPr>
        <w:t>uok Lietuvoje</w:t>
      </w:r>
      <w:r w:rsidR="00D34B59" w:rsidRPr="00421C99">
        <w:rPr>
          <w:rFonts w:ascii="Times New Roman" w:hAnsi="Times New Roman" w:cs="Times New Roman"/>
          <w:sz w:val="24"/>
          <w:szCs w:val="24"/>
        </w:rPr>
        <w:t xml:space="preserve">“ </w:t>
      </w:r>
      <w:r w:rsidR="00FC25D7" w:rsidRPr="00421C99">
        <w:rPr>
          <w:rFonts w:ascii="Times New Roman" w:hAnsi="Times New Roman" w:cs="Times New Roman"/>
          <w:sz w:val="24"/>
          <w:szCs w:val="24"/>
        </w:rPr>
        <w:t>ir „Versli Lietuva“ agentūras, tačiau iki 2012 m.</w:t>
      </w:r>
      <w:r w:rsidR="00D34B59" w:rsidRPr="00421C99">
        <w:rPr>
          <w:rFonts w:ascii="Times New Roman" w:hAnsi="Times New Roman" w:cs="Times New Roman"/>
          <w:sz w:val="24"/>
          <w:szCs w:val="24"/>
        </w:rPr>
        <w:t xml:space="preserve"> pasiektas įdirbis </w:t>
      </w:r>
      <w:r w:rsidR="00FC25D7" w:rsidRPr="00421C99">
        <w:rPr>
          <w:rFonts w:ascii="Times New Roman" w:hAnsi="Times New Roman" w:cs="Times New Roman"/>
          <w:sz w:val="24"/>
          <w:szCs w:val="24"/>
        </w:rPr>
        <w:t>ir per 2013 m.</w:t>
      </w:r>
      <w:r w:rsidR="002D6250" w:rsidRPr="00421C99">
        <w:rPr>
          <w:rFonts w:ascii="Times New Roman" w:hAnsi="Times New Roman" w:cs="Times New Roman"/>
          <w:sz w:val="24"/>
          <w:szCs w:val="24"/>
        </w:rPr>
        <w:t xml:space="preserve"> leido Lietuvai džiaugtis gerais investicijų pritraukimo rezultatais.</w:t>
      </w:r>
    </w:p>
    <w:p w:rsidR="00B9179E" w:rsidRPr="00421C99" w:rsidRDefault="00B9179E" w:rsidP="00421C99">
      <w:pPr>
        <w:autoSpaceDE w:val="0"/>
        <w:autoSpaceDN w:val="0"/>
        <w:adjustRightInd w:val="0"/>
        <w:spacing w:after="0" w:line="360" w:lineRule="auto"/>
        <w:jc w:val="both"/>
        <w:rPr>
          <w:rFonts w:ascii="Times New Roman" w:hAnsi="Times New Roman" w:cs="Times New Roman"/>
          <w:sz w:val="24"/>
          <w:szCs w:val="24"/>
        </w:rPr>
      </w:pPr>
    </w:p>
    <w:p w:rsidR="00925295" w:rsidRPr="00421C99" w:rsidRDefault="00FC25D7" w:rsidP="00421C99">
      <w:pPr>
        <w:autoSpaceDE w:val="0"/>
        <w:autoSpaceDN w:val="0"/>
        <w:adjustRightInd w:val="0"/>
        <w:spacing w:after="0" w:line="360" w:lineRule="auto"/>
        <w:jc w:val="both"/>
        <w:rPr>
          <w:rFonts w:ascii="Times New Roman" w:hAnsi="Times New Roman" w:cs="Times New Roman"/>
          <w:sz w:val="24"/>
          <w:szCs w:val="24"/>
        </w:rPr>
      </w:pPr>
      <w:r w:rsidRPr="00421C99">
        <w:rPr>
          <w:rFonts w:ascii="Times New Roman" w:hAnsi="Times New Roman" w:cs="Times New Roman"/>
          <w:sz w:val="24"/>
          <w:szCs w:val="24"/>
        </w:rPr>
        <w:t>2013 m.</w:t>
      </w:r>
      <w:r w:rsidR="00925295" w:rsidRPr="00421C99">
        <w:rPr>
          <w:rFonts w:ascii="Times New Roman" w:hAnsi="Times New Roman" w:cs="Times New Roman"/>
          <w:sz w:val="24"/>
          <w:szCs w:val="24"/>
        </w:rPr>
        <w:t xml:space="preserve"> atlikto Europos investicinio patrauklumo tyrimo duomenimis, Lietuva tarp Baltijos valstybių yra patraukliausia investuoti šalis ir antra pagal p</w:t>
      </w:r>
      <w:r w:rsidRPr="00421C99">
        <w:rPr>
          <w:rFonts w:ascii="Times New Roman" w:hAnsi="Times New Roman" w:cs="Times New Roman"/>
          <w:sz w:val="24"/>
          <w:szCs w:val="24"/>
        </w:rPr>
        <w:t>atrauklumą Europoje. 2013 m.</w:t>
      </w:r>
      <w:r w:rsidR="00925295" w:rsidRPr="00421C99">
        <w:rPr>
          <w:rFonts w:ascii="Times New Roman" w:hAnsi="Times New Roman" w:cs="Times New Roman"/>
          <w:sz w:val="24"/>
          <w:szCs w:val="24"/>
        </w:rPr>
        <w:t xml:space="preserve"> Lietuvoje investavo 38 užsienio įmonės. Įgyvendinus visus šiuos investicinius projektus, planuojama sukurti daugiau kaip 3 580 naujų darbo vietų.</w:t>
      </w:r>
    </w:p>
    <w:p w:rsidR="00925295" w:rsidRPr="00421C99" w:rsidRDefault="00925295" w:rsidP="00421C99">
      <w:pPr>
        <w:autoSpaceDE w:val="0"/>
        <w:autoSpaceDN w:val="0"/>
        <w:adjustRightInd w:val="0"/>
        <w:spacing w:after="0" w:line="360" w:lineRule="auto"/>
        <w:jc w:val="both"/>
        <w:rPr>
          <w:rFonts w:ascii="Times New Roman" w:hAnsi="Times New Roman" w:cs="Times New Roman"/>
          <w:sz w:val="24"/>
          <w:szCs w:val="24"/>
        </w:rPr>
      </w:pPr>
    </w:p>
    <w:p w:rsidR="002D6250" w:rsidRPr="00421C99" w:rsidRDefault="00925295" w:rsidP="00421C99">
      <w:pPr>
        <w:autoSpaceDE w:val="0"/>
        <w:autoSpaceDN w:val="0"/>
        <w:adjustRightInd w:val="0"/>
        <w:spacing w:after="0" w:line="360" w:lineRule="auto"/>
        <w:jc w:val="both"/>
        <w:rPr>
          <w:rFonts w:ascii="Times New Roman" w:hAnsi="Times New Roman" w:cs="Times New Roman"/>
          <w:sz w:val="24"/>
          <w:szCs w:val="24"/>
        </w:rPr>
      </w:pPr>
      <w:r w:rsidRPr="00421C99">
        <w:rPr>
          <w:rFonts w:ascii="Times New Roman" w:hAnsi="Times New Roman" w:cs="Times New Roman"/>
          <w:sz w:val="24"/>
          <w:szCs w:val="24"/>
        </w:rPr>
        <w:t>Pagal Vidurio ir Rytų Europos šalių dydį ir gyventojų skaičių Lietuvos rezultatai yra vieni geri</w:t>
      </w:r>
      <w:r w:rsidR="00FC25D7" w:rsidRPr="00421C99">
        <w:rPr>
          <w:rFonts w:ascii="Times New Roman" w:hAnsi="Times New Roman" w:cs="Times New Roman"/>
          <w:sz w:val="24"/>
          <w:szCs w:val="24"/>
        </w:rPr>
        <w:t>ausių regione. Pagal 2013 m.</w:t>
      </w:r>
      <w:r w:rsidRPr="00421C99">
        <w:rPr>
          <w:rFonts w:ascii="Times New Roman" w:hAnsi="Times New Roman" w:cs="Times New Roman"/>
          <w:sz w:val="24"/>
          <w:szCs w:val="24"/>
        </w:rPr>
        <w:t xml:space="preserve"> planuojamų sukurti darbo vietų skaičių milijonui gyventojų Lietuva šiame regione užima trečią vietą po Slovakijos ir Čekijos yra vieni</w:t>
      </w:r>
      <w:r w:rsidR="00FC25D7" w:rsidRPr="00421C99">
        <w:rPr>
          <w:rFonts w:ascii="Times New Roman" w:hAnsi="Times New Roman" w:cs="Times New Roman"/>
          <w:sz w:val="24"/>
          <w:szCs w:val="24"/>
        </w:rPr>
        <w:t>ntelė šalis, kurioje 2013 m.</w:t>
      </w:r>
      <w:r w:rsidRPr="00421C99">
        <w:rPr>
          <w:rFonts w:ascii="Times New Roman" w:hAnsi="Times New Roman" w:cs="Times New Roman"/>
          <w:sz w:val="24"/>
          <w:szCs w:val="24"/>
        </w:rPr>
        <w:t xml:space="preserve"> užsienio investuotojai sukūrė dau</w:t>
      </w:r>
      <w:r w:rsidR="00FC25D7" w:rsidRPr="00421C99">
        <w:rPr>
          <w:rFonts w:ascii="Times New Roman" w:hAnsi="Times New Roman" w:cs="Times New Roman"/>
          <w:sz w:val="24"/>
          <w:szCs w:val="24"/>
        </w:rPr>
        <w:t>giau darbo vietų nei 2008 m</w:t>
      </w:r>
      <w:r w:rsidRPr="00421C99">
        <w:rPr>
          <w:rFonts w:ascii="Times New Roman" w:hAnsi="Times New Roman" w:cs="Times New Roman"/>
          <w:sz w:val="24"/>
          <w:szCs w:val="24"/>
        </w:rPr>
        <w:t xml:space="preserve">. Kitose šalyse investuotojų planuojamų darbo vietų skaičius gerokai sumažėjo ir iki šiol nepasiekė </w:t>
      </w:r>
      <w:proofErr w:type="spellStart"/>
      <w:r w:rsidRPr="00421C99">
        <w:rPr>
          <w:rFonts w:ascii="Times New Roman" w:hAnsi="Times New Roman" w:cs="Times New Roman"/>
          <w:sz w:val="24"/>
          <w:szCs w:val="24"/>
        </w:rPr>
        <w:t>prieškrizinio</w:t>
      </w:r>
      <w:proofErr w:type="spellEnd"/>
      <w:r w:rsidRPr="00421C99">
        <w:rPr>
          <w:rFonts w:ascii="Times New Roman" w:hAnsi="Times New Roman" w:cs="Times New Roman"/>
          <w:sz w:val="24"/>
          <w:szCs w:val="24"/>
        </w:rPr>
        <w:t xml:space="preserve"> lygio. Tai byloja apie Lietuvos patrauklumo augimą, ypač pastaraisiais metais, kai vis daugiau investuotojų atranda mūsų šalį, o anksčiau įsikūrę įvertina Lietuvos </w:t>
      </w:r>
      <w:proofErr w:type="spellStart"/>
      <w:r w:rsidRPr="00421C99">
        <w:rPr>
          <w:rFonts w:ascii="Times New Roman" w:hAnsi="Times New Roman" w:cs="Times New Roman"/>
          <w:sz w:val="24"/>
          <w:szCs w:val="24"/>
        </w:rPr>
        <w:t>privalumus</w:t>
      </w:r>
      <w:proofErr w:type="spellEnd"/>
      <w:r w:rsidRPr="00421C99">
        <w:rPr>
          <w:rFonts w:ascii="Times New Roman" w:hAnsi="Times New Roman" w:cs="Times New Roman"/>
          <w:sz w:val="24"/>
          <w:szCs w:val="24"/>
        </w:rPr>
        <w:t xml:space="preserve"> ir plečia savo veiklą.</w:t>
      </w:r>
    </w:p>
    <w:p w:rsidR="00E54D38" w:rsidRPr="00421C99" w:rsidRDefault="00E54D38" w:rsidP="00421C99">
      <w:pPr>
        <w:autoSpaceDE w:val="0"/>
        <w:autoSpaceDN w:val="0"/>
        <w:adjustRightInd w:val="0"/>
        <w:spacing w:after="0" w:line="360" w:lineRule="auto"/>
        <w:jc w:val="both"/>
        <w:rPr>
          <w:rFonts w:ascii="Times New Roman" w:hAnsi="Times New Roman" w:cs="Times New Roman"/>
          <w:sz w:val="24"/>
          <w:szCs w:val="24"/>
        </w:rPr>
      </w:pPr>
    </w:p>
    <w:p w:rsidR="00E54D38" w:rsidRPr="00421C99" w:rsidRDefault="004535CE" w:rsidP="00421C9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SKYRIAUS APIBENDRINIMAS</w:t>
      </w:r>
      <w:r w:rsidR="00FC25D7" w:rsidRPr="00421C99">
        <w:rPr>
          <w:rFonts w:ascii="Times New Roman" w:hAnsi="Times New Roman" w:cs="Times New Roman"/>
          <w:b/>
          <w:sz w:val="24"/>
          <w:szCs w:val="24"/>
        </w:rPr>
        <w:t xml:space="preserve">: </w:t>
      </w:r>
      <w:r w:rsidR="00E54D38" w:rsidRPr="00421C99">
        <w:rPr>
          <w:rFonts w:ascii="Times New Roman" w:hAnsi="Times New Roman" w:cs="Times New Roman"/>
          <w:b/>
          <w:sz w:val="24"/>
          <w:szCs w:val="24"/>
        </w:rPr>
        <w:t xml:space="preserve">XVI Vyriausybė džiaugiasi, kad </w:t>
      </w:r>
      <w:r w:rsidR="00FC25D7" w:rsidRPr="00421C99">
        <w:rPr>
          <w:rFonts w:ascii="Times New Roman" w:hAnsi="Times New Roman" w:cs="Times New Roman"/>
          <w:b/>
          <w:sz w:val="24"/>
          <w:szCs w:val="24"/>
          <w:lang w:val="en-US"/>
        </w:rPr>
        <w:t xml:space="preserve">2013 m. </w:t>
      </w:r>
      <w:proofErr w:type="spellStart"/>
      <w:proofErr w:type="gramStart"/>
      <w:r w:rsidR="00FC25D7" w:rsidRPr="00421C99">
        <w:rPr>
          <w:rFonts w:ascii="Times New Roman" w:hAnsi="Times New Roman" w:cs="Times New Roman"/>
          <w:b/>
          <w:sz w:val="24"/>
          <w:szCs w:val="24"/>
          <w:lang w:val="en-US"/>
        </w:rPr>
        <w:t>buvo</w:t>
      </w:r>
      <w:proofErr w:type="spellEnd"/>
      <w:proofErr w:type="gramEnd"/>
      <w:r w:rsidR="00FC25D7" w:rsidRPr="00421C99">
        <w:rPr>
          <w:rFonts w:ascii="Times New Roman" w:hAnsi="Times New Roman" w:cs="Times New Roman"/>
          <w:b/>
          <w:sz w:val="24"/>
          <w:szCs w:val="24"/>
          <w:lang w:val="en-US"/>
        </w:rPr>
        <w:t xml:space="preserve"> </w:t>
      </w:r>
      <w:proofErr w:type="spellStart"/>
      <w:r w:rsidR="00FC25D7" w:rsidRPr="00421C99">
        <w:rPr>
          <w:rFonts w:ascii="Times New Roman" w:hAnsi="Times New Roman" w:cs="Times New Roman"/>
          <w:b/>
          <w:sz w:val="24"/>
          <w:szCs w:val="24"/>
          <w:lang w:val="en-US"/>
        </w:rPr>
        <w:t>galima</w:t>
      </w:r>
      <w:proofErr w:type="spellEnd"/>
      <w:r w:rsidR="00FC25D7" w:rsidRPr="00421C99">
        <w:rPr>
          <w:rFonts w:ascii="Times New Roman" w:hAnsi="Times New Roman" w:cs="Times New Roman"/>
          <w:b/>
          <w:sz w:val="24"/>
          <w:szCs w:val="24"/>
          <w:lang w:val="en-US"/>
        </w:rPr>
        <w:t xml:space="preserve"> </w:t>
      </w:r>
      <w:r w:rsidR="00FC25D7" w:rsidRPr="00421C99">
        <w:rPr>
          <w:rFonts w:ascii="Times New Roman" w:hAnsi="Times New Roman" w:cs="Times New Roman"/>
          <w:b/>
          <w:sz w:val="24"/>
          <w:szCs w:val="24"/>
        </w:rPr>
        <w:t>„</w:t>
      </w:r>
      <w:proofErr w:type="spellStart"/>
      <w:r w:rsidR="00FC25D7" w:rsidRPr="00421C99">
        <w:rPr>
          <w:rFonts w:ascii="Times New Roman" w:hAnsi="Times New Roman" w:cs="Times New Roman"/>
          <w:b/>
          <w:sz w:val="24"/>
          <w:szCs w:val="24"/>
          <w:lang w:val="en-US"/>
        </w:rPr>
        <w:t>nuskinti</w:t>
      </w:r>
      <w:proofErr w:type="spellEnd"/>
      <w:r w:rsidR="00FC25D7" w:rsidRPr="00421C99">
        <w:rPr>
          <w:rFonts w:ascii="Times New Roman" w:hAnsi="Times New Roman" w:cs="Times New Roman"/>
          <w:b/>
          <w:sz w:val="24"/>
          <w:szCs w:val="24"/>
          <w:lang w:val="en-US"/>
        </w:rPr>
        <w:t xml:space="preserve"> </w:t>
      </w:r>
      <w:proofErr w:type="spellStart"/>
      <w:r w:rsidR="00FC25D7" w:rsidRPr="00421C99">
        <w:rPr>
          <w:rFonts w:ascii="Times New Roman" w:hAnsi="Times New Roman" w:cs="Times New Roman"/>
          <w:b/>
          <w:sz w:val="24"/>
          <w:szCs w:val="24"/>
          <w:lang w:val="en-US"/>
        </w:rPr>
        <w:t>vaisius</w:t>
      </w:r>
      <w:proofErr w:type="spellEnd"/>
      <w:r w:rsidR="00FC25D7" w:rsidRPr="00421C99">
        <w:rPr>
          <w:rFonts w:ascii="Times New Roman" w:hAnsi="Times New Roman" w:cs="Times New Roman"/>
          <w:b/>
          <w:sz w:val="24"/>
          <w:szCs w:val="24"/>
          <w:lang w:val="en-US"/>
        </w:rPr>
        <w:t>”</w:t>
      </w:r>
      <w:r w:rsidR="00E54D38" w:rsidRPr="00421C99">
        <w:rPr>
          <w:rFonts w:ascii="Times New Roman" w:hAnsi="Times New Roman" w:cs="Times New Roman"/>
          <w:b/>
          <w:sz w:val="24"/>
          <w:szCs w:val="24"/>
          <w:lang w:val="en-US"/>
        </w:rPr>
        <w:t xml:space="preserve"> t</w:t>
      </w:r>
      <w:r w:rsidR="00E54D38" w:rsidRPr="00421C99">
        <w:rPr>
          <w:rFonts w:ascii="Times New Roman" w:hAnsi="Times New Roman" w:cs="Times New Roman"/>
          <w:b/>
          <w:sz w:val="24"/>
          <w:szCs w:val="24"/>
        </w:rPr>
        <w:t>ų konkrečių darbų ir reformų, kurias įgyvendino ar</w:t>
      </w:r>
      <w:r w:rsidR="00745451" w:rsidRPr="00421C99">
        <w:rPr>
          <w:rFonts w:ascii="Times New Roman" w:hAnsi="Times New Roman" w:cs="Times New Roman"/>
          <w:b/>
          <w:sz w:val="24"/>
          <w:szCs w:val="24"/>
        </w:rPr>
        <w:t>ba sukūrė reikalingas prielaidas</w:t>
      </w:r>
      <w:r w:rsidR="00E54D38" w:rsidRPr="00421C99">
        <w:rPr>
          <w:rFonts w:ascii="Times New Roman" w:hAnsi="Times New Roman" w:cs="Times New Roman"/>
          <w:b/>
          <w:sz w:val="24"/>
          <w:szCs w:val="24"/>
        </w:rPr>
        <w:t xml:space="preserve"> dar </w:t>
      </w:r>
      <w:r w:rsidR="00E54D38" w:rsidRPr="00421C99">
        <w:rPr>
          <w:rFonts w:ascii="Times New Roman" w:hAnsi="Times New Roman" w:cs="Times New Roman"/>
          <w:b/>
          <w:sz w:val="24"/>
          <w:szCs w:val="24"/>
          <w:lang w:val="en-US"/>
        </w:rPr>
        <w:t xml:space="preserve">XV </w:t>
      </w:r>
      <w:proofErr w:type="spellStart"/>
      <w:r w:rsidR="00E54D38" w:rsidRPr="00421C99">
        <w:rPr>
          <w:rFonts w:ascii="Times New Roman" w:hAnsi="Times New Roman" w:cs="Times New Roman"/>
          <w:b/>
          <w:sz w:val="24"/>
          <w:szCs w:val="24"/>
          <w:lang w:val="en-US"/>
        </w:rPr>
        <w:t>Vyriausyb</w:t>
      </w:r>
      <w:proofErr w:type="spellEnd"/>
      <w:r w:rsidR="00E54D38" w:rsidRPr="00421C99">
        <w:rPr>
          <w:rFonts w:ascii="Times New Roman" w:hAnsi="Times New Roman" w:cs="Times New Roman"/>
          <w:b/>
          <w:sz w:val="24"/>
          <w:szCs w:val="24"/>
        </w:rPr>
        <w:t>ė.</w:t>
      </w:r>
    </w:p>
    <w:p w:rsidR="00956FE9" w:rsidRPr="00421C99" w:rsidRDefault="00956FE9" w:rsidP="00421C99">
      <w:pPr>
        <w:pStyle w:val="PlainText"/>
        <w:spacing w:line="360" w:lineRule="auto"/>
        <w:jc w:val="both"/>
        <w:rPr>
          <w:rFonts w:ascii="Times New Roman" w:hAnsi="Times New Roman" w:cs="Times New Roman"/>
          <w:sz w:val="24"/>
          <w:szCs w:val="24"/>
        </w:rPr>
      </w:pPr>
    </w:p>
    <w:p w:rsidR="008B333D" w:rsidRPr="00421C99" w:rsidRDefault="00B9179E"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b/>
          <w:sz w:val="24"/>
          <w:szCs w:val="24"/>
          <w:lang w:val="en-US"/>
        </w:rPr>
        <w:t xml:space="preserve">4. </w:t>
      </w:r>
      <w:r w:rsidR="00956FE9" w:rsidRPr="00421C99">
        <w:rPr>
          <w:rFonts w:ascii="Times New Roman" w:hAnsi="Times New Roman" w:cs="Times New Roman"/>
          <w:b/>
          <w:sz w:val="24"/>
          <w:szCs w:val="24"/>
        </w:rPr>
        <w:t>Vyriausybė</w:t>
      </w:r>
      <w:r w:rsidR="00491D15" w:rsidRPr="00421C99">
        <w:rPr>
          <w:rFonts w:ascii="Times New Roman" w:hAnsi="Times New Roman" w:cs="Times New Roman"/>
          <w:b/>
          <w:sz w:val="24"/>
          <w:szCs w:val="24"/>
        </w:rPr>
        <w:t xml:space="preserve"> džiaugiasi</w:t>
      </w:r>
      <w:r w:rsidR="00956FE9" w:rsidRPr="00421C99">
        <w:rPr>
          <w:rFonts w:ascii="Times New Roman" w:hAnsi="Times New Roman" w:cs="Times New Roman"/>
          <w:b/>
          <w:sz w:val="24"/>
          <w:szCs w:val="24"/>
        </w:rPr>
        <w:t xml:space="preserve"> savo savarankiškai nuveiktais darbais</w:t>
      </w:r>
    </w:p>
    <w:p w:rsidR="00956FE9" w:rsidRPr="00421C99" w:rsidRDefault="00956FE9" w:rsidP="00421C99">
      <w:pPr>
        <w:pStyle w:val="PlainText"/>
        <w:spacing w:line="360" w:lineRule="auto"/>
        <w:ind w:left="720"/>
        <w:jc w:val="both"/>
        <w:rPr>
          <w:rFonts w:ascii="Times New Roman" w:hAnsi="Times New Roman" w:cs="Times New Roman"/>
          <w:b/>
          <w:sz w:val="24"/>
          <w:szCs w:val="24"/>
        </w:rPr>
      </w:pPr>
    </w:p>
    <w:p w:rsidR="006F2691" w:rsidRPr="00421C99" w:rsidRDefault="00805E7C"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4</w:t>
      </w:r>
      <w:r w:rsidR="00956FE9" w:rsidRPr="00421C99">
        <w:rPr>
          <w:rFonts w:ascii="Times New Roman" w:hAnsi="Times New Roman" w:cs="Times New Roman"/>
          <w:b/>
          <w:sz w:val="24"/>
          <w:szCs w:val="24"/>
        </w:rPr>
        <w:t>.</w:t>
      </w:r>
      <w:r w:rsidRPr="00421C99">
        <w:rPr>
          <w:rFonts w:ascii="Times New Roman" w:hAnsi="Times New Roman" w:cs="Times New Roman"/>
          <w:b/>
          <w:sz w:val="24"/>
          <w:szCs w:val="24"/>
          <w:lang w:val="en-US"/>
        </w:rPr>
        <w:t>1.</w:t>
      </w:r>
      <w:r w:rsidR="00421C99">
        <w:rPr>
          <w:rFonts w:ascii="Times New Roman" w:hAnsi="Times New Roman" w:cs="Times New Roman"/>
          <w:b/>
          <w:sz w:val="24"/>
          <w:szCs w:val="24"/>
        </w:rPr>
        <w:t xml:space="preserve"> MMA padidinta iki 1000 litų</w:t>
      </w:r>
    </w:p>
    <w:p w:rsidR="00956FE9" w:rsidRPr="00421C99" w:rsidRDefault="00956FE9"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Iš karto po rinkimų priimtas sprendimas padidinti MMA nuo 850 litų iki 1000 litų, nors ir buvo rizikingas, tačiau kokių nors matomai neigiamų pasekmių nesukėlė – nedarbas neišaugo (nors nedarbo mažėji</w:t>
      </w:r>
      <w:r w:rsidR="00805E7C" w:rsidRPr="00421C99">
        <w:rPr>
          <w:rFonts w:ascii="Times New Roman" w:hAnsi="Times New Roman" w:cs="Times New Roman"/>
          <w:sz w:val="24"/>
          <w:szCs w:val="24"/>
        </w:rPr>
        <w:t>mo tempai 2013 m ir buvo mažesni nei 2012 m.</w:t>
      </w:r>
      <w:r w:rsidRPr="00421C99">
        <w:rPr>
          <w:rFonts w:ascii="Times New Roman" w:hAnsi="Times New Roman" w:cs="Times New Roman"/>
          <w:sz w:val="24"/>
          <w:szCs w:val="24"/>
        </w:rPr>
        <w:t xml:space="preserve">), </w:t>
      </w:r>
      <w:r w:rsidR="00805E7C" w:rsidRPr="00421C99">
        <w:rPr>
          <w:rFonts w:ascii="Times New Roman" w:hAnsi="Times New Roman" w:cs="Times New Roman"/>
          <w:sz w:val="24"/>
          <w:szCs w:val="24"/>
        </w:rPr>
        <w:t xml:space="preserve">įmonių </w:t>
      </w:r>
      <w:r w:rsidRPr="00421C99">
        <w:rPr>
          <w:rFonts w:ascii="Times New Roman" w:hAnsi="Times New Roman" w:cs="Times New Roman"/>
          <w:sz w:val="24"/>
          <w:szCs w:val="24"/>
        </w:rPr>
        <w:t xml:space="preserve">bankrotų nepadaugėjo. Tačiau ir matomų pozityvių </w:t>
      </w:r>
      <w:proofErr w:type="spellStart"/>
      <w:r w:rsidRPr="00421C99">
        <w:rPr>
          <w:rFonts w:ascii="Times New Roman" w:hAnsi="Times New Roman" w:cs="Times New Roman"/>
          <w:sz w:val="24"/>
          <w:szCs w:val="24"/>
        </w:rPr>
        <w:t>pas</w:t>
      </w:r>
      <w:r w:rsidR="00805E7C" w:rsidRPr="00421C99">
        <w:rPr>
          <w:rFonts w:ascii="Times New Roman" w:hAnsi="Times New Roman" w:cs="Times New Roman"/>
          <w:sz w:val="24"/>
          <w:szCs w:val="24"/>
        </w:rPr>
        <w:t>i</w:t>
      </w:r>
      <w:r w:rsidRPr="00421C99">
        <w:rPr>
          <w:rFonts w:ascii="Times New Roman" w:hAnsi="Times New Roman" w:cs="Times New Roman"/>
          <w:sz w:val="24"/>
          <w:szCs w:val="24"/>
        </w:rPr>
        <w:t>ek</w:t>
      </w:r>
      <w:r w:rsidR="00805E7C" w:rsidRPr="00421C99">
        <w:rPr>
          <w:rFonts w:ascii="Times New Roman" w:hAnsi="Times New Roman" w:cs="Times New Roman"/>
          <w:sz w:val="24"/>
          <w:szCs w:val="24"/>
        </w:rPr>
        <w:t>i</w:t>
      </w:r>
      <w:r w:rsidRPr="00421C99">
        <w:rPr>
          <w:rFonts w:ascii="Times New Roman" w:hAnsi="Times New Roman" w:cs="Times New Roman"/>
          <w:sz w:val="24"/>
          <w:szCs w:val="24"/>
        </w:rPr>
        <w:t>mių</w:t>
      </w:r>
      <w:proofErr w:type="spellEnd"/>
      <w:r w:rsidRPr="00421C99">
        <w:rPr>
          <w:rFonts w:ascii="Times New Roman" w:hAnsi="Times New Roman" w:cs="Times New Roman"/>
          <w:sz w:val="24"/>
          <w:szCs w:val="24"/>
        </w:rPr>
        <w:t xml:space="preserve"> bendrai ekonominei situacijai </w:t>
      </w:r>
      <w:r w:rsidR="006F2691" w:rsidRPr="00421C99">
        <w:rPr>
          <w:rFonts w:ascii="Times New Roman" w:hAnsi="Times New Roman" w:cs="Times New Roman"/>
          <w:sz w:val="24"/>
          <w:szCs w:val="24"/>
        </w:rPr>
        <w:t xml:space="preserve">toks MMA didinimas </w:t>
      </w:r>
      <w:r w:rsidRPr="00421C99">
        <w:rPr>
          <w:rFonts w:ascii="Times New Roman" w:hAnsi="Times New Roman" w:cs="Times New Roman"/>
          <w:sz w:val="24"/>
          <w:szCs w:val="24"/>
        </w:rPr>
        <w:t xml:space="preserve">taip pat </w:t>
      </w:r>
      <w:r w:rsidR="00805E7C" w:rsidRPr="00421C99">
        <w:rPr>
          <w:rFonts w:ascii="Times New Roman" w:hAnsi="Times New Roman" w:cs="Times New Roman"/>
          <w:sz w:val="24"/>
          <w:szCs w:val="24"/>
        </w:rPr>
        <w:t>nedavė.</w:t>
      </w:r>
    </w:p>
    <w:p w:rsidR="00956FE9" w:rsidRPr="00421C99" w:rsidRDefault="00956FE9" w:rsidP="00421C99">
      <w:pPr>
        <w:pStyle w:val="PlainText"/>
        <w:spacing w:line="360" w:lineRule="auto"/>
        <w:jc w:val="both"/>
        <w:rPr>
          <w:rFonts w:ascii="Times New Roman" w:hAnsi="Times New Roman" w:cs="Times New Roman"/>
          <w:sz w:val="24"/>
          <w:szCs w:val="24"/>
        </w:rPr>
      </w:pPr>
    </w:p>
    <w:p w:rsidR="00956FE9" w:rsidRPr="00421C99" w:rsidRDefault="00805E7C"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4</w:t>
      </w:r>
      <w:r w:rsidR="00956FE9" w:rsidRPr="00421C99">
        <w:rPr>
          <w:rFonts w:ascii="Times New Roman" w:hAnsi="Times New Roman" w:cs="Times New Roman"/>
          <w:b/>
          <w:sz w:val="24"/>
          <w:szCs w:val="24"/>
        </w:rPr>
        <w:t>.</w:t>
      </w:r>
      <w:r w:rsidRPr="00421C99">
        <w:rPr>
          <w:rFonts w:ascii="Times New Roman" w:hAnsi="Times New Roman" w:cs="Times New Roman"/>
          <w:b/>
          <w:sz w:val="24"/>
          <w:szCs w:val="24"/>
          <w:lang w:val="en-US"/>
        </w:rPr>
        <w:t>2.</w:t>
      </w:r>
      <w:r w:rsidR="00956FE9" w:rsidRPr="00421C99">
        <w:rPr>
          <w:rFonts w:ascii="Times New Roman" w:hAnsi="Times New Roman" w:cs="Times New Roman"/>
          <w:b/>
          <w:sz w:val="24"/>
          <w:szCs w:val="24"/>
        </w:rPr>
        <w:t xml:space="preserve"> Priimtas ir įgyvendintas naujas</w:t>
      </w:r>
      <w:r w:rsidR="00421C99">
        <w:rPr>
          <w:rFonts w:ascii="Times New Roman" w:hAnsi="Times New Roman" w:cs="Times New Roman"/>
          <w:b/>
          <w:sz w:val="24"/>
          <w:szCs w:val="24"/>
        </w:rPr>
        <w:t xml:space="preserve"> Teritorijų planavimo įstatymas</w:t>
      </w:r>
    </w:p>
    <w:p w:rsidR="00956FE9" w:rsidRPr="00421C99" w:rsidRDefault="00956FE9"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Pasinaudojant XV Vyriausybės esminiu įdirbiu rengiant naują Teritorijų planavimo įstatymo projektą, jau 2013 metų pirmąjį pusmetį šis įstatymas buvo priimtas ir yra pradedamas įgyvendinti. Jis palengvina</w:t>
      </w:r>
      <w:r w:rsidR="002033CE" w:rsidRPr="00421C99">
        <w:rPr>
          <w:rFonts w:ascii="Times New Roman" w:hAnsi="Times New Roman" w:cs="Times New Roman"/>
          <w:sz w:val="24"/>
          <w:szCs w:val="24"/>
        </w:rPr>
        <w:t xml:space="preserve"> ir praskaidrina</w:t>
      </w:r>
      <w:r w:rsidRPr="00421C99">
        <w:rPr>
          <w:rFonts w:ascii="Times New Roman" w:hAnsi="Times New Roman" w:cs="Times New Roman"/>
          <w:sz w:val="24"/>
          <w:szCs w:val="24"/>
        </w:rPr>
        <w:t xml:space="preserve"> visas teritorijų planavimo procedūras, todėl gali tik pozityviai įtakoti verslo sąlygas Lietuvoje.</w:t>
      </w:r>
    </w:p>
    <w:p w:rsidR="002033CE" w:rsidRPr="00421C99" w:rsidRDefault="002033CE" w:rsidP="00421C99">
      <w:pPr>
        <w:pStyle w:val="PlainText"/>
        <w:spacing w:line="360" w:lineRule="auto"/>
        <w:jc w:val="both"/>
        <w:rPr>
          <w:rFonts w:ascii="Times New Roman" w:hAnsi="Times New Roman" w:cs="Times New Roman"/>
          <w:sz w:val="24"/>
          <w:szCs w:val="24"/>
        </w:rPr>
      </w:pPr>
    </w:p>
    <w:p w:rsidR="002033CE" w:rsidRPr="00421C99" w:rsidRDefault="00805E7C"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lastRenderedPageBreak/>
        <w:t>4</w:t>
      </w:r>
      <w:r w:rsidR="002033CE" w:rsidRPr="00421C99">
        <w:rPr>
          <w:rFonts w:ascii="Times New Roman" w:hAnsi="Times New Roman" w:cs="Times New Roman"/>
          <w:b/>
          <w:sz w:val="24"/>
          <w:szCs w:val="24"/>
        </w:rPr>
        <w:t>.</w:t>
      </w:r>
      <w:r w:rsidRPr="00421C99">
        <w:rPr>
          <w:rFonts w:ascii="Times New Roman" w:hAnsi="Times New Roman" w:cs="Times New Roman"/>
          <w:b/>
          <w:sz w:val="24"/>
          <w:szCs w:val="24"/>
        </w:rPr>
        <w:t>3.</w:t>
      </w:r>
      <w:r w:rsidR="002033CE" w:rsidRPr="00421C99">
        <w:rPr>
          <w:rFonts w:ascii="Times New Roman" w:hAnsi="Times New Roman" w:cs="Times New Roman"/>
          <w:b/>
          <w:sz w:val="24"/>
          <w:szCs w:val="24"/>
        </w:rPr>
        <w:t xml:space="preserve"> Pradėta įgyvendinti nauja daugiabu</w:t>
      </w:r>
      <w:r w:rsidR="00421C99">
        <w:rPr>
          <w:rFonts w:ascii="Times New Roman" w:hAnsi="Times New Roman" w:cs="Times New Roman"/>
          <w:b/>
          <w:sz w:val="24"/>
          <w:szCs w:val="24"/>
        </w:rPr>
        <w:t>čių namų renovacijos koncepcija</w:t>
      </w:r>
    </w:p>
    <w:p w:rsidR="001C2B8A" w:rsidRPr="00421C99" w:rsidRDefault="002033CE"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Pasinaudojant XV Vyriausybės įdirbiu parengiant ir patvirtinant naują daugiab</w:t>
      </w:r>
      <w:r w:rsidR="001C2B8A" w:rsidRPr="00421C99">
        <w:rPr>
          <w:rFonts w:ascii="Times New Roman" w:hAnsi="Times New Roman" w:cs="Times New Roman"/>
          <w:sz w:val="24"/>
          <w:szCs w:val="24"/>
        </w:rPr>
        <w:t>učių namų renovacijos programą</w:t>
      </w:r>
      <w:r w:rsidRPr="00421C99">
        <w:rPr>
          <w:rFonts w:ascii="Times New Roman" w:hAnsi="Times New Roman" w:cs="Times New Roman"/>
          <w:sz w:val="24"/>
          <w:szCs w:val="24"/>
        </w:rPr>
        <w:t>,</w:t>
      </w:r>
      <w:r w:rsidR="001C2B8A" w:rsidRPr="00421C99">
        <w:rPr>
          <w:rFonts w:ascii="Times New Roman" w:hAnsi="Times New Roman" w:cs="Times New Roman"/>
          <w:sz w:val="24"/>
          <w:szCs w:val="24"/>
        </w:rPr>
        <w:t xml:space="preserve"> ši programa 2013</w:t>
      </w:r>
      <w:r w:rsidR="00805E7C" w:rsidRPr="00421C99">
        <w:rPr>
          <w:rFonts w:ascii="Times New Roman" w:hAnsi="Times New Roman" w:cs="Times New Roman"/>
          <w:sz w:val="24"/>
          <w:szCs w:val="24"/>
        </w:rPr>
        <w:t xml:space="preserve"> m.</w:t>
      </w:r>
      <w:r w:rsidR="001C2B8A" w:rsidRPr="00421C99">
        <w:rPr>
          <w:rFonts w:ascii="Times New Roman" w:hAnsi="Times New Roman" w:cs="Times New Roman"/>
          <w:sz w:val="24"/>
          <w:szCs w:val="24"/>
        </w:rPr>
        <w:t xml:space="preserve"> buvo pradėta realiai įgyvendinti. Šioje programoje, skirtingai nuo ankstesnės, </w:t>
      </w:r>
      <w:r w:rsidRPr="00421C99">
        <w:rPr>
          <w:rFonts w:ascii="Times New Roman" w:hAnsi="Times New Roman" w:cs="Times New Roman"/>
          <w:sz w:val="24"/>
          <w:szCs w:val="24"/>
        </w:rPr>
        <w:t xml:space="preserve">buvo atsisakyta gyventojų prievolės patiems </w:t>
      </w:r>
      <w:r w:rsidR="00AB3C69" w:rsidRPr="00421C99">
        <w:rPr>
          <w:rFonts w:ascii="Times New Roman" w:hAnsi="Times New Roman" w:cs="Times New Roman"/>
          <w:sz w:val="24"/>
          <w:szCs w:val="24"/>
        </w:rPr>
        <w:t xml:space="preserve">sudaryti </w:t>
      </w:r>
      <w:r w:rsidRPr="00421C99">
        <w:rPr>
          <w:rFonts w:ascii="Times New Roman" w:hAnsi="Times New Roman" w:cs="Times New Roman"/>
          <w:sz w:val="24"/>
          <w:szCs w:val="24"/>
        </w:rPr>
        <w:t>su bankais sutartis, taip pat numatytas žymiai didesnis savi</w:t>
      </w:r>
      <w:r w:rsidR="00805E7C" w:rsidRPr="00421C99">
        <w:rPr>
          <w:rFonts w:ascii="Times New Roman" w:hAnsi="Times New Roman" w:cs="Times New Roman"/>
          <w:sz w:val="24"/>
          <w:szCs w:val="24"/>
        </w:rPr>
        <w:t>valdybių administracijų vaidmuo, t</w:t>
      </w:r>
      <w:r w:rsidRPr="00421C99">
        <w:rPr>
          <w:rFonts w:ascii="Times New Roman" w:hAnsi="Times New Roman" w:cs="Times New Roman"/>
          <w:sz w:val="24"/>
          <w:szCs w:val="24"/>
        </w:rPr>
        <w:t>ai</w:t>
      </w:r>
      <w:r w:rsidR="00805E7C" w:rsidRPr="00421C99">
        <w:rPr>
          <w:rFonts w:ascii="Times New Roman" w:hAnsi="Times New Roman" w:cs="Times New Roman"/>
          <w:sz w:val="24"/>
          <w:szCs w:val="24"/>
        </w:rPr>
        <w:t>p</w:t>
      </w:r>
      <w:r w:rsidRPr="00421C99">
        <w:rPr>
          <w:rFonts w:ascii="Times New Roman" w:hAnsi="Times New Roman" w:cs="Times New Roman"/>
          <w:sz w:val="24"/>
          <w:szCs w:val="24"/>
        </w:rPr>
        <w:t xml:space="preserve"> ženkliai paspartin</w:t>
      </w:r>
      <w:r w:rsidR="00805E7C" w:rsidRPr="00421C99">
        <w:rPr>
          <w:rFonts w:ascii="Times New Roman" w:hAnsi="Times New Roman" w:cs="Times New Roman"/>
          <w:sz w:val="24"/>
          <w:szCs w:val="24"/>
        </w:rPr>
        <w:t>ant</w:t>
      </w:r>
      <w:r w:rsidRPr="00421C99">
        <w:rPr>
          <w:rFonts w:ascii="Times New Roman" w:hAnsi="Times New Roman" w:cs="Times New Roman"/>
          <w:sz w:val="24"/>
          <w:szCs w:val="24"/>
        </w:rPr>
        <w:t xml:space="preserve"> renovacijos procesą. Tai buvo padaryta atsižvelgiant į per kelerius krizės metus sukauptą patirtį ir </w:t>
      </w:r>
      <w:r w:rsidR="001C2B8A" w:rsidRPr="00421C99">
        <w:rPr>
          <w:rFonts w:ascii="Times New Roman" w:hAnsi="Times New Roman" w:cs="Times New Roman"/>
          <w:sz w:val="24"/>
          <w:szCs w:val="24"/>
        </w:rPr>
        <w:t>atliktą</w:t>
      </w:r>
      <w:r w:rsidRPr="00421C99">
        <w:rPr>
          <w:rFonts w:ascii="Times New Roman" w:hAnsi="Times New Roman" w:cs="Times New Roman"/>
          <w:sz w:val="24"/>
          <w:szCs w:val="24"/>
        </w:rPr>
        <w:t xml:space="preserve"> analizę, nustatant  kas trukdė ankstesniam renovacijos modeliui tapti labiau priimtinu žmonėms. </w:t>
      </w:r>
    </w:p>
    <w:p w:rsidR="001C2B8A" w:rsidRPr="00421C99" w:rsidRDefault="001C2B8A" w:rsidP="00421C99">
      <w:pPr>
        <w:pStyle w:val="PlainText"/>
        <w:spacing w:line="360" w:lineRule="auto"/>
        <w:jc w:val="both"/>
        <w:rPr>
          <w:rFonts w:ascii="Times New Roman" w:hAnsi="Times New Roman" w:cs="Times New Roman"/>
          <w:sz w:val="24"/>
          <w:szCs w:val="24"/>
        </w:rPr>
      </w:pPr>
    </w:p>
    <w:p w:rsidR="001C2B8A" w:rsidRPr="00421C99" w:rsidRDefault="001C2B8A"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Galima taip pat pasidžiaugti, kad </w:t>
      </w:r>
      <w:r w:rsidR="002033CE" w:rsidRPr="00421C99">
        <w:rPr>
          <w:rFonts w:ascii="Times New Roman" w:hAnsi="Times New Roman" w:cs="Times New Roman"/>
          <w:sz w:val="24"/>
          <w:szCs w:val="24"/>
        </w:rPr>
        <w:t>Lietuvai išeinant iš krizės</w:t>
      </w:r>
      <w:r w:rsidRPr="00421C99">
        <w:rPr>
          <w:rFonts w:ascii="Times New Roman" w:hAnsi="Times New Roman" w:cs="Times New Roman"/>
          <w:sz w:val="24"/>
          <w:szCs w:val="24"/>
        </w:rPr>
        <w:t xml:space="preserve">, </w:t>
      </w:r>
      <w:r w:rsidR="002033CE" w:rsidRPr="00421C99">
        <w:rPr>
          <w:rFonts w:ascii="Times New Roman" w:hAnsi="Times New Roman" w:cs="Times New Roman"/>
          <w:sz w:val="24"/>
          <w:szCs w:val="24"/>
        </w:rPr>
        <w:t xml:space="preserve"> gerėja žmonių ekonominiai lūkesčiai, tai leidžia jiems taip pat drąsiau žiūrėti į renovacijos projekto įgyvendinimą. Po rinkimų neliko nekonstruktyvios politinės opozicijos, kuri ankstesniame laikotarpyje</w:t>
      </w:r>
      <w:r w:rsidRPr="00421C99">
        <w:rPr>
          <w:rFonts w:ascii="Times New Roman" w:hAnsi="Times New Roman" w:cs="Times New Roman"/>
          <w:sz w:val="24"/>
          <w:szCs w:val="24"/>
        </w:rPr>
        <w:t xml:space="preserve"> nevengdavo </w:t>
      </w:r>
      <w:r w:rsidR="002033CE" w:rsidRPr="00421C99">
        <w:rPr>
          <w:rFonts w:ascii="Times New Roman" w:hAnsi="Times New Roman" w:cs="Times New Roman"/>
          <w:sz w:val="24"/>
          <w:szCs w:val="24"/>
        </w:rPr>
        <w:t xml:space="preserve">politikuoti renovacijos tema ir gąsdinti žmones, kad renovacijos programa yra pasmerkta žlugti. </w:t>
      </w:r>
    </w:p>
    <w:p w:rsidR="001C2B8A" w:rsidRPr="00421C99" w:rsidRDefault="001C2B8A" w:rsidP="00421C99">
      <w:pPr>
        <w:pStyle w:val="PlainText"/>
        <w:spacing w:line="360" w:lineRule="auto"/>
        <w:jc w:val="both"/>
        <w:rPr>
          <w:rFonts w:ascii="Times New Roman" w:hAnsi="Times New Roman" w:cs="Times New Roman"/>
          <w:sz w:val="24"/>
          <w:szCs w:val="24"/>
        </w:rPr>
      </w:pPr>
    </w:p>
    <w:p w:rsidR="002033CE" w:rsidRPr="00421C99" w:rsidRDefault="002033CE"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Tačiau nepaisant</w:t>
      </w:r>
      <w:r w:rsidR="001C2B8A" w:rsidRPr="00421C99">
        <w:rPr>
          <w:rFonts w:ascii="Times New Roman" w:hAnsi="Times New Roman" w:cs="Times New Roman"/>
          <w:sz w:val="24"/>
          <w:szCs w:val="24"/>
        </w:rPr>
        <w:t xml:space="preserve"> ženkliai padidėjusio žmonių suinteresuotumo dalyvauti naujoje renovacijos programoje ir atsakingų institucijų pastangų spartinti renovacijos projektų rengimo ir derinimo tempus, realiai įgyvendinamų projektų skaičiaus augimo tempai išliko kritiškai žemi, ir todėl išlieka rizika, kad šiame ES finansinės paramos laikotar</w:t>
      </w:r>
      <w:r w:rsidR="00805E7C" w:rsidRPr="00421C99">
        <w:rPr>
          <w:rFonts w:ascii="Times New Roman" w:hAnsi="Times New Roman" w:cs="Times New Roman"/>
          <w:sz w:val="24"/>
          <w:szCs w:val="24"/>
        </w:rPr>
        <w:t>pyje, kuris baigiasi 2015 m.</w:t>
      </w:r>
      <w:r w:rsidR="001C2B8A" w:rsidRPr="00421C99">
        <w:rPr>
          <w:rFonts w:ascii="Times New Roman" w:hAnsi="Times New Roman" w:cs="Times New Roman"/>
          <w:sz w:val="24"/>
          <w:szCs w:val="24"/>
        </w:rPr>
        <w:t>, bus nespėta įsisavinti visų daugiabučių renovacijai skirtų lėšų.</w:t>
      </w:r>
      <w:r w:rsidRPr="00421C99">
        <w:rPr>
          <w:rFonts w:ascii="Times New Roman" w:hAnsi="Times New Roman" w:cs="Times New Roman"/>
          <w:sz w:val="24"/>
          <w:szCs w:val="24"/>
        </w:rPr>
        <w:t xml:space="preserve"> </w:t>
      </w:r>
    </w:p>
    <w:p w:rsidR="001C2B8A" w:rsidRPr="00421C99" w:rsidRDefault="001C2B8A" w:rsidP="00421C99">
      <w:pPr>
        <w:pStyle w:val="PlainText"/>
        <w:spacing w:line="360" w:lineRule="auto"/>
        <w:jc w:val="both"/>
        <w:rPr>
          <w:rFonts w:ascii="Times New Roman" w:hAnsi="Times New Roman" w:cs="Times New Roman"/>
          <w:sz w:val="24"/>
          <w:szCs w:val="24"/>
        </w:rPr>
      </w:pPr>
    </w:p>
    <w:p w:rsidR="001C2B8A" w:rsidRPr="00421C99" w:rsidRDefault="00805E7C"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4</w:t>
      </w:r>
      <w:r w:rsidR="001C2B8A" w:rsidRPr="00421C99">
        <w:rPr>
          <w:rFonts w:ascii="Times New Roman" w:hAnsi="Times New Roman" w:cs="Times New Roman"/>
          <w:b/>
          <w:sz w:val="24"/>
          <w:szCs w:val="24"/>
        </w:rPr>
        <w:t>.</w:t>
      </w:r>
      <w:r w:rsidRPr="00421C99">
        <w:rPr>
          <w:rFonts w:ascii="Times New Roman" w:hAnsi="Times New Roman" w:cs="Times New Roman"/>
          <w:b/>
          <w:sz w:val="24"/>
          <w:szCs w:val="24"/>
        </w:rPr>
        <w:t>4.</w:t>
      </w:r>
      <w:r w:rsidR="001C2B8A" w:rsidRPr="00421C99">
        <w:rPr>
          <w:rFonts w:ascii="Times New Roman" w:hAnsi="Times New Roman" w:cs="Times New Roman"/>
          <w:b/>
          <w:sz w:val="24"/>
          <w:szCs w:val="24"/>
        </w:rPr>
        <w:t xml:space="preserve"> Tęstas strateginių </w:t>
      </w:r>
      <w:r w:rsidRPr="00421C99">
        <w:rPr>
          <w:rFonts w:ascii="Times New Roman" w:hAnsi="Times New Roman" w:cs="Times New Roman"/>
          <w:b/>
          <w:sz w:val="24"/>
          <w:szCs w:val="24"/>
        </w:rPr>
        <w:t xml:space="preserve">energetikos </w:t>
      </w:r>
      <w:r w:rsidR="00421C99">
        <w:rPr>
          <w:rFonts w:ascii="Times New Roman" w:hAnsi="Times New Roman" w:cs="Times New Roman"/>
          <w:b/>
          <w:sz w:val="24"/>
          <w:szCs w:val="24"/>
        </w:rPr>
        <w:t>projektų įgyvendinimas</w:t>
      </w:r>
    </w:p>
    <w:p w:rsidR="001C2B8A" w:rsidRPr="00421C99" w:rsidRDefault="00474133"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Prita</w:t>
      </w:r>
      <w:r w:rsidR="00805E7C" w:rsidRPr="00421C99">
        <w:rPr>
          <w:rFonts w:ascii="Times New Roman" w:hAnsi="Times New Roman" w:cs="Times New Roman"/>
          <w:sz w:val="24"/>
          <w:szCs w:val="24"/>
        </w:rPr>
        <w:t xml:space="preserve">rdama Respublikos Prezidentei Daliai </w:t>
      </w:r>
      <w:r w:rsidRPr="00421C99">
        <w:rPr>
          <w:rFonts w:ascii="Times New Roman" w:hAnsi="Times New Roman" w:cs="Times New Roman"/>
          <w:sz w:val="24"/>
          <w:szCs w:val="24"/>
        </w:rPr>
        <w:t>Grybauskaitei, kad XV Vyriausybei pavyko pasiekti esmin</w:t>
      </w:r>
      <w:r w:rsidR="00805E7C" w:rsidRPr="00421C99">
        <w:rPr>
          <w:rFonts w:ascii="Times New Roman" w:hAnsi="Times New Roman" w:cs="Times New Roman"/>
          <w:sz w:val="24"/>
          <w:szCs w:val="24"/>
        </w:rPr>
        <w:t>ių istorinių permainų Lietuvos energetinės n</w:t>
      </w:r>
      <w:r w:rsidRPr="00421C99">
        <w:rPr>
          <w:rFonts w:ascii="Times New Roman" w:hAnsi="Times New Roman" w:cs="Times New Roman"/>
          <w:sz w:val="24"/>
          <w:szCs w:val="24"/>
        </w:rPr>
        <w:t xml:space="preserve">epriklausomybės reikaluose, XVI Vyriausybė iš esmės rūpinosi pradėtų įgyvendinti strateginių projektų tolesniu  įgyvendinimu, pagal dar XV Vyriausybės patvirtintus projektus ir kalendorinius grafikus. Remiantis esminiu ir geru ankstesniu įdirbiu, </w:t>
      </w:r>
      <w:r w:rsidR="004535CE">
        <w:rPr>
          <w:rFonts w:ascii="Times New Roman" w:hAnsi="Times New Roman" w:cs="Times New Roman"/>
          <w:sz w:val="24"/>
          <w:szCs w:val="24"/>
        </w:rPr>
        <w:t xml:space="preserve">XVI </w:t>
      </w:r>
      <w:r w:rsidRPr="00421C99">
        <w:rPr>
          <w:rFonts w:ascii="Times New Roman" w:hAnsi="Times New Roman" w:cs="Times New Roman"/>
          <w:sz w:val="24"/>
          <w:szCs w:val="24"/>
        </w:rPr>
        <w:t xml:space="preserve">Vyriausybei skiriant pakankamą dėmesį projektų tęstinumui užtikrinti ar tam kad būtų išsprendžiami netikėti nauji iššūkiai, svarbiausių strateginių projektų įgyvendinimas </w:t>
      </w:r>
      <w:r w:rsidR="004535CE">
        <w:rPr>
          <w:rFonts w:ascii="Times New Roman" w:hAnsi="Times New Roman" w:cs="Times New Roman"/>
          <w:sz w:val="24"/>
          <w:szCs w:val="24"/>
        </w:rPr>
        <w:t xml:space="preserve">2013 m. </w:t>
      </w:r>
      <w:r w:rsidRPr="00421C99">
        <w:rPr>
          <w:rFonts w:ascii="Times New Roman" w:hAnsi="Times New Roman" w:cs="Times New Roman"/>
          <w:sz w:val="24"/>
          <w:szCs w:val="24"/>
        </w:rPr>
        <w:t>vyko pakankamai sklandžiai</w:t>
      </w:r>
      <w:r w:rsidR="0003302F" w:rsidRPr="00421C99">
        <w:rPr>
          <w:rFonts w:ascii="Times New Roman" w:hAnsi="Times New Roman" w:cs="Times New Roman"/>
          <w:sz w:val="24"/>
          <w:szCs w:val="24"/>
        </w:rPr>
        <w:t>.</w:t>
      </w:r>
    </w:p>
    <w:p w:rsidR="0003302F" w:rsidRPr="00421C99" w:rsidRDefault="0003302F" w:rsidP="00421C99">
      <w:pPr>
        <w:pStyle w:val="PlainText"/>
        <w:spacing w:line="360" w:lineRule="auto"/>
        <w:jc w:val="both"/>
        <w:rPr>
          <w:rFonts w:ascii="Times New Roman" w:hAnsi="Times New Roman" w:cs="Times New Roman"/>
          <w:sz w:val="24"/>
          <w:szCs w:val="24"/>
        </w:rPr>
      </w:pPr>
    </w:p>
    <w:p w:rsidR="0003302F" w:rsidRPr="00421C99" w:rsidRDefault="0003302F"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Projektų įgyvendinimui nors ir  trukdė, bet nepajėgė sustabdyti net ir  įvairių interesų grupių pastangos diskredituoti svarbiausius strateginius projektus. Sud</w:t>
      </w:r>
      <w:r w:rsidR="00805E7C" w:rsidRPr="00421C99">
        <w:rPr>
          <w:rFonts w:ascii="Times New Roman" w:hAnsi="Times New Roman" w:cs="Times New Roman"/>
          <w:sz w:val="24"/>
          <w:szCs w:val="24"/>
        </w:rPr>
        <w:t>arius galimybę visas pastangas diskredituoti strateginius energetikos</w:t>
      </w:r>
      <w:r w:rsidRPr="00421C99">
        <w:rPr>
          <w:rFonts w:ascii="Times New Roman" w:hAnsi="Times New Roman" w:cs="Times New Roman"/>
          <w:sz w:val="24"/>
          <w:szCs w:val="24"/>
        </w:rPr>
        <w:t xml:space="preserve"> projektus </w:t>
      </w:r>
      <w:r w:rsidR="00805E7C" w:rsidRPr="00421C99">
        <w:rPr>
          <w:rFonts w:ascii="Times New Roman" w:hAnsi="Times New Roman" w:cs="Times New Roman"/>
          <w:sz w:val="24"/>
          <w:szCs w:val="24"/>
        </w:rPr>
        <w:t>sukoncentruoti</w:t>
      </w:r>
      <w:r w:rsidRPr="00421C99">
        <w:rPr>
          <w:rFonts w:ascii="Times New Roman" w:hAnsi="Times New Roman" w:cs="Times New Roman"/>
          <w:sz w:val="24"/>
          <w:szCs w:val="24"/>
        </w:rPr>
        <w:t xml:space="preserve"> Seimo sudarytoje tyrimo komisijoje, kuriai ėmėsi vadovauti socialdemokratas </w:t>
      </w:r>
      <w:proofErr w:type="spellStart"/>
      <w:r w:rsidRPr="00421C99">
        <w:rPr>
          <w:rFonts w:ascii="Times New Roman" w:hAnsi="Times New Roman" w:cs="Times New Roman"/>
          <w:sz w:val="24"/>
          <w:szCs w:val="24"/>
        </w:rPr>
        <w:t>A.Skardžius</w:t>
      </w:r>
      <w:proofErr w:type="spellEnd"/>
      <w:r w:rsidRPr="00421C99">
        <w:rPr>
          <w:rFonts w:ascii="Times New Roman" w:hAnsi="Times New Roman" w:cs="Times New Roman"/>
          <w:sz w:val="24"/>
          <w:szCs w:val="24"/>
        </w:rPr>
        <w:t>,  labai greitai paaiškėjo, kad pastarasis dėl savo el</w:t>
      </w:r>
      <w:r w:rsidR="00805E7C" w:rsidRPr="00421C99">
        <w:rPr>
          <w:rFonts w:ascii="Times New Roman" w:hAnsi="Times New Roman" w:cs="Times New Roman"/>
          <w:sz w:val="24"/>
          <w:szCs w:val="24"/>
        </w:rPr>
        <w:t>gesio ir mąstymo savybių sugebėjo</w:t>
      </w:r>
      <w:r w:rsidRPr="00421C99">
        <w:rPr>
          <w:rFonts w:ascii="Times New Roman" w:hAnsi="Times New Roman" w:cs="Times New Roman"/>
          <w:sz w:val="24"/>
          <w:szCs w:val="24"/>
        </w:rPr>
        <w:t xml:space="preserve"> </w:t>
      </w:r>
      <w:r w:rsidR="00E54D38" w:rsidRPr="00421C99">
        <w:rPr>
          <w:rFonts w:ascii="Times New Roman" w:hAnsi="Times New Roman" w:cs="Times New Roman"/>
          <w:sz w:val="24"/>
          <w:szCs w:val="24"/>
        </w:rPr>
        <w:t xml:space="preserve">tik </w:t>
      </w:r>
      <w:r w:rsidRPr="00421C99">
        <w:rPr>
          <w:rFonts w:ascii="Times New Roman" w:hAnsi="Times New Roman" w:cs="Times New Roman"/>
          <w:sz w:val="24"/>
          <w:szCs w:val="24"/>
        </w:rPr>
        <w:t xml:space="preserve">diskredituoti pačias </w:t>
      </w:r>
      <w:r w:rsidR="00805E7C" w:rsidRPr="00421C99">
        <w:rPr>
          <w:rFonts w:ascii="Times New Roman" w:hAnsi="Times New Roman" w:cs="Times New Roman"/>
          <w:sz w:val="24"/>
          <w:szCs w:val="24"/>
        </w:rPr>
        <w:t xml:space="preserve">energetinių projektų </w:t>
      </w:r>
      <w:r w:rsidRPr="00421C99">
        <w:rPr>
          <w:rFonts w:ascii="Times New Roman" w:hAnsi="Times New Roman" w:cs="Times New Roman"/>
          <w:sz w:val="24"/>
          <w:szCs w:val="24"/>
        </w:rPr>
        <w:t>diskreditacijos pastangas.</w:t>
      </w:r>
    </w:p>
    <w:p w:rsidR="0003302F" w:rsidRPr="00421C99" w:rsidRDefault="0003302F" w:rsidP="00421C99">
      <w:pPr>
        <w:pStyle w:val="PlainText"/>
        <w:spacing w:line="360" w:lineRule="auto"/>
        <w:jc w:val="both"/>
        <w:rPr>
          <w:rFonts w:ascii="Times New Roman" w:hAnsi="Times New Roman" w:cs="Times New Roman"/>
          <w:sz w:val="24"/>
          <w:szCs w:val="24"/>
        </w:rPr>
      </w:pPr>
    </w:p>
    <w:p w:rsidR="0003302F" w:rsidRPr="00421C99" w:rsidRDefault="00805E7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lastRenderedPageBreak/>
        <w:t>Per 2013 m.</w:t>
      </w:r>
      <w:r w:rsidR="0003302F" w:rsidRPr="00421C99">
        <w:rPr>
          <w:rFonts w:ascii="Times New Roman" w:hAnsi="Times New Roman" w:cs="Times New Roman"/>
          <w:sz w:val="24"/>
          <w:szCs w:val="24"/>
        </w:rPr>
        <w:t>, nepaisant pastangų išvengti aiškių apsisprendimų, vis tik galų gale paaiškėjo, kad</w:t>
      </w:r>
      <w:r w:rsidR="006F2691" w:rsidRPr="00421C99">
        <w:rPr>
          <w:rFonts w:ascii="Times New Roman" w:hAnsi="Times New Roman" w:cs="Times New Roman"/>
          <w:sz w:val="24"/>
          <w:szCs w:val="24"/>
        </w:rPr>
        <w:t xml:space="preserve"> </w:t>
      </w:r>
      <w:r w:rsidR="0053391C" w:rsidRPr="00421C99">
        <w:rPr>
          <w:rFonts w:ascii="Times New Roman" w:hAnsi="Times New Roman" w:cs="Times New Roman"/>
          <w:sz w:val="24"/>
          <w:szCs w:val="24"/>
        </w:rPr>
        <w:t xml:space="preserve">XV Vyriausybės pradėtas įgyvendinti </w:t>
      </w:r>
      <w:r w:rsidR="0003302F" w:rsidRPr="00421C99">
        <w:rPr>
          <w:rFonts w:ascii="Times New Roman" w:hAnsi="Times New Roman" w:cs="Times New Roman"/>
          <w:sz w:val="24"/>
          <w:szCs w:val="24"/>
        </w:rPr>
        <w:t>V</w:t>
      </w:r>
      <w:r w:rsidR="00DC6354" w:rsidRPr="00421C99">
        <w:rPr>
          <w:rFonts w:ascii="Times New Roman" w:hAnsi="Times New Roman" w:cs="Times New Roman"/>
          <w:sz w:val="24"/>
          <w:szCs w:val="24"/>
        </w:rPr>
        <w:t xml:space="preserve">isagino </w:t>
      </w:r>
      <w:r w:rsidR="0003302F" w:rsidRPr="00421C99">
        <w:rPr>
          <w:rFonts w:ascii="Times New Roman" w:hAnsi="Times New Roman" w:cs="Times New Roman"/>
          <w:sz w:val="24"/>
          <w:szCs w:val="24"/>
        </w:rPr>
        <w:t>AE projektas yra reikalingas Lietuvai, ekonomiška</w:t>
      </w:r>
      <w:r w:rsidR="00DC6354" w:rsidRPr="00421C99">
        <w:rPr>
          <w:rFonts w:ascii="Times New Roman" w:hAnsi="Times New Roman" w:cs="Times New Roman"/>
          <w:sz w:val="24"/>
          <w:szCs w:val="24"/>
        </w:rPr>
        <w:t>i naudingas (ypač po to kai „Hit</w:t>
      </w:r>
      <w:r w:rsidR="0003302F" w:rsidRPr="00421C99">
        <w:rPr>
          <w:rFonts w:ascii="Times New Roman" w:hAnsi="Times New Roman" w:cs="Times New Roman"/>
          <w:sz w:val="24"/>
          <w:szCs w:val="24"/>
        </w:rPr>
        <w:t>achi</w:t>
      </w:r>
      <w:r w:rsidR="00DC6354" w:rsidRPr="00421C99">
        <w:rPr>
          <w:rFonts w:ascii="Times New Roman" w:hAnsi="Times New Roman" w:cs="Times New Roman"/>
          <w:sz w:val="24"/>
          <w:szCs w:val="24"/>
        </w:rPr>
        <w:t>“</w:t>
      </w:r>
      <w:r w:rsidR="0003302F" w:rsidRPr="00421C99">
        <w:rPr>
          <w:rFonts w:ascii="Times New Roman" w:hAnsi="Times New Roman" w:cs="Times New Roman"/>
          <w:sz w:val="24"/>
          <w:szCs w:val="24"/>
        </w:rPr>
        <w:t xml:space="preserve">  pagerino savo pasiūlymą) ir taip pat paaiškėjo, kokią</w:t>
      </w:r>
      <w:r w:rsidR="0053391C" w:rsidRPr="00421C99">
        <w:rPr>
          <w:rFonts w:ascii="Times New Roman" w:hAnsi="Times New Roman" w:cs="Times New Roman"/>
          <w:sz w:val="24"/>
          <w:szCs w:val="24"/>
        </w:rPr>
        <w:t xml:space="preserve"> nedovanotiną</w:t>
      </w:r>
      <w:r w:rsidR="0003302F" w:rsidRPr="00421C99">
        <w:rPr>
          <w:rFonts w:ascii="Times New Roman" w:hAnsi="Times New Roman" w:cs="Times New Roman"/>
          <w:sz w:val="24"/>
          <w:szCs w:val="24"/>
        </w:rPr>
        <w:t xml:space="preserve"> klaidą padarė dabartinės valdančios koalicijos partijos, kai būdamos opozicijoje elgėsi neatsakingai ir </w:t>
      </w:r>
      <w:proofErr w:type="spellStart"/>
      <w:r w:rsidR="0003302F" w:rsidRPr="00421C99">
        <w:rPr>
          <w:rFonts w:ascii="Times New Roman" w:hAnsi="Times New Roman" w:cs="Times New Roman"/>
          <w:sz w:val="24"/>
          <w:szCs w:val="24"/>
        </w:rPr>
        <w:t>populistiškai</w:t>
      </w:r>
      <w:proofErr w:type="spellEnd"/>
      <w:r w:rsidR="0053391C" w:rsidRPr="00421C99">
        <w:rPr>
          <w:rFonts w:ascii="Times New Roman" w:hAnsi="Times New Roman" w:cs="Times New Roman"/>
          <w:sz w:val="24"/>
          <w:szCs w:val="24"/>
        </w:rPr>
        <w:t xml:space="preserve">, </w:t>
      </w:r>
      <w:r w:rsidR="00DC6354" w:rsidRPr="00421C99">
        <w:rPr>
          <w:rFonts w:ascii="Times New Roman" w:hAnsi="Times New Roman" w:cs="Times New Roman"/>
          <w:sz w:val="24"/>
          <w:szCs w:val="24"/>
        </w:rPr>
        <w:t>2012 m.</w:t>
      </w:r>
      <w:r w:rsidR="0053391C" w:rsidRPr="00421C99">
        <w:rPr>
          <w:rFonts w:ascii="Times New Roman" w:hAnsi="Times New Roman" w:cs="Times New Roman"/>
          <w:sz w:val="24"/>
          <w:szCs w:val="24"/>
        </w:rPr>
        <w:t xml:space="preserve"> paremdamos žalingą ir klaidingą referendumą prieš V</w:t>
      </w:r>
      <w:r w:rsidR="00DC6354" w:rsidRPr="00421C99">
        <w:rPr>
          <w:rFonts w:ascii="Times New Roman" w:hAnsi="Times New Roman" w:cs="Times New Roman"/>
          <w:sz w:val="24"/>
          <w:szCs w:val="24"/>
        </w:rPr>
        <w:t xml:space="preserve">isagino </w:t>
      </w:r>
      <w:r w:rsidR="0053391C" w:rsidRPr="00421C99">
        <w:rPr>
          <w:rFonts w:ascii="Times New Roman" w:hAnsi="Times New Roman" w:cs="Times New Roman"/>
          <w:sz w:val="24"/>
          <w:szCs w:val="24"/>
        </w:rPr>
        <w:t xml:space="preserve">AE. </w:t>
      </w:r>
    </w:p>
    <w:p w:rsidR="0053391C" w:rsidRPr="00421C99" w:rsidRDefault="0053391C" w:rsidP="00421C99">
      <w:pPr>
        <w:pStyle w:val="PlainText"/>
        <w:spacing w:line="360" w:lineRule="auto"/>
        <w:jc w:val="both"/>
        <w:rPr>
          <w:rFonts w:ascii="Times New Roman" w:hAnsi="Times New Roman" w:cs="Times New Roman"/>
          <w:sz w:val="24"/>
          <w:szCs w:val="24"/>
        </w:rPr>
      </w:pPr>
    </w:p>
    <w:p w:rsidR="0053391C" w:rsidRPr="00421C99" w:rsidRDefault="00DC6354"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Per 2013 m.</w:t>
      </w:r>
      <w:r w:rsidR="0053391C" w:rsidRPr="00421C99">
        <w:rPr>
          <w:rFonts w:ascii="Times New Roman" w:hAnsi="Times New Roman" w:cs="Times New Roman"/>
          <w:sz w:val="24"/>
          <w:szCs w:val="24"/>
        </w:rPr>
        <w:t xml:space="preserve"> taip pat paaiškėjo, kad ankstesnė opozicijos kritika XV Vyriausybei, kad ji nemoka derėtis su </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Gazprom</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 buvo visiškai nepagrįsta. XVI Vyriausybės pastangos</w:t>
      </w:r>
      <w:r w:rsidRPr="00421C99">
        <w:rPr>
          <w:rFonts w:ascii="Times New Roman" w:hAnsi="Times New Roman" w:cs="Times New Roman"/>
          <w:sz w:val="24"/>
          <w:szCs w:val="24"/>
        </w:rPr>
        <w:t xml:space="preserve"> per visus 2013 m.</w:t>
      </w:r>
      <w:r w:rsidR="0053391C" w:rsidRPr="00421C99">
        <w:rPr>
          <w:rFonts w:ascii="Times New Roman" w:hAnsi="Times New Roman" w:cs="Times New Roman"/>
          <w:sz w:val="24"/>
          <w:szCs w:val="24"/>
        </w:rPr>
        <w:t xml:space="preserve"> dėl ko nors susitarti su </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Gazprom</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 siūlant ir įvairias nuolaidas,  buvo visiškai nerezultat</w:t>
      </w:r>
      <w:r w:rsidR="004535CE">
        <w:rPr>
          <w:rFonts w:ascii="Times New Roman" w:hAnsi="Times New Roman" w:cs="Times New Roman"/>
          <w:sz w:val="24"/>
          <w:szCs w:val="24"/>
        </w:rPr>
        <w:t>yvios. Todėl galų gale paaiškėjo</w:t>
      </w:r>
      <w:r w:rsidR="0053391C" w:rsidRPr="00421C99">
        <w:rPr>
          <w:rFonts w:ascii="Times New Roman" w:hAnsi="Times New Roman" w:cs="Times New Roman"/>
          <w:sz w:val="24"/>
          <w:szCs w:val="24"/>
        </w:rPr>
        <w:t xml:space="preserve">, kad teisinga buvo XV Vyriausybės pasirinkta taktika santykius su </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Gazprom</w:t>
      </w:r>
      <w:r w:rsidRPr="00421C99">
        <w:rPr>
          <w:rFonts w:ascii="Times New Roman" w:hAnsi="Times New Roman" w:cs="Times New Roman"/>
          <w:sz w:val="24"/>
          <w:szCs w:val="24"/>
        </w:rPr>
        <w:t>“ aiškintis</w:t>
      </w:r>
      <w:r w:rsidR="0053391C" w:rsidRPr="00421C99">
        <w:rPr>
          <w:rFonts w:ascii="Times New Roman" w:hAnsi="Times New Roman" w:cs="Times New Roman"/>
          <w:sz w:val="24"/>
          <w:szCs w:val="24"/>
        </w:rPr>
        <w:t xml:space="preserve"> statant alter</w:t>
      </w:r>
      <w:r w:rsidRPr="00421C99">
        <w:rPr>
          <w:rFonts w:ascii="Times New Roman" w:hAnsi="Times New Roman" w:cs="Times New Roman"/>
          <w:sz w:val="24"/>
          <w:szCs w:val="24"/>
        </w:rPr>
        <w:t>natyvų dujų tiekimą garantuojantį Suskystintų gamtinių dujų</w:t>
      </w:r>
      <w:r w:rsidR="0053391C" w:rsidRPr="00421C99">
        <w:rPr>
          <w:rFonts w:ascii="Times New Roman" w:hAnsi="Times New Roman" w:cs="Times New Roman"/>
          <w:sz w:val="24"/>
          <w:szCs w:val="24"/>
        </w:rPr>
        <w:t xml:space="preserve"> terminalą Klaipėdoje</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 xml:space="preserve"> įgyvendinant ES </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III energetikos paketą</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 xml:space="preserve"> ir atskiriant nuosavybę dujų sektoriuje tam, kad termi</w:t>
      </w:r>
      <w:r w:rsidR="004535CE">
        <w:rPr>
          <w:rFonts w:ascii="Times New Roman" w:hAnsi="Times New Roman" w:cs="Times New Roman"/>
          <w:sz w:val="24"/>
          <w:szCs w:val="24"/>
        </w:rPr>
        <w:t>nalas galėtų netrukdomas veikti, taip pat</w:t>
      </w:r>
      <w:r w:rsidR="0053391C" w:rsidRPr="00421C99">
        <w:rPr>
          <w:rFonts w:ascii="Times New Roman" w:hAnsi="Times New Roman" w:cs="Times New Roman"/>
          <w:sz w:val="24"/>
          <w:szCs w:val="24"/>
        </w:rPr>
        <w:t xml:space="preserve"> inicijuojant </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Gazprom</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 xml:space="preserve"> veiklos tyrimą, kurį atlie</w:t>
      </w:r>
      <w:r w:rsidR="004535CE">
        <w:rPr>
          <w:rFonts w:ascii="Times New Roman" w:hAnsi="Times New Roman" w:cs="Times New Roman"/>
          <w:sz w:val="24"/>
          <w:szCs w:val="24"/>
        </w:rPr>
        <w:t>ka ES Konkurencingumo tarnyba bei</w:t>
      </w:r>
      <w:r w:rsidR="0053391C" w:rsidRPr="00421C99">
        <w:rPr>
          <w:rFonts w:ascii="Times New Roman" w:hAnsi="Times New Roman" w:cs="Times New Roman"/>
          <w:sz w:val="24"/>
          <w:szCs w:val="24"/>
        </w:rPr>
        <w:t xml:space="preserve"> paduodant skundą į Stokholmo arbitražą dėl </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Gazprom</w:t>
      </w:r>
      <w:r w:rsidRPr="00421C99">
        <w:rPr>
          <w:rFonts w:ascii="Times New Roman" w:hAnsi="Times New Roman" w:cs="Times New Roman"/>
          <w:sz w:val="24"/>
          <w:szCs w:val="24"/>
        </w:rPr>
        <w:t>“</w:t>
      </w:r>
      <w:r w:rsidR="0053391C" w:rsidRPr="00421C99">
        <w:rPr>
          <w:rFonts w:ascii="Times New Roman" w:hAnsi="Times New Roman" w:cs="Times New Roman"/>
          <w:sz w:val="24"/>
          <w:szCs w:val="24"/>
        </w:rPr>
        <w:t xml:space="preserve"> nesąžiningos kainų politikos Lietuvoje. </w:t>
      </w:r>
      <w:r w:rsidR="006F2691" w:rsidRPr="00421C99">
        <w:rPr>
          <w:rFonts w:ascii="Times New Roman" w:hAnsi="Times New Roman" w:cs="Times New Roman"/>
          <w:sz w:val="24"/>
          <w:szCs w:val="24"/>
        </w:rPr>
        <w:t xml:space="preserve">Šie XV Vyriausybės sukurti </w:t>
      </w:r>
      <w:r w:rsidR="0053391C" w:rsidRPr="00421C99">
        <w:rPr>
          <w:rFonts w:ascii="Times New Roman" w:hAnsi="Times New Roman" w:cs="Times New Roman"/>
          <w:sz w:val="24"/>
          <w:szCs w:val="24"/>
        </w:rPr>
        <w:t xml:space="preserve"> </w:t>
      </w:r>
      <w:r w:rsidRPr="00421C99">
        <w:rPr>
          <w:rFonts w:ascii="Times New Roman" w:hAnsi="Times New Roman" w:cs="Times New Roman"/>
          <w:sz w:val="24"/>
          <w:szCs w:val="24"/>
        </w:rPr>
        <w:t>infrastruktūriniai ir</w:t>
      </w:r>
      <w:r w:rsidR="006F2691" w:rsidRPr="00421C99">
        <w:rPr>
          <w:rFonts w:ascii="Times New Roman" w:hAnsi="Times New Roman" w:cs="Times New Roman"/>
          <w:sz w:val="24"/>
          <w:szCs w:val="24"/>
        </w:rPr>
        <w:t xml:space="preserve"> teisiniai instrumentai lieka vieninteliai instrumentai ir XVI Vyriausybei, realiai siekiant pigesnių dujų vartotojams ir įgyjant tikrą nepriklausomybę nuo Gazprom monopolinio diktato.</w:t>
      </w:r>
    </w:p>
    <w:p w:rsidR="00956FE9" w:rsidRPr="00421C99" w:rsidRDefault="00956FE9" w:rsidP="00421C99">
      <w:pPr>
        <w:pStyle w:val="PlainText"/>
        <w:spacing w:line="360" w:lineRule="auto"/>
        <w:jc w:val="both"/>
        <w:rPr>
          <w:rFonts w:ascii="Times New Roman" w:hAnsi="Times New Roman" w:cs="Times New Roman"/>
          <w:sz w:val="24"/>
          <w:szCs w:val="24"/>
        </w:rPr>
      </w:pPr>
    </w:p>
    <w:p w:rsidR="006F2691" w:rsidRPr="00421C99" w:rsidRDefault="00783452"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4</w:t>
      </w:r>
      <w:r w:rsidR="006F2691" w:rsidRPr="00421C99">
        <w:rPr>
          <w:rFonts w:ascii="Times New Roman" w:hAnsi="Times New Roman" w:cs="Times New Roman"/>
          <w:b/>
          <w:sz w:val="24"/>
          <w:szCs w:val="24"/>
        </w:rPr>
        <w:t>.</w:t>
      </w:r>
      <w:r w:rsidRPr="00421C99">
        <w:rPr>
          <w:rFonts w:ascii="Times New Roman" w:hAnsi="Times New Roman" w:cs="Times New Roman"/>
          <w:b/>
          <w:sz w:val="24"/>
          <w:szCs w:val="24"/>
          <w:lang w:val="en-US"/>
        </w:rPr>
        <w:t>5.</w:t>
      </w:r>
      <w:r w:rsidR="006F2691" w:rsidRPr="00421C99">
        <w:rPr>
          <w:rFonts w:ascii="Times New Roman" w:hAnsi="Times New Roman" w:cs="Times New Roman"/>
          <w:b/>
          <w:sz w:val="24"/>
          <w:szCs w:val="24"/>
        </w:rPr>
        <w:t xml:space="preserve"> Naujos XVI Vyriausybės iniciatyvos energetikos sektoriuje</w:t>
      </w:r>
    </w:p>
    <w:p w:rsidR="00C71A5A" w:rsidRPr="00421C99" w:rsidRDefault="006F2691"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Vyriausybė</w:t>
      </w:r>
      <w:r w:rsidR="00783452" w:rsidRPr="00421C99">
        <w:rPr>
          <w:rFonts w:ascii="Times New Roman" w:hAnsi="Times New Roman" w:cs="Times New Roman"/>
          <w:sz w:val="24"/>
          <w:szCs w:val="24"/>
        </w:rPr>
        <w:t xml:space="preserve"> per 2013 m.</w:t>
      </w:r>
      <w:r w:rsidRPr="00421C99">
        <w:rPr>
          <w:rFonts w:ascii="Times New Roman" w:hAnsi="Times New Roman" w:cs="Times New Roman"/>
          <w:sz w:val="24"/>
          <w:szCs w:val="24"/>
        </w:rPr>
        <w:t xml:space="preserve"> dėjo daug pastangų siekdama įrodyti, kad energetikoje ji ne vien tik tęsia XV Vyriausybės pradėtų strateginių energetikos projektų įgyvendinimą. To siekdama </w:t>
      </w:r>
      <w:proofErr w:type="spellStart"/>
      <w:r w:rsidR="00783452" w:rsidRPr="00421C99">
        <w:rPr>
          <w:rFonts w:ascii="Times New Roman" w:hAnsi="Times New Roman" w:cs="Times New Roman"/>
          <w:sz w:val="24"/>
          <w:szCs w:val="24"/>
        </w:rPr>
        <w:t>A.Butkevičiaus</w:t>
      </w:r>
      <w:proofErr w:type="spellEnd"/>
      <w:r w:rsidR="00783452" w:rsidRPr="00421C99">
        <w:rPr>
          <w:rFonts w:ascii="Times New Roman" w:hAnsi="Times New Roman" w:cs="Times New Roman"/>
          <w:sz w:val="24"/>
          <w:szCs w:val="24"/>
        </w:rPr>
        <w:t xml:space="preserve"> </w:t>
      </w:r>
      <w:r w:rsidRPr="00421C99">
        <w:rPr>
          <w:rFonts w:ascii="Times New Roman" w:hAnsi="Times New Roman" w:cs="Times New Roman"/>
          <w:sz w:val="24"/>
          <w:szCs w:val="24"/>
        </w:rPr>
        <w:t>Vyriausybė teigia, kad buvo inicijuoti nauji strate</w:t>
      </w:r>
      <w:r w:rsidR="00C71A5A" w:rsidRPr="00421C99">
        <w:rPr>
          <w:rFonts w:ascii="Times New Roman" w:hAnsi="Times New Roman" w:cs="Times New Roman"/>
          <w:sz w:val="24"/>
          <w:szCs w:val="24"/>
        </w:rPr>
        <w:t>giniai energetikos projektai, turėsiantys ypač stiprų poveikį šalies konkurencingumo didė</w:t>
      </w:r>
      <w:r w:rsidR="002B51BB" w:rsidRPr="00421C99">
        <w:rPr>
          <w:rFonts w:ascii="Times New Roman" w:hAnsi="Times New Roman" w:cs="Times New Roman"/>
          <w:sz w:val="24"/>
          <w:szCs w:val="24"/>
        </w:rPr>
        <w:t>jimui. Vyriausybė per 2013 m.</w:t>
      </w:r>
      <w:r w:rsidR="00C71A5A" w:rsidRPr="00421C99">
        <w:rPr>
          <w:rFonts w:ascii="Times New Roman" w:hAnsi="Times New Roman" w:cs="Times New Roman"/>
          <w:sz w:val="24"/>
          <w:szCs w:val="24"/>
        </w:rPr>
        <w:t xml:space="preserve"> inicijavo du tokius projektus.</w:t>
      </w:r>
    </w:p>
    <w:p w:rsidR="00C71A5A" w:rsidRPr="00421C99" w:rsidRDefault="00C71A5A" w:rsidP="00421C99">
      <w:pPr>
        <w:pStyle w:val="PlainText"/>
        <w:spacing w:line="360" w:lineRule="auto"/>
        <w:jc w:val="both"/>
        <w:rPr>
          <w:rFonts w:ascii="Times New Roman" w:hAnsi="Times New Roman" w:cs="Times New Roman"/>
          <w:sz w:val="24"/>
          <w:szCs w:val="24"/>
        </w:rPr>
      </w:pPr>
    </w:p>
    <w:p w:rsidR="006F2691" w:rsidRPr="00421C99" w:rsidRDefault="00C71A5A"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Nors jau XV Vyriausybė pradėjo plačiai įgyvendinti visą eilę projektų, kuriuose šilumos ir elektros gamybai naudojama biomasė, tačiau XVI Vyriausybė, siekdama parodyti, kad tik ji pradėjo rūpintis biomasės panaudojimu, sudarė darbo grupę, kuri įvertino </w:t>
      </w:r>
      <w:r w:rsidR="006F2691" w:rsidRPr="00421C99">
        <w:rPr>
          <w:rFonts w:ascii="Times New Roman" w:hAnsi="Times New Roman" w:cs="Times New Roman"/>
          <w:sz w:val="24"/>
          <w:szCs w:val="24"/>
        </w:rPr>
        <w:t xml:space="preserve">biomasės </w:t>
      </w:r>
      <w:r w:rsidRPr="00421C99">
        <w:rPr>
          <w:rFonts w:ascii="Times New Roman" w:hAnsi="Times New Roman" w:cs="Times New Roman"/>
          <w:sz w:val="24"/>
          <w:szCs w:val="24"/>
        </w:rPr>
        <w:t xml:space="preserve"> panaudojimo galimybe</w:t>
      </w:r>
      <w:r w:rsidR="006F2691" w:rsidRPr="00421C99">
        <w:rPr>
          <w:rFonts w:ascii="Times New Roman" w:hAnsi="Times New Roman" w:cs="Times New Roman"/>
          <w:sz w:val="24"/>
          <w:szCs w:val="24"/>
        </w:rPr>
        <w:t>s</w:t>
      </w:r>
      <w:r w:rsidRPr="00421C99">
        <w:rPr>
          <w:rFonts w:ascii="Times New Roman" w:hAnsi="Times New Roman" w:cs="Times New Roman"/>
          <w:sz w:val="24"/>
          <w:szCs w:val="24"/>
        </w:rPr>
        <w:t>.</w:t>
      </w:r>
      <w:r w:rsidR="004535CE">
        <w:rPr>
          <w:rFonts w:ascii="Times New Roman" w:hAnsi="Times New Roman" w:cs="Times New Roman"/>
          <w:sz w:val="24"/>
          <w:szCs w:val="24"/>
        </w:rPr>
        <w:t xml:space="preserve"> Nors tai buvo žinoma jau senai, bet tai </w:t>
      </w:r>
      <w:r w:rsidR="00324D08" w:rsidRPr="00421C99">
        <w:rPr>
          <w:rFonts w:ascii="Times New Roman" w:hAnsi="Times New Roman" w:cs="Times New Roman"/>
          <w:sz w:val="24"/>
          <w:szCs w:val="24"/>
        </w:rPr>
        <w:t xml:space="preserve">parodė </w:t>
      </w:r>
      <w:r w:rsidR="00413A5D">
        <w:rPr>
          <w:rFonts w:ascii="Times New Roman" w:hAnsi="Times New Roman" w:cs="Times New Roman"/>
          <w:sz w:val="24"/>
          <w:szCs w:val="24"/>
        </w:rPr>
        <w:t xml:space="preserve"> ir darbo grupės atlikta</w:t>
      </w:r>
      <w:r w:rsidR="00324D08" w:rsidRPr="00421C99">
        <w:rPr>
          <w:rFonts w:ascii="Times New Roman" w:hAnsi="Times New Roman" w:cs="Times New Roman"/>
          <w:sz w:val="24"/>
          <w:szCs w:val="24"/>
        </w:rPr>
        <w:t xml:space="preserve"> studija</w:t>
      </w:r>
      <w:r w:rsidR="004535CE">
        <w:rPr>
          <w:rFonts w:ascii="Times New Roman" w:hAnsi="Times New Roman" w:cs="Times New Roman"/>
          <w:sz w:val="24"/>
          <w:szCs w:val="24"/>
        </w:rPr>
        <w:t>:</w:t>
      </w:r>
      <w:r w:rsidR="00324D08" w:rsidRPr="00421C99">
        <w:rPr>
          <w:rFonts w:ascii="Times New Roman" w:hAnsi="Times New Roman" w:cs="Times New Roman"/>
          <w:sz w:val="24"/>
          <w:szCs w:val="24"/>
        </w:rPr>
        <w:t xml:space="preserve"> b</w:t>
      </w:r>
      <w:r w:rsidRPr="00421C99">
        <w:rPr>
          <w:rFonts w:ascii="Times New Roman" w:hAnsi="Times New Roman" w:cs="Times New Roman"/>
          <w:sz w:val="24"/>
          <w:szCs w:val="24"/>
        </w:rPr>
        <w:t xml:space="preserve">iomasę naudojant pirmiausia šilumos ir elektros energijos gamybai, turėtų ne tik sumažėti </w:t>
      </w:r>
      <w:r w:rsidR="00324D08" w:rsidRPr="00421C99">
        <w:rPr>
          <w:rFonts w:ascii="Times New Roman" w:hAnsi="Times New Roman" w:cs="Times New Roman"/>
          <w:sz w:val="24"/>
          <w:szCs w:val="24"/>
        </w:rPr>
        <w:t>š</w:t>
      </w:r>
      <w:r w:rsidRPr="00421C99">
        <w:rPr>
          <w:rFonts w:ascii="Times New Roman" w:hAnsi="Times New Roman" w:cs="Times New Roman"/>
          <w:sz w:val="24"/>
          <w:szCs w:val="24"/>
        </w:rPr>
        <w:t>ios energijos kaina vartotojams, bet ir atsirasti naujų darbo vietų su biomase susijusiose pramonės šakose.</w:t>
      </w:r>
    </w:p>
    <w:p w:rsidR="006F2691" w:rsidRPr="00421C99" w:rsidRDefault="006F2691" w:rsidP="00421C99">
      <w:pPr>
        <w:pStyle w:val="PlainText"/>
        <w:spacing w:line="360" w:lineRule="auto"/>
        <w:jc w:val="both"/>
        <w:rPr>
          <w:rFonts w:ascii="Times New Roman" w:hAnsi="Times New Roman" w:cs="Times New Roman"/>
          <w:sz w:val="24"/>
          <w:szCs w:val="24"/>
        </w:rPr>
      </w:pPr>
    </w:p>
    <w:p w:rsidR="006F2691" w:rsidRPr="00421C99" w:rsidRDefault="00C71A5A"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Antrasis projektas, kurį inicijavo Vyriausybė – tai Šilumos ūkio pertvarkos planas, kuriuo</w:t>
      </w:r>
      <w:r w:rsidR="00324D08" w:rsidRPr="00421C99">
        <w:rPr>
          <w:rFonts w:ascii="Times New Roman" w:hAnsi="Times New Roman" w:cs="Times New Roman"/>
          <w:sz w:val="24"/>
          <w:szCs w:val="24"/>
        </w:rPr>
        <w:t xml:space="preserve"> siekiama</w:t>
      </w:r>
      <w:r w:rsidRPr="00421C99">
        <w:rPr>
          <w:rFonts w:ascii="Times New Roman" w:hAnsi="Times New Roman" w:cs="Times New Roman"/>
          <w:sz w:val="24"/>
          <w:szCs w:val="24"/>
        </w:rPr>
        <w:t xml:space="preserve"> p</w:t>
      </w:r>
      <w:r w:rsidR="00324D08" w:rsidRPr="00421C99">
        <w:rPr>
          <w:rFonts w:ascii="Times New Roman" w:hAnsi="Times New Roman" w:cs="Times New Roman"/>
          <w:sz w:val="24"/>
          <w:szCs w:val="24"/>
        </w:rPr>
        <w:t>asirengti</w:t>
      </w:r>
      <w:r w:rsidR="006F2691" w:rsidRPr="00421C99">
        <w:rPr>
          <w:rFonts w:ascii="Times New Roman" w:hAnsi="Times New Roman" w:cs="Times New Roman"/>
          <w:sz w:val="24"/>
          <w:szCs w:val="24"/>
        </w:rPr>
        <w:t xml:space="preserve"> tolesnei šilumos ūkio pertvarkai.</w:t>
      </w:r>
      <w:r w:rsidR="002B51BB" w:rsidRPr="00421C99">
        <w:rPr>
          <w:rFonts w:ascii="Times New Roman" w:hAnsi="Times New Roman" w:cs="Times New Roman"/>
          <w:sz w:val="24"/>
          <w:szCs w:val="24"/>
        </w:rPr>
        <w:t xml:space="preserve"> Nors šio p</w:t>
      </w:r>
      <w:r w:rsidRPr="00421C99">
        <w:rPr>
          <w:rFonts w:ascii="Times New Roman" w:hAnsi="Times New Roman" w:cs="Times New Roman"/>
          <w:sz w:val="24"/>
          <w:szCs w:val="24"/>
        </w:rPr>
        <w:t>lano projektą</w:t>
      </w:r>
      <w:r w:rsidR="00324D08" w:rsidRPr="00421C99">
        <w:rPr>
          <w:rFonts w:ascii="Times New Roman" w:hAnsi="Times New Roman" w:cs="Times New Roman"/>
          <w:sz w:val="24"/>
          <w:szCs w:val="24"/>
        </w:rPr>
        <w:t xml:space="preserve">, liečiantį visų pirma Vilniaus ir Kauno šilumos ūkių pertvarką, </w:t>
      </w:r>
      <w:r w:rsidRPr="00421C99">
        <w:rPr>
          <w:rFonts w:ascii="Times New Roman" w:hAnsi="Times New Roman" w:cs="Times New Roman"/>
          <w:sz w:val="24"/>
          <w:szCs w:val="24"/>
        </w:rPr>
        <w:t xml:space="preserve">parengė dar XV Vyriausybės </w:t>
      </w:r>
      <w:r w:rsidR="00324D08" w:rsidRPr="00421C99">
        <w:rPr>
          <w:rFonts w:ascii="Times New Roman" w:hAnsi="Times New Roman" w:cs="Times New Roman"/>
          <w:sz w:val="24"/>
          <w:szCs w:val="24"/>
        </w:rPr>
        <w:t xml:space="preserve">Energetikos ministerija,  tačiau merui </w:t>
      </w:r>
      <w:proofErr w:type="spellStart"/>
      <w:r w:rsidR="00324D08" w:rsidRPr="00421C99">
        <w:rPr>
          <w:rFonts w:ascii="Times New Roman" w:hAnsi="Times New Roman" w:cs="Times New Roman"/>
          <w:sz w:val="24"/>
          <w:szCs w:val="24"/>
        </w:rPr>
        <w:t>A.Zuokui</w:t>
      </w:r>
      <w:proofErr w:type="spellEnd"/>
      <w:r w:rsidR="00324D08" w:rsidRPr="00421C99">
        <w:rPr>
          <w:rFonts w:ascii="Times New Roman" w:hAnsi="Times New Roman" w:cs="Times New Roman"/>
          <w:sz w:val="24"/>
          <w:szCs w:val="24"/>
        </w:rPr>
        <w:t xml:space="preserve"> besipriešinant, ir šilumos ūkio oligarchams </w:t>
      </w:r>
      <w:proofErr w:type="spellStart"/>
      <w:r w:rsidR="00324D08" w:rsidRPr="00421C99">
        <w:rPr>
          <w:rFonts w:ascii="Times New Roman" w:hAnsi="Times New Roman" w:cs="Times New Roman"/>
          <w:sz w:val="24"/>
          <w:szCs w:val="24"/>
        </w:rPr>
        <w:t>A.Janukoniui</w:t>
      </w:r>
      <w:proofErr w:type="spellEnd"/>
      <w:r w:rsidR="00324D08" w:rsidRPr="00421C99">
        <w:rPr>
          <w:rFonts w:ascii="Times New Roman" w:hAnsi="Times New Roman" w:cs="Times New Roman"/>
          <w:sz w:val="24"/>
          <w:szCs w:val="24"/>
        </w:rPr>
        <w:t xml:space="preserve"> bei R. Stoniui </w:t>
      </w:r>
      <w:r w:rsidR="004535CE">
        <w:rPr>
          <w:rFonts w:ascii="Times New Roman" w:hAnsi="Times New Roman" w:cs="Times New Roman"/>
          <w:sz w:val="24"/>
          <w:szCs w:val="24"/>
        </w:rPr>
        <w:t xml:space="preserve">darant įtaką </w:t>
      </w:r>
      <w:r w:rsidR="004535CE">
        <w:rPr>
          <w:rFonts w:ascii="Times New Roman" w:hAnsi="Times New Roman" w:cs="Times New Roman"/>
          <w:sz w:val="24"/>
          <w:szCs w:val="24"/>
        </w:rPr>
        <w:lastRenderedPageBreak/>
        <w:t xml:space="preserve">dabartinėms su valstybės energetikos politika </w:t>
      </w:r>
      <w:r w:rsidR="0099657A">
        <w:rPr>
          <w:rFonts w:ascii="Times New Roman" w:hAnsi="Times New Roman" w:cs="Times New Roman"/>
          <w:sz w:val="24"/>
          <w:szCs w:val="24"/>
        </w:rPr>
        <w:t xml:space="preserve">susijusioms institucijoms </w:t>
      </w:r>
      <w:r w:rsidR="002B51BB" w:rsidRPr="00421C99">
        <w:rPr>
          <w:rFonts w:ascii="Times New Roman" w:hAnsi="Times New Roman" w:cs="Times New Roman"/>
          <w:sz w:val="24"/>
          <w:szCs w:val="24"/>
        </w:rPr>
        <w:t xml:space="preserve">bei </w:t>
      </w:r>
      <w:r w:rsidR="00324D08" w:rsidRPr="00421C99">
        <w:rPr>
          <w:rFonts w:ascii="Times New Roman" w:hAnsi="Times New Roman" w:cs="Times New Roman"/>
          <w:sz w:val="24"/>
          <w:szCs w:val="24"/>
        </w:rPr>
        <w:t>asmenis,  šio plano niekaip nepavyksta nei patvirtinti, nei pradėti Vilniuje ar Kaune įgyvendinti.</w:t>
      </w:r>
    </w:p>
    <w:p w:rsidR="00324D08" w:rsidRPr="00421C99" w:rsidRDefault="00324D08" w:rsidP="00421C99">
      <w:pPr>
        <w:pStyle w:val="PlainText"/>
        <w:spacing w:line="360" w:lineRule="auto"/>
        <w:jc w:val="both"/>
        <w:rPr>
          <w:rFonts w:ascii="Times New Roman" w:hAnsi="Times New Roman" w:cs="Times New Roman"/>
          <w:sz w:val="24"/>
          <w:szCs w:val="24"/>
        </w:rPr>
      </w:pPr>
    </w:p>
    <w:p w:rsidR="00324D08" w:rsidRPr="00421C99" w:rsidRDefault="002B51BB"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4</w:t>
      </w:r>
      <w:r w:rsidR="00324D08" w:rsidRPr="00421C99">
        <w:rPr>
          <w:rFonts w:ascii="Times New Roman" w:hAnsi="Times New Roman" w:cs="Times New Roman"/>
          <w:b/>
          <w:sz w:val="24"/>
          <w:szCs w:val="24"/>
        </w:rPr>
        <w:t>.</w:t>
      </w:r>
      <w:r w:rsidRPr="00421C99">
        <w:rPr>
          <w:rFonts w:ascii="Times New Roman" w:hAnsi="Times New Roman" w:cs="Times New Roman"/>
          <w:b/>
          <w:sz w:val="24"/>
          <w:szCs w:val="24"/>
          <w:lang w:val="en-US"/>
        </w:rPr>
        <w:t>6.</w:t>
      </w:r>
      <w:r w:rsidR="00324D08" w:rsidRPr="00421C99">
        <w:rPr>
          <w:rFonts w:ascii="Times New Roman" w:hAnsi="Times New Roman" w:cs="Times New Roman"/>
          <w:b/>
          <w:sz w:val="24"/>
          <w:szCs w:val="24"/>
        </w:rPr>
        <w:t xml:space="preserve"> Sėkmi</w:t>
      </w:r>
      <w:r w:rsidR="00421C99">
        <w:rPr>
          <w:rFonts w:ascii="Times New Roman" w:hAnsi="Times New Roman" w:cs="Times New Roman"/>
          <w:b/>
          <w:sz w:val="24"/>
          <w:szCs w:val="24"/>
        </w:rPr>
        <w:t>ngas pirmininkavimas ES Tarybai</w:t>
      </w:r>
    </w:p>
    <w:p w:rsidR="00324D08" w:rsidRPr="00421C99" w:rsidRDefault="00324D08"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XVI Vyriausybė, paveldėjusi iš </w:t>
      </w:r>
      <w:r w:rsidR="002B51BB" w:rsidRPr="00421C99">
        <w:rPr>
          <w:rFonts w:ascii="Times New Roman" w:hAnsi="Times New Roman" w:cs="Times New Roman"/>
          <w:sz w:val="24"/>
          <w:szCs w:val="24"/>
        </w:rPr>
        <w:t>XV Vyriausybės jau nuo 2010 m.</w:t>
      </w:r>
      <w:r w:rsidRPr="00421C99">
        <w:rPr>
          <w:rFonts w:ascii="Times New Roman" w:hAnsi="Times New Roman" w:cs="Times New Roman"/>
          <w:sz w:val="24"/>
          <w:szCs w:val="24"/>
        </w:rPr>
        <w:t xml:space="preserve"> pradėtą gerą pasirengimą pirmininkavimui</w:t>
      </w:r>
      <w:r w:rsidR="002B51BB" w:rsidRPr="00421C99">
        <w:rPr>
          <w:rFonts w:ascii="Times New Roman" w:hAnsi="Times New Roman" w:cs="Times New Roman"/>
          <w:sz w:val="24"/>
          <w:szCs w:val="24"/>
        </w:rPr>
        <w:t xml:space="preserve"> ES Tarybai</w:t>
      </w:r>
      <w:r w:rsidRPr="00421C99">
        <w:rPr>
          <w:rFonts w:ascii="Times New Roman" w:hAnsi="Times New Roman" w:cs="Times New Roman"/>
          <w:sz w:val="24"/>
          <w:szCs w:val="24"/>
        </w:rPr>
        <w:t xml:space="preserve">, </w:t>
      </w:r>
      <w:r w:rsidR="00AB3C69" w:rsidRPr="00421C99">
        <w:rPr>
          <w:rFonts w:ascii="Times New Roman" w:hAnsi="Times New Roman" w:cs="Times New Roman"/>
          <w:sz w:val="24"/>
          <w:szCs w:val="24"/>
        </w:rPr>
        <w:t xml:space="preserve">džiaugiasi, kad šis sėkmingai įveiktas išbandymas parodė, jog Lietuva yra subrendusi dideliems iššūkiams. Pirmininkavimo sėkmę lėmė suburta kelių šimtų diplomatų ir jaunų profesionalų komanda, kuri įrodė, </w:t>
      </w:r>
      <w:r w:rsidR="0099657A">
        <w:rPr>
          <w:rFonts w:ascii="Times New Roman" w:hAnsi="Times New Roman" w:cs="Times New Roman"/>
          <w:sz w:val="24"/>
          <w:szCs w:val="24"/>
        </w:rPr>
        <w:t xml:space="preserve">jog </w:t>
      </w:r>
      <w:r w:rsidR="00AB3C69" w:rsidRPr="00421C99">
        <w:rPr>
          <w:rFonts w:ascii="Times New Roman" w:hAnsi="Times New Roman" w:cs="Times New Roman"/>
          <w:sz w:val="24"/>
          <w:szCs w:val="24"/>
        </w:rPr>
        <w:t>yra pajėgi ne tik tinkamai pasirengti sudėtingam pirmininkavimui, bet galėtų įgyvendinti</w:t>
      </w:r>
      <w:r w:rsidR="00A6125A" w:rsidRPr="00421C99">
        <w:rPr>
          <w:rFonts w:ascii="Times New Roman" w:hAnsi="Times New Roman" w:cs="Times New Roman"/>
          <w:sz w:val="24"/>
          <w:szCs w:val="24"/>
        </w:rPr>
        <w:t xml:space="preserve"> ir </w:t>
      </w:r>
      <w:r w:rsidR="0099657A">
        <w:rPr>
          <w:rFonts w:ascii="Times New Roman" w:hAnsi="Times New Roman" w:cs="Times New Roman"/>
          <w:sz w:val="24"/>
          <w:szCs w:val="24"/>
        </w:rPr>
        <w:t xml:space="preserve">kitas </w:t>
      </w:r>
      <w:r w:rsidR="00A6125A" w:rsidRPr="00421C99">
        <w:rPr>
          <w:rFonts w:ascii="Times New Roman" w:hAnsi="Times New Roman" w:cs="Times New Roman"/>
          <w:sz w:val="24"/>
          <w:szCs w:val="24"/>
        </w:rPr>
        <w:t xml:space="preserve">didelės apimties modernias </w:t>
      </w:r>
      <w:r w:rsidR="00AB3C69" w:rsidRPr="00421C99">
        <w:rPr>
          <w:rFonts w:ascii="Times New Roman" w:hAnsi="Times New Roman" w:cs="Times New Roman"/>
          <w:sz w:val="24"/>
          <w:szCs w:val="24"/>
        </w:rPr>
        <w:t>reformas Lietuvoje. Deja, pasibaigus pirmininkavimui nėra numatytas šios komandos resursų išsaugojimas ir tolesnis panaudojimas. Todėl pirmininkavimo metu įgyta neįkainojama patirtis toliau nebus panaudojama valstybės labui.</w:t>
      </w:r>
    </w:p>
    <w:p w:rsidR="00E54D38" w:rsidRPr="00421C99" w:rsidRDefault="00E54D38" w:rsidP="00421C99">
      <w:pPr>
        <w:pStyle w:val="PlainText"/>
        <w:spacing w:line="360" w:lineRule="auto"/>
        <w:jc w:val="both"/>
        <w:rPr>
          <w:rFonts w:ascii="Times New Roman" w:hAnsi="Times New Roman" w:cs="Times New Roman"/>
          <w:sz w:val="24"/>
          <w:szCs w:val="24"/>
        </w:rPr>
      </w:pPr>
    </w:p>
    <w:p w:rsidR="00E54D38" w:rsidRPr="00421C99" w:rsidRDefault="0099657A" w:rsidP="00421C99">
      <w:pPr>
        <w:pStyle w:val="PlainText"/>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4 SKYRIAUS APIBENDRINIMAS</w:t>
      </w:r>
      <w:r w:rsidR="00A6125A" w:rsidRPr="00421C99">
        <w:rPr>
          <w:rFonts w:ascii="Times New Roman" w:hAnsi="Times New Roman" w:cs="Times New Roman"/>
          <w:b/>
          <w:sz w:val="24"/>
          <w:szCs w:val="24"/>
        </w:rPr>
        <w:t xml:space="preserve">: </w:t>
      </w:r>
      <w:r w:rsidR="00E54D38" w:rsidRPr="00421C99">
        <w:rPr>
          <w:rFonts w:ascii="Times New Roman" w:hAnsi="Times New Roman" w:cs="Times New Roman"/>
          <w:b/>
          <w:sz w:val="24"/>
          <w:szCs w:val="24"/>
        </w:rPr>
        <w:t>XV</w:t>
      </w:r>
      <w:r w:rsidR="00745451" w:rsidRPr="00421C99">
        <w:rPr>
          <w:rFonts w:ascii="Times New Roman" w:hAnsi="Times New Roman" w:cs="Times New Roman"/>
          <w:b/>
          <w:sz w:val="24"/>
          <w:szCs w:val="24"/>
        </w:rPr>
        <w:t>I</w:t>
      </w:r>
      <w:r w:rsidR="00E54D38" w:rsidRPr="00421C99">
        <w:rPr>
          <w:rFonts w:ascii="Times New Roman" w:hAnsi="Times New Roman" w:cs="Times New Roman"/>
          <w:b/>
          <w:sz w:val="24"/>
          <w:szCs w:val="24"/>
        </w:rPr>
        <w:t xml:space="preserve"> Vyriausybė</w:t>
      </w:r>
      <w:r w:rsidR="00745451" w:rsidRPr="00421C99">
        <w:rPr>
          <w:rFonts w:ascii="Times New Roman" w:hAnsi="Times New Roman" w:cs="Times New Roman"/>
          <w:b/>
          <w:sz w:val="24"/>
          <w:szCs w:val="24"/>
        </w:rPr>
        <w:t xml:space="preserve"> pripažįsta</w:t>
      </w:r>
      <w:r w:rsidR="00E54D38" w:rsidRPr="00421C99">
        <w:rPr>
          <w:rFonts w:ascii="Times New Roman" w:hAnsi="Times New Roman" w:cs="Times New Roman"/>
          <w:b/>
          <w:sz w:val="24"/>
          <w:szCs w:val="24"/>
        </w:rPr>
        <w:t xml:space="preserve">, </w:t>
      </w:r>
      <w:r w:rsidR="00745451" w:rsidRPr="00421C99">
        <w:rPr>
          <w:rFonts w:ascii="Times New Roman" w:hAnsi="Times New Roman" w:cs="Times New Roman"/>
          <w:b/>
          <w:sz w:val="24"/>
          <w:szCs w:val="24"/>
        </w:rPr>
        <w:t xml:space="preserve">kad </w:t>
      </w:r>
      <w:r w:rsidR="00E54D38" w:rsidRPr="00421C99">
        <w:rPr>
          <w:rFonts w:ascii="Times New Roman" w:hAnsi="Times New Roman" w:cs="Times New Roman"/>
          <w:b/>
          <w:sz w:val="24"/>
          <w:szCs w:val="24"/>
        </w:rPr>
        <w:t>vertindama visą pirmųjų metų derlių, gali pasigirti viso labo tik trimis savarankiškais darbais (MMA padidinimas, Teritorijų planavimo į</w:t>
      </w:r>
      <w:r w:rsidR="00A6125A" w:rsidRPr="00421C99">
        <w:rPr>
          <w:rFonts w:ascii="Times New Roman" w:hAnsi="Times New Roman" w:cs="Times New Roman"/>
          <w:b/>
          <w:sz w:val="24"/>
          <w:szCs w:val="24"/>
        </w:rPr>
        <w:t>statymas, nauja daugi</w:t>
      </w:r>
      <w:r w:rsidR="00410804" w:rsidRPr="00421C99">
        <w:rPr>
          <w:rFonts w:ascii="Times New Roman" w:hAnsi="Times New Roman" w:cs="Times New Roman"/>
          <w:b/>
          <w:sz w:val="24"/>
          <w:szCs w:val="24"/>
        </w:rPr>
        <w:t xml:space="preserve">abučių </w:t>
      </w:r>
      <w:r w:rsidR="00A6125A" w:rsidRPr="00421C99">
        <w:rPr>
          <w:rFonts w:ascii="Times New Roman" w:hAnsi="Times New Roman" w:cs="Times New Roman"/>
          <w:b/>
          <w:sz w:val="24"/>
          <w:szCs w:val="24"/>
        </w:rPr>
        <w:t xml:space="preserve">namų </w:t>
      </w:r>
      <w:r w:rsidR="00410804" w:rsidRPr="00421C99">
        <w:rPr>
          <w:rFonts w:ascii="Times New Roman" w:hAnsi="Times New Roman" w:cs="Times New Roman"/>
          <w:b/>
          <w:sz w:val="24"/>
          <w:szCs w:val="24"/>
        </w:rPr>
        <w:t>renovacijos programa)</w:t>
      </w:r>
      <w:r w:rsidR="00E54D38" w:rsidRPr="00421C99">
        <w:rPr>
          <w:rFonts w:ascii="Times New Roman" w:hAnsi="Times New Roman" w:cs="Times New Roman"/>
          <w:b/>
          <w:sz w:val="24"/>
          <w:szCs w:val="24"/>
        </w:rPr>
        <w:t xml:space="preserve"> ir vienu </w:t>
      </w:r>
      <w:r w:rsidR="00A6125A" w:rsidRPr="00421C99">
        <w:rPr>
          <w:rFonts w:ascii="Times New Roman" w:hAnsi="Times New Roman" w:cs="Times New Roman"/>
          <w:b/>
          <w:sz w:val="24"/>
          <w:szCs w:val="24"/>
        </w:rPr>
        <w:t xml:space="preserve">įvykdytu </w:t>
      </w:r>
      <w:r w:rsidR="00E54D38" w:rsidRPr="00421C99">
        <w:rPr>
          <w:rFonts w:ascii="Times New Roman" w:hAnsi="Times New Roman" w:cs="Times New Roman"/>
          <w:b/>
          <w:sz w:val="24"/>
          <w:szCs w:val="24"/>
        </w:rPr>
        <w:t>procesu</w:t>
      </w:r>
      <w:r w:rsidR="00410804" w:rsidRPr="00421C99">
        <w:rPr>
          <w:rFonts w:ascii="Times New Roman" w:hAnsi="Times New Roman" w:cs="Times New Roman"/>
          <w:b/>
          <w:sz w:val="24"/>
          <w:szCs w:val="24"/>
        </w:rPr>
        <w:t xml:space="preserve"> (pirmininkavimas ES Tarybai). Energetikoje iš esmės tik tęsiami XV Vyriausybės pradėti projektai, </w:t>
      </w:r>
      <w:r w:rsidR="00A6125A" w:rsidRPr="00421C99">
        <w:rPr>
          <w:rFonts w:ascii="Times New Roman" w:hAnsi="Times New Roman" w:cs="Times New Roman"/>
          <w:b/>
          <w:sz w:val="24"/>
          <w:szCs w:val="24"/>
        </w:rPr>
        <w:t>o</w:t>
      </w:r>
      <w:r w:rsidR="00410804" w:rsidRPr="00421C99">
        <w:rPr>
          <w:rFonts w:ascii="Times New Roman" w:hAnsi="Times New Roman" w:cs="Times New Roman"/>
          <w:b/>
          <w:sz w:val="24"/>
          <w:szCs w:val="24"/>
        </w:rPr>
        <w:t xml:space="preserve"> pastangos demonstruoti,  kad ir XV</w:t>
      </w:r>
      <w:r w:rsidR="00745451" w:rsidRPr="00421C99">
        <w:rPr>
          <w:rFonts w:ascii="Times New Roman" w:hAnsi="Times New Roman" w:cs="Times New Roman"/>
          <w:b/>
          <w:sz w:val="24"/>
          <w:szCs w:val="24"/>
        </w:rPr>
        <w:t>I</w:t>
      </w:r>
      <w:r w:rsidR="00410804" w:rsidRPr="00421C99">
        <w:rPr>
          <w:rFonts w:ascii="Times New Roman" w:hAnsi="Times New Roman" w:cs="Times New Roman"/>
          <w:b/>
          <w:sz w:val="24"/>
          <w:szCs w:val="24"/>
        </w:rPr>
        <w:t xml:space="preserve"> Vyriausybė geba pradėti kokius nors naujus stambius energetikos projektus toliau darbo grupių </w:t>
      </w:r>
      <w:r w:rsidR="00A6125A" w:rsidRPr="00421C99">
        <w:rPr>
          <w:rFonts w:ascii="Times New Roman" w:hAnsi="Times New Roman" w:cs="Times New Roman"/>
          <w:b/>
          <w:sz w:val="24"/>
          <w:szCs w:val="24"/>
        </w:rPr>
        <w:t>taip ir</w:t>
      </w:r>
      <w:r w:rsidR="00410804" w:rsidRPr="00421C99">
        <w:rPr>
          <w:rFonts w:ascii="Times New Roman" w:hAnsi="Times New Roman" w:cs="Times New Roman"/>
          <w:b/>
          <w:sz w:val="24"/>
          <w:szCs w:val="24"/>
        </w:rPr>
        <w:t xml:space="preserve"> nepajudėjo.</w:t>
      </w:r>
    </w:p>
    <w:p w:rsidR="00AB3C69" w:rsidRPr="00421C99" w:rsidRDefault="00AB3C69" w:rsidP="00421C99">
      <w:pPr>
        <w:pStyle w:val="PlainText"/>
        <w:spacing w:line="360" w:lineRule="auto"/>
        <w:jc w:val="both"/>
        <w:rPr>
          <w:rFonts w:ascii="Times New Roman" w:hAnsi="Times New Roman" w:cs="Times New Roman"/>
          <w:sz w:val="24"/>
          <w:szCs w:val="24"/>
        </w:rPr>
      </w:pPr>
    </w:p>
    <w:p w:rsidR="00AB3C69" w:rsidRPr="00421C99" w:rsidRDefault="00BB44DF"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b/>
          <w:sz w:val="24"/>
          <w:szCs w:val="24"/>
        </w:rPr>
        <w:t xml:space="preserve">5. </w:t>
      </w:r>
      <w:r w:rsidR="00AB3C69" w:rsidRPr="00421C99">
        <w:rPr>
          <w:rFonts w:ascii="Times New Roman" w:hAnsi="Times New Roman" w:cs="Times New Roman"/>
          <w:b/>
          <w:sz w:val="24"/>
          <w:szCs w:val="24"/>
        </w:rPr>
        <w:t>Vyriausybės klaidos, kurias matė ne tik opozicija</w:t>
      </w:r>
    </w:p>
    <w:p w:rsidR="00BB44DF" w:rsidRPr="00421C99" w:rsidRDefault="00BB44DF" w:rsidP="00421C99">
      <w:pPr>
        <w:pStyle w:val="PlainText"/>
        <w:spacing w:line="360" w:lineRule="auto"/>
        <w:ind w:left="360"/>
        <w:jc w:val="both"/>
        <w:rPr>
          <w:rFonts w:ascii="Times New Roman" w:hAnsi="Times New Roman" w:cs="Times New Roman"/>
          <w:b/>
          <w:sz w:val="24"/>
          <w:szCs w:val="24"/>
        </w:rPr>
      </w:pPr>
    </w:p>
    <w:p w:rsidR="00BB44DF" w:rsidRPr="00421C99" w:rsidRDefault="00BB44DF"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XVI Vyriausybė, objektyviai vertindama pirmuosius savo veiklos metus, nuoširdžiai pripažįsta, kad per šiuos metus pasitaikė ir grubių klaidų arba nepavyko padaryti tai, kas buvo suplanuota. Taip įvyko dėl patirties stokos, dėl silpno pasirengimo darbui ir dėl skirtingo koalicijos partnerių požiūrio į pagrindinius </w:t>
      </w:r>
      <w:r w:rsidR="0099657A">
        <w:rPr>
          <w:rFonts w:ascii="Times New Roman" w:hAnsi="Times New Roman" w:cs="Times New Roman"/>
          <w:sz w:val="24"/>
          <w:szCs w:val="24"/>
        </w:rPr>
        <w:t xml:space="preserve">koalicijos darbo </w:t>
      </w:r>
      <w:r w:rsidRPr="00421C99">
        <w:rPr>
          <w:rFonts w:ascii="Times New Roman" w:hAnsi="Times New Roman" w:cs="Times New Roman"/>
          <w:sz w:val="24"/>
          <w:szCs w:val="24"/>
        </w:rPr>
        <w:t>tikslus</w:t>
      </w:r>
      <w:r w:rsidR="00A6125A" w:rsidRPr="00421C99">
        <w:rPr>
          <w:rFonts w:ascii="Times New Roman" w:hAnsi="Times New Roman" w:cs="Times New Roman"/>
          <w:sz w:val="24"/>
          <w:szCs w:val="24"/>
        </w:rPr>
        <w:t>.</w:t>
      </w:r>
    </w:p>
    <w:p w:rsidR="00E03699" w:rsidRPr="00421C99" w:rsidRDefault="00E03699" w:rsidP="00421C99">
      <w:pPr>
        <w:pStyle w:val="PlainText"/>
        <w:spacing w:line="360" w:lineRule="auto"/>
        <w:jc w:val="both"/>
        <w:rPr>
          <w:rFonts w:ascii="Times New Roman" w:hAnsi="Times New Roman" w:cs="Times New Roman"/>
          <w:b/>
          <w:sz w:val="24"/>
          <w:szCs w:val="24"/>
        </w:rPr>
      </w:pPr>
    </w:p>
    <w:p w:rsidR="00BB44DF" w:rsidRPr="00421C99" w:rsidRDefault="00A6125A"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5</w:t>
      </w:r>
      <w:r w:rsidR="00E03699" w:rsidRPr="00421C99">
        <w:rPr>
          <w:rFonts w:ascii="Times New Roman" w:hAnsi="Times New Roman" w:cs="Times New Roman"/>
          <w:b/>
          <w:sz w:val="24"/>
          <w:szCs w:val="24"/>
        </w:rPr>
        <w:t>.</w:t>
      </w:r>
      <w:r w:rsidRPr="00421C99">
        <w:rPr>
          <w:rFonts w:ascii="Times New Roman" w:hAnsi="Times New Roman" w:cs="Times New Roman"/>
          <w:b/>
          <w:sz w:val="24"/>
          <w:szCs w:val="24"/>
          <w:lang w:val="en-US"/>
        </w:rPr>
        <w:t>1.</w:t>
      </w:r>
      <w:r w:rsidR="00E03699" w:rsidRPr="00421C99">
        <w:rPr>
          <w:rFonts w:ascii="Times New Roman" w:hAnsi="Times New Roman" w:cs="Times New Roman"/>
          <w:b/>
          <w:sz w:val="24"/>
          <w:szCs w:val="24"/>
        </w:rPr>
        <w:t xml:space="preserve"> </w:t>
      </w:r>
      <w:r w:rsidR="00BB44DF" w:rsidRPr="00421C99">
        <w:rPr>
          <w:rFonts w:ascii="Times New Roman" w:hAnsi="Times New Roman" w:cs="Times New Roman"/>
          <w:b/>
          <w:sz w:val="24"/>
          <w:szCs w:val="24"/>
        </w:rPr>
        <w:t>Atėjimas į valdžią</w:t>
      </w:r>
      <w:r w:rsidRPr="00421C99">
        <w:rPr>
          <w:rFonts w:ascii="Times New Roman" w:hAnsi="Times New Roman" w:cs="Times New Roman"/>
          <w:b/>
          <w:sz w:val="24"/>
          <w:szCs w:val="24"/>
        </w:rPr>
        <w:t xml:space="preserve"> tam</w:t>
      </w:r>
      <w:r w:rsidR="00BB44DF" w:rsidRPr="00421C99">
        <w:rPr>
          <w:rFonts w:ascii="Times New Roman" w:hAnsi="Times New Roman" w:cs="Times New Roman"/>
          <w:b/>
          <w:sz w:val="24"/>
          <w:szCs w:val="24"/>
        </w:rPr>
        <w:t xml:space="preserve"> nepasirengus. Darbo grupių Vyriausybė.</w:t>
      </w:r>
      <w:r w:rsidRPr="00421C99">
        <w:rPr>
          <w:rFonts w:ascii="Times New Roman" w:hAnsi="Times New Roman" w:cs="Times New Roman"/>
          <w:b/>
          <w:sz w:val="24"/>
          <w:szCs w:val="24"/>
        </w:rPr>
        <w:t xml:space="preserve"> Neveikimo stagnacijos pagundos.</w:t>
      </w:r>
    </w:p>
    <w:p w:rsidR="00BB44DF" w:rsidRPr="00421C99" w:rsidRDefault="00BB44DF"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Tik pradėjus dirbti XVI Vyriausybei, paaiškėjo, kad darbui yra visiškai nepasiruošta. Todėl iš pradžių kiekvienai paaiškėjusiai problemai buvo skubama sudaryti darbo grupę, nes būnant opozicijoje nebuvo pasirengta tų problemų sprendimui. </w:t>
      </w:r>
      <w:r w:rsidR="00F64948" w:rsidRPr="00421C99">
        <w:rPr>
          <w:rFonts w:ascii="Times New Roman" w:hAnsi="Times New Roman" w:cs="Times New Roman"/>
          <w:sz w:val="24"/>
          <w:szCs w:val="24"/>
        </w:rPr>
        <w:t xml:space="preserve">Tačiau darbo grupėms pasiūlius vienokį ar kitokį problemos sprendimą, toks pasiūlymas buvo dedamas „į gilų stalčių“, nes paaiškėdavo, kad siūlomas problemos sprendimas gali būti nepopuliarus. </w:t>
      </w:r>
      <w:r w:rsidRPr="00421C99">
        <w:rPr>
          <w:rFonts w:ascii="Times New Roman" w:hAnsi="Times New Roman" w:cs="Times New Roman"/>
          <w:sz w:val="24"/>
          <w:szCs w:val="24"/>
        </w:rPr>
        <w:t xml:space="preserve">Taip pat paaiškėjo, kad buvimui valdžioje labai kenkia ankstesnis neatsakingas partinis populizmas tuo laikotarpiu, kai teko būti opozicijoje ir, pavyzdžiui, </w:t>
      </w:r>
      <w:r w:rsidRPr="00421C99">
        <w:rPr>
          <w:rFonts w:ascii="Times New Roman" w:hAnsi="Times New Roman" w:cs="Times New Roman"/>
          <w:sz w:val="24"/>
          <w:szCs w:val="24"/>
        </w:rPr>
        <w:lastRenderedPageBreak/>
        <w:t>paremti klaidinantį referendumą prieš V</w:t>
      </w:r>
      <w:r w:rsidR="00A6125A" w:rsidRPr="00421C99">
        <w:rPr>
          <w:rFonts w:ascii="Times New Roman" w:hAnsi="Times New Roman" w:cs="Times New Roman"/>
          <w:sz w:val="24"/>
          <w:szCs w:val="24"/>
        </w:rPr>
        <w:t xml:space="preserve">isagino </w:t>
      </w:r>
      <w:r w:rsidRPr="00421C99">
        <w:rPr>
          <w:rFonts w:ascii="Times New Roman" w:hAnsi="Times New Roman" w:cs="Times New Roman"/>
          <w:sz w:val="24"/>
          <w:szCs w:val="24"/>
        </w:rPr>
        <w:t xml:space="preserve">AE. Todėl būnant valdžioje tokiais klausimais </w:t>
      </w:r>
      <w:r w:rsidR="00A6125A" w:rsidRPr="00421C99">
        <w:rPr>
          <w:rFonts w:ascii="Times New Roman" w:hAnsi="Times New Roman" w:cs="Times New Roman"/>
          <w:sz w:val="24"/>
          <w:szCs w:val="24"/>
        </w:rPr>
        <w:t xml:space="preserve">premjerui </w:t>
      </w:r>
      <w:proofErr w:type="spellStart"/>
      <w:r w:rsidR="00A6125A" w:rsidRPr="00421C99">
        <w:rPr>
          <w:rFonts w:ascii="Times New Roman" w:hAnsi="Times New Roman" w:cs="Times New Roman"/>
          <w:sz w:val="24"/>
          <w:szCs w:val="24"/>
        </w:rPr>
        <w:t>A.Butkevičiui</w:t>
      </w:r>
      <w:proofErr w:type="spellEnd"/>
      <w:r w:rsidR="00A6125A" w:rsidRPr="00421C99">
        <w:rPr>
          <w:rFonts w:ascii="Times New Roman" w:hAnsi="Times New Roman" w:cs="Times New Roman"/>
          <w:sz w:val="24"/>
          <w:szCs w:val="24"/>
        </w:rPr>
        <w:t xml:space="preserve"> </w:t>
      </w:r>
      <w:r w:rsidRPr="00421C99">
        <w:rPr>
          <w:rFonts w:ascii="Times New Roman" w:hAnsi="Times New Roman" w:cs="Times New Roman"/>
          <w:sz w:val="24"/>
          <w:szCs w:val="24"/>
        </w:rPr>
        <w:t xml:space="preserve">teko keisti nuomonę po keletą kartų per dieną. </w:t>
      </w:r>
    </w:p>
    <w:p w:rsidR="00F64948" w:rsidRPr="00421C99" w:rsidRDefault="00F64948" w:rsidP="00421C99">
      <w:pPr>
        <w:pStyle w:val="PlainText"/>
        <w:spacing w:line="360" w:lineRule="auto"/>
        <w:jc w:val="both"/>
        <w:rPr>
          <w:rFonts w:ascii="Times New Roman" w:hAnsi="Times New Roman" w:cs="Times New Roman"/>
          <w:sz w:val="24"/>
          <w:szCs w:val="24"/>
        </w:rPr>
      </w:pPr>
    </w:p>
    <w:p w:rsidR="00F64948" w:rsidRPr="00421C99" w:rsidRDefault="00F64948"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XVI Vyriausybė sąžiningai prisipažįsta, kad iš XV Vyriausybės paveldėta gera ekonominė situacija ir koalicijos nepasirengimas kokioms nors didesnėms reformoms, skatina Vyriausybę vengti kokių nors didesnių projektų ar permainų, tuo pačiu išvengiant ir didesnių klaidų. XVI Vyriausybė supranta, kad tai ilgainiui veda į valstybės gyvenimo stagnaciją ir šalies konkurencingumo praradimus, tačiau XVI Vyriausybė yra įsitikinusi, kad geriau tokia stagnacija, nei prieš tai buvusios paskutinės socialdemokratų XIV </w:t>
      </w:r>
      <w:proofErr w:type="spellStart"/>
      <w:r w:rsidR="0099657A">
        <w:rPr>
          <w:rFonts w:ascii="Times New Roman" w:hAnsi="Times New Roman" w:cs="Times New Roman"/>
          <w:sz w:val="24"/>
          <w:szCs w:val="24"/>
        </w:rPr>
        <w:t>G.Kirkilo</w:t>
      </w:r>
      <w:proofErr w:type="spellEnd"/>
      <w:r w:rsidR="0099657A">
        <w:rPr>
          <w:rFonts w:ascii="Times New Roman" w:hAnsi="Times New Roman" w:cs="Times New Roman"/>
          <w:sz w:val="24"/>
          <w:szCs w:val="24"/>
        </w:rPr>
        <w:t xml:space="preserve"> </w:t>
      </w:r>
      <w:r w:rsidRPr="00421C99">
        <w:rPr>
          <w:rFonts w:ascii="Times New Roman" w:hAnsi="Times New Roman" w:cs="Times New Roman"/>
          <w:sz w:val="24"/>
          <w:szCs w:val="24"/>
        </w:rPr>
        <w:t xml:space="preserve">Vyriausybės patirtis neskaidriai įgyvendinant </w:t>
      </w:r>
      <w:r w:rsidR="00210EBD" w:rsidRPr="00421C99">
        <w:rPr>
          <w:rFonts w:ascii="Times New Roman" w:hAnsi="Times New Roman" w:cs="Times New Roman"/>
          <w:sz w:val="24"/>
          <w:szCs w:val="24"/>
        </w:rPr>
        <w:t xml:space="preserve">ambicingą </w:t>
      </w:r>
      <w:r w:rsidR="00A6125A" w:rsidRPr="00421C99">
        <w:rPr>
          <w:rFonts w:ascii="Times New Roman" w:hAnsi="Times New Roman" w:cs="Times New Roman"/>
          <w:sz w:val="24"/>
          <w:szCs w:val="24"/>
        </w:rPr>
        <w:t xml:space="preserve"> LEO </w:t>
      </w:r>
      <w:r w:rsidRPr="00421C99">
        <w:rPr>
          <w:rFonts w:ascii="Times New Roman" w:hAnsi="Times New Roman" w:cs="Times New Roman"/>
          <w:sz w:val="24"/>
          <w:szCs w:val="24"/>
        </w:rPr>
        <w:t>LT projektą.</w:t>
      </w:r>
    </w:p>
    <w:p w:rsidR="00210EBD" w:rsidRPr="00421C99" w:rsidRDefault="00210EBD" w:rsidP="00421C99">
      <w:pPr>
        <w:pStyle w:val="PlainText"/>
        <w:spacing w:line="360" w:lineRule="auto"/>
        <w:jc w:val="both"/>
        <w:rPr>
          <w:rFonts w:ascii="Times New Roman" w:hAnsi="Times New Roman" w:cs="Times New Roman"/>
          <w:sz w:val="24"/>
          <w:szCs w:val="24"/>
        </w:rPr>
      </w:pPr>
    </w:p>
    <w:p w:rsidR="00D91BB3" w:rsidRPr="00421C99" w:rsidRDefault="00A6125A"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5</w:t>
      </w:r>
      <w:r w:rsidR="00E03699" w:rsidRPr="00421C99">
        <w:rPr>
          <w:rFonts w:ascii="Times New Roman" w:hAnsi="Times New Roman" w:cs="Times New Roman"/>
          <w:b/>
          <w:sz w:val="24"/>
          <w:szCs w:val="24"/>
        </w:rPr>
        <w:t>.</w:t>
      </w:r>
      <w:r w:rsidRPr="00421C99">
        <w:rPr>
          <w:rFonts w:ascii="Times New Roman" w:hAnsi="Times New Roman" w:cs="Times New Roman"/>
          <w:b/>
          <w:sz w:val="24"/>
          <w:szCs w:val="24"/>
          <w:lang w:val="en-US"/>
        </w:rPr>
        <w:t>2.</w:t>
      </w:r>
      <w:r w:rsidR="00E03699" w:rsidRPr="00421C99">
        <w:rPr>
          <w:rFonts w:ascii="Times New Roman" w:hAnsi="Times New Roman" w:cs="Times New Roman"/>
          <w:b/>
          <w:sz w:val="24"/>
          <w:szCs w:val="24"/>
        </w:rPr>
        <w:t xml:space="preserve"> Algų sau pasididinimas</w:t>
      </w:r>
      <w:r w:rsidR="0099657A">
        <w:rPr>
          <w:rFonts w:ascii="Times New Roman" w:hAnsi="Times New Roman" w:cs="Times New Roman"/>
          <w:b/>
          <w:sz w:val="24"/>
          <w:szCs w:val="24"/>
        </w:rPr>
        <w:t xml:space="preserve"> – iššūkis valstybės padorumui</w:t>
      </w:r>
    </w:p>
    <w:p w:rsidR="00D91BB3" w:rsidRPr="00421C99" w:rsidRDefault="00D91BB3"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XVI Vyriausybė sąžiningai pripažįsta, kad praeitais metais didžiausia Vyriausybės klaida buvo sprendimas sau algas pasididinti iki </w:t>
      </w:r>
      <w:r w:rsidRPr="00421C99">
        <w:rPr>
          <w:rFonts w:ascii="Times New Roman" w:hAnsi="Times New Roman" w:cs="Times New Roman"/>
          <w:sz w:val="24"/>
          <w:szCs w:val="24"/>
          <w:lang w:val="en-US"/>
        </w:rPr>
        <w:t xml:space="preserve">30 proc., </w:t>
      </w:r>
      <w:proofErr w:type="spellStart"/>
      <w:proofErr w:type="gramStart"/>
      <w:r w:rsidRPr="00421C99">
        <w:rPr>
          <w:rFonts w:ascii="Times New Roman" w:hAnsi="Times New Roman" w:cs="Times New Roman"/>
          <w:sz w:val="24"/>
          <w:szCs w:val="24"/>
          <w:lang w:val="en-US"/>
        </w:rPr>
        <w:t>vis</w:t>
      </w:r>
      <w:proofErr w:type="spellEnd"/>
      <w:r w:rsidRPr="00421C99">
        <w:rPr>
          <w:rFonts w:ascii="Times New Roman" w:hAnsi="Times New Roman" w:cs="Times New Roman"/>
          <w:sz w:val="24"/>
          <w:szCs w:val="24"/>
        </w:rPr>
        <w:t>ą</w:t>
      </w:r>
      <w:proofErr w:type="gramEnd"/>
      <w:r w:rsidRPr="00421C99">
        <w:rPr>
          <w:rFonts w:ascii="Times New Roman" w:hAnsi="Times New Roman" w:cs="Times New Roman"/>
          <w:sz w:val="24"/>
          <w:szCs w:val="24"/>
        </w:rPr>
        <w:t xml:space="preserve"> mažiau uždirbantį viešąjį sektorių bei pensininkus paliekant be nieko. Nors tokį Vyriausybės sprendimą formaliai pavyko pagrįsti Konstitucinio Teismo sprendimu, tačiau </w:t>
      </w:r>
      <w:r w:rsidR="0099657A">
        <w:rPr>
          <w:rFonts w:ascii="Times New Roman" w:hAnsi="Times New Roman" w:cs="Times New Roman"/>
          <w:sz w:val="24"/>
          <w:szCs w:val="24"/>
        </w:rPr>
        <w:t xml:space="preserve">XVI </w:t>
      </w:r>
      <w:r w:rsidRPr="00421C99">
        <w:rPr>
          <w:rFonts w:ascii="Times New Roman" w:hAnsi="Times New Roman" w:cs="Times New Roman"/>
          <w:sz w:val="24"/>
          <w:szCs w:val="24"/>
        </w:rPr>
        <w:t>Vyriausybei buvo aišku, kad tai yra savanaudiškas sprendimas, pažeidžiantis bet kokius solidarumo, teisingumo ir padorumo principus.</w:t>
      </w:r>
    </w:p>
    <w:p w:rsidR="00E03699" w:rsidRPr="00421C99" w:rsidRDefault="00E03699" w:rsidP="00421C99">
      <w:pPr>
        <w:pStyle w:val="PlainText"/>
        <w:spacing w:line="360" w:lineRule="auto"/>
        <w:jc w:val="both"/>
        <w:rPr>
          <w:rFonts w:ascii="Times New Roman" w:hAnsi="Times New Roman" w:cs="Times New Roman"/>
          <w:b/>
          <w:sz w:val="24"/>
          <w:szCs w:val="24"/>
        </w:rPr>
      </w:pPr>
    </w:p>
    <w:p w:rsidR="00D91BB3" w:rsidRPr="00421C99" w:rsidRDefault="00A6125A"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t>5</w:t>
      </w:r>
      <w:r w:rsidR="00E03699" w:rsidRPr="00421C99">
        <w:rPr>
          <w:rFonts w:ascii="Times New Roman" w:hAnsi="Times New Roman" w:cs="Times New Roman"/>
          <w:b/>
          <w:sz w:val="24"/>
          <w:szCs w:val="24"/>
        </w:rPr>
        <w:t>.</w:t>
      </w:r>
      <w:r w:rsidRPr="00421C99">
        <w:rPr>
          <w:rFonts w:ascii="Times New Roman" w:hAnsi="Times New Roman" w:cs="Times New Roman"/>
          <w:b/>
          <w:sz w:val="24"/>
          <w:szCs w:val="24"/>
        </w:rPr>
        <w:t>3.</w:t>
      </w:r>
      <w:r w:rsidR="00E03699" w:rsidRPr="00421C99">
        <w:rPr>
          <w:rFonts w:ascii="Times New Roman" w:hAnsi="Times New Roman" w:cs="Times New Roman"/>
          <w:b/>
          <w:sz w:val="24"/>
          <w:szCs w:val="24"/>
        </w:rPr>
        <w:t xml:space="preserve"> Pauliaus Lukausko išvarymas ir Mildos </w:t>
      </w:r>
      <w:proofErr w:type="spellStart"/>
      <w:r w:rsidR="00E03699" w:rsidRPr="00421C99">
        <w:rPr>
          <w:rFonts w:ascii="Times New Roman" w:hAnsi="Times New Roman" w:cs="Times New Roman"/>
          <w:b/>
          <w:sz w:val="24"/>
          <w:szCs w:val="24"/>
        </w:rPr>
        <w:t>Dargužaitės</w:t>
      </w:r>
      <w:proofErr w:type="spellEnd"/>
      <w:r w:rsidR="00E03699" w:rsidRPr="00421C99">
        <w:rPr>
          <w:rFonts w:ascii="Times New Roman" w:hAnsi="Times New Roman" w:cs="Times New Roman"/>
          <w:b/>
          <w:sz w:val="24"/>
          <w:szCs w:val="24"/>
        </w:rPr>
        <w:t xml:space="preserve"> neišsaugojimas</w:t>
      </w:r>
      <w:r w:rsidR="0099657A">
        <w:rPr>
          <w:rFonts w:ascii="Times New Roman" w:hAnsi="Times New Roman" w:cs="Times New Roman"/>
          <w:b/>
          <w:sz w:val="24"/>
          <w:szCs w:val="24"/>
        </w:rPr>
        <w:t xml:space="preserve"> – platesnis simptomas</w:t>
      </w:r>
    </w:p>
    <w:p w:rsidR="00D91BB3" w:rsidRDefault="00D91BB3"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 xml:space="preserve">XVI Vyriausybė pripažįsta ir apgailestauja, kad nepavykus suvaldyti įvairių interesų grupių intrigų, ministrei </w:t>
      </w:r>
      <w:proofErr w:type="spellStart"/>
      <w:r w:rsidRPr="00421C99">
        <w:rPr>
          <w:rFonts w:ascii="Times New Roman" w:hAnsi="Times New Roman" w:cs="Times New Roman"/>
          <w:sz w:val="24"/>
          <w:szCs w:val="24"/>
        </w:rPr>
        <w:t>B.Vėsaitei</w:t>
      </w:r>
      <w:proofErr w:type="spellEnd"/>
      <w:r w:rsidRPr="00421C99">
        <w:rPr>
          <w:rFonts w:ascii="Times New Roman" w:hAnsi="Times New Roman" w:cs="Times New Roman"/>
          <w:sz w:val="24"/>
          <w:szCs w:val="24"/>
        </w:rPr>
        <w:t xml:space="preserve"> savo asmeninius interesus iškėlus aukščiau valstybės interesų, iš „Verslios Lietuvos“ </w:t>
      </w:r>
      <w:r w:rsidR="00171DCC" w:rsidRPr="00421C99">
        <w:rPr>
          <w:rFonts w:ascii="Times New Roman" w:hAnsi="Times New Roman" w:cs="Times New Roman"/>
          <w:sz w:val="24"/>
          <w:szCs w:val="24"/>
        </w:rPr>
        <w:t xml:space="preserve">agentūros </w:t>
      </w:r>
      <w:r w:rsidRPr="00421C99">
        <w:rPr>
          <w:rFonts w:ascii="Times New Roman" w:hAnsi="Times New Roman" w:cs="Times New Roman"/>
          <w:sz w:val="24"/>
          <w:szCs w:val="24"/>
        </w:rPr>
        <w:t>vadovo posto buvo atleistas jaunas, gabus</w:t>
      </w:r>
      <w:r w:rsidR="00581341" w:rsidRPr="00421C99">
        <w:rPr>
          <w:rFonts w:ascii="Times New Roman" w:hAnsi="Times New Roman" w:cs="Times New Roman"/>
          <w:sz w:val="24"/>
          <w:szCs w:val="24"/>
        </w:rPr>
        <w:t>, pasaulinės patirties įgi</w:t>
      </w:r>
      <w:r w:rsidRPr="00421C99">
        <w:rPr>
          <w:rFonts w:ascii="Times New Roman" w:hAnsi="Times New Roman" w:cs="Times New Roman"/>
          <w:sz w:val="24"/>
          <w:szCs w:val="24"/>
        </w:rPr>
        <w:t xml:space="preserve">jęs profesionalas </w:t>
      </w:r>
      <w:r w:rsidR="00171DCC" w:rsidRPr="00421C99">
        <w:rPr>
          <w:rFonts w:ascii="Times New Roman" w:hAnsi="Times New Roman" w:cs="Times New Roman"/>
          <w:sz w:val="24"/>
          <w:szCs w:val="24"/>
        </w:rPr>
        <w:t>Paulius Lukauskas. XVI Vyriausybė taip pat apgailestauja, kad neapsikentusi XVI Vyriausybės abejingo požiūrio į investicijų pritraukimo svarbą, nekompete</w:t>
      </w:r>
      <w:r w:rsidR="00413A5D">
        <w:rPr>
          <w:rFonts w:ascii="Times New Roman" w:hAnsi="Times New Roman" w:cs="Times New Roman"/>
          <w:sz w:val="24"/>
          <w:szCs w:val="24"/>
        </w:rPr>
        <w:t>n</w:t>
      </w:r>
      <w:r w:rsidR="00171DCC" w:rsidRPr="00421C99">
        <w:rPr>
          <w:rFonts w:ascii="Times New Roman" w:hAnsi="Times New Roman" w:cs="Times New Roman"/>
          <w:sz w:val="24"/>
          <w:szCs w:val="24"/>
        </w:rPr>
        <w:t>tingo kitų institucijų darbo šioje srityje iš pareigų taip pat pasitraukė ir agentūros „Invest</w:t>
      </w:r>
      <w:r w:rsidR="00A6125A" w:rsidRPr="00421C99">
        <w:rPr>
          <w:rFonts w:ascii="Times New Roman" w:hAnsi="Times New Roman" w:cs="Times New Roman"/>
          <w:sz w:val="24"/>
          <w:szCs w:val="24"/>
        </w:rPr>
        <w:t>uok Lietuvoje</w:t>
      </w:r>
      <w:r w:rsidR="00171DCC" w:rsidRPr="00421C99">
        <w:rPr>
          <w:rFonts w:ascii="Times New Roman" w:hAnsi="Times New Roman" w:cs="Times New Roman"/>
          <w:sz w:val="24"/>
          <w:szCs w:val="24"/>
        </w:rPr>
        <w:t xml:space="preserve">“ vadovė Milda </w:t>
      </w:r>
      <w:proofErr w:type="spellStart"/>
      <w:r w:rsidR="00171DCC" w:rsidRPr="00421C99">
        <w:rPr>
          <w:rFonts w:ascii="Times New Roman" w:hAnsi="Times New Roman" w:cs="Times New Roman"/>
          <w:sz w:val="24"/>
          <w:szCs w:val="24"/>
        </w:rPr>
        <w:t>Dargužaitė</w:t>
      </w:r>
      <w:proofErr w:type="spellEnd"/>
      <w:r w:rsidR="00171DCC" w:rsidRPr="00421C99">
        <w:rPr>
          <w:rFonts w:ascii="Times New Roman" w:hAnsi="Times New Roman" w:cs="Times New Roman"/>
          <w:sz w:val="24"/>
          <w:szCs w:val="24"/>
        </w:rPr>
        <w:t xml:space="preserve">, kuri į šias pareigas buvo pakviesta ir atvyko, palikusi prestižinį darbą pasaulinėje korporacijoje. </w:t>
      </w:r>
    </w:p>
    <w:p w:rsidR="0099657A" w:rsidRPr="00421C99" w:rsidRDefault="0099657A" w:rsidP="00421C99">
      <w:pPr>
        <w:pStyle w:val="PlainText"/>
        <w:spacing w:line="360" w:lineRule="auto"/>
        <w:jc w:val="both"/>
        <w:rPr>
          <w:rFonts w:ascii="Times New Roman" w:hAnsi="Times New Roman" w:cs="Times New Roman"/>
          <w:sz w:val="24"/>
          <w:szCs w:val="24"/>
        </w:rPr>
      </w:pPr>
    </w:p>
    <w:p w:rsidR="00E03699" w:rsidRPr="0099657A" w:rsidRDefault="0099657A" w:rsidP="00421C99">
      <w:pPr>
        <w:pStyle w:val="PlainText"/>
        <w:spacing w:line="360" w:lineRule="auto"/>
        <w:jc w:val="both"/>
        <w:rPr>
          <w:rFonts w:ascii="Times New Roman" w:hAnsi="Times New Roman" w:cs="Times New Roman"/>
          <w:sz w:val="24"/>
          <w:szCs w:val="24"/>
        </w:rPr>
      </w:pPr>
      <w:r w:rsidRPr="0099657A">
        <w:rPr>
          <w:rFonts w:ascii="Times New Roman" w:hAnsi="Times New Roman" w:cs="Times New Roman"/>
          <w:sz w:val="24"/>
          <w:szCs w:val="24"/>
        </w:rPr>
        <w:t>XVI Vyriausybė gerai supranta, kad taip buvo nusiųstas labai blogas ir nuviliantis signalas jaunajai profesionalų kartai, kuri Vakaruose įgijusi išsilavinimą ir profesinės patirties, norėtų grįžti į Lietuvą ir savo žiniomis  padėti Lietuvai tapti modernia šalimi. XVI Vyriausybė suvokia, kad nėra pajėgi nei pritraukti tokių jaunų profesionalų, nei apsaugoti svarbių postų nuo valdžios partijų siekio į juos paskirti sau artimus žmones, o ne kvalifikuotus profesionalus</w:t>
      </w:r>
      <w:r>
        <w:rPr>
          <w:rFonts w:ascii="Times New Roman" w:hAnsi="Times New Roman" w:cs="Times New Roman"/>
          <w:sz w:val="24"/>
          <w:szCs w:val="24"/>
        </w:rPr>
        <w:t>.</w:t>
      </w:r>
    </w:p>
    <w:p w:rsidR="0099657A" w:rsidRDefault="0099657A" w:rsidP="00421C99">
      <w:pPr>
        <w:pStyle w:val="PlainText"/>
        <w:spacing w:line="360" w:lineRule="auto"/>
        <w:jc w:val="both"/>
        <w:rPr>
          <w:rFonts w:ascii="Times New Roman" w:hAnsi="Times New Roman" w:cs="Times New Roman"/>
          <w:b/>
          <w:sz w:val="24"/>
          <w:szCs w:val="24"/>
        </w:rPr>
      </w:pPr>
    </w:p>
    <w:p w:rsidR="008124B5" w:rsidRDefault="008124B5" w:rsidP="00421C99">
      <w:pPr>
        <w:pStyle w:val="PlainText"/>
        <w:spacing w:line="360" w:lineRule="auto"/>
        <w:jc w:val="both"/>
        <w:rPr>
          <w:rFonts w:ascii="Times New Roman" w:hAnsi="Times New Roman" w:cs="Times New Roman"/>
          <w:b/>
          <w:sz w:val="24"/>
          <w:szCs w:val="24"/>
        </w:rPr>
      </w:pPr>
    </w:p>
    <w:p w:rsidR="008124B5" w:rsidRPr="00421C99" w:rsidRDefault="008124B5" w:rsidP="00421C99">
      <w:pPr>
        <w:pStyle w:val="PlainText"/>
        <w:spacing w:line="360" w:lineRule="auto"/>
        <w:jc w:val="both"/>
        <w:rPr>
          <w:rFonts w:ascii="Times New Roman" w:hAnsi="Times New Roman" w:cs="Times New Roman"/>
          <w:b/>
          <w:sz w:val="24"/>
          <w:szCs w:val="24"/>
        </w:rPr>
      </w:pPr>
    </w:p>
    <w:p w:rsidR="00171DCC" w:rsidRPr="00421C99" w:rsidRDefault="00A6125A" w:rsidP="00421C99">
      <w:pPr>
        <w:pStyle w:val="PlainText"/>
        <w:spacing w:line="360" w:lineRule="auto"/>
        <w:jc w:val="both"/>
        <w:rPr>
          <w:rFonts w:ascii="Times New Roman" w:hAnsi="Times New Roman" w:cs="Times New Roman"/>
          <w:b/>
          <w:sz w:val="24"/>
          <w:szCs w:val="24"/>
        </w:rPr>
      </w:pPr>
      <w:r w:rsidRPr="00421C99">
        <w:rPr>
          <w:rFonts w:ascii="Times New Roman" w:hAnsi="Times New Roman" w:cs="Times New Roman"/>
          <w:b/>
          <w:sz w:val="24"/>
          <w:szCs w:val="24"/>
        </w:rPr>
        <w:lastRenderedPageBreak/>
        <w:t>5</w:t>
      </w:r>
      <w:r w:rsidR="00E03699" w:rsidRPr="00421C99">
        <w:rPr>
          <w:rFonts w:ascii="Times New Roman" w:hAnsi="Times New Roman" w:cs="Times New Roman"/>
          <w:b/>
          <w:sz w:val="24"/>
          <w:szCs w:val="24"/>
        </w:rPr>
        <w:t>.</w:t>
      </w:r>
      <w:r w:rsidRPr="00421C99">
        <w:rPr>
          <w:rFonts w:ascii="Times New Roman" w:hAnsi="Times New Roman" w:cs="Times New Roman"/>
          <w:b/>
          <w:sz w:val="24"/>
          <w:szCs w:val="24"/>
        </w:rPr>
        <w:t>4.</w:t>
      </w:r>
      <w:r w:rsidR="00E03699" w:rsidRPr="00421C99">
        <w:rPr>
          <w:rFonts w:ascii="Times New Roman" w:hAnsi="Times New Roman" w:cs="Times New Roman"/>
          <w:b/>
          <w:sz w:val="24"/>
          <w:szCs w:val="24"/>
        </w:rPr>
        <w:t xml:space="preserve"> </w:t>
      </w:r>
      <w:r w:rsidRPr="00421C99">
        <w:rPr>
          <w:rFonts w:ascii="Times New Roman" w:hAnsi="Times New Roman" w:cs="Times New Roman"/>
          <w:b/>
          <w:sz w:val="24"/>
          <w:szCs w:val="24"/>
        </w:rPr>
        <w:t>„</w:t>
      </w:r>
      <w:proofErr w:type="spellStart"/>
      <w:r w:rsidR="00D91BB3" w:rsidRPr="00421C99">
        <w:rPr>
          <w:rFonts w:ascii="Times New Roman" w:hAnsi="Times New Roman" w:cs="Times New Roman"/>
          <w:b/>
          <w:sz w:val="24"/>
          <w:szCs w:val="24"/>
        </w:rPr>
        <w:t>Chevron</w:t>
      </w:r>
      <w:proofErr w:type="spellEnd"/>
      <w:r w:rsidRPr="00421C99">
        <w:rPr>
          <w:rFonts w:ascii="Times New Roman" w:hAnsi="Times New Roman" w:cs="Times New Roman"/>
          <w:b/>
          <w:sz w:val="24"/>
          <w:szCs w:val="24"/>
        </w:rPr>
        <w:t>“</w:t>
      </w:r>
      <w:r w:rsidR="00D91BB3" w:rsidRPr="00421C99">
        <w:rPr>
          <w:rFonts w:ascii="Times New Roman" w:hAnsi="Times New Roman" w:cs="Times New Roman"/>
          <w:b/>
          <w:sz w:val="24"/>
          <w:szCs w:val="24"/>
        </w:rPr>
        <w:t xml:space="preserve"> išvarymas</w:t>
      </w:r>
      <w:r w:rsidR="0099657A">
        <w:rPr>
          <w:rFonts w:ascii="Times New Roman" w:hAnsi="Times New Roman" w:cs="Times New Roman"/>
          <w:b/>
          <w:sz w:val="24"/>
          <w:szCs w:val="24"/>
        </w:rPr>
        <w:t xml:space="preserve"> – „Gazprom“ interesų pergalė</w:t>
      </w:r>
    </w:p>
    <w:p w:rsidR="00CF79F2" w:rsidRPr="005B2407" w:rsidRDefault="00171DCC" w:rsidP="00421C99">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XVI Vyriausybė nuoširdžiai apgailestauja, kad „</w:t>
      </w:r>
      <w:proofErr w:type="spellStart"/>
      <w:r w:rsidRPr="00421C99">
        <w:rPr>
          <w:rFonts w:ascii="Times New Roman" w:hAnsi="Times New Roman" w:cs="Times New Roman"/>
          <w:sz w:val="24"/>
          <w:szCs w:val="24"/>
        </w:rPr>
        <w:t>Gazpromui</w:t>
      </w:r>
      <w:proofErr w:type="spellEnd"/>
      <w:r w:rsidRPr="00421C99">
        <w:rPr>
          <w:rFonts w:ascii="Times New Roman" w:hAnsi="Times New Roman" w:cs="Times New Roman"/>
          <w:sz w:val="24"/>
          <w:szCs w:val="24"/>
        </w:rPr>
        <w:t>“ artimi interesai valdančioje koalicijoje pasirodė esą stipresni nei</w:t>
      </w:r>
      <w:r w:rsidR="00C15AB6" w:rsidRPr="00421C99">
        <w:rPr>
          <w:rFonts w:ascii="Times New Roman" w:hAnsi="Times New Roman" w:cs="Times New Roman"/>
          <w:sz w:val="24"/>
          <w:szCs w:val="24"/>
        </w:rPr>
        <w:t xml:space="preserve"> pati Vyriausybė, Premjeras ar a</w:t>
      </w:r>
      <w:r w:rsidRPr="00421C99">
        <w:rPr>
          <w:rFonts w:ascii="Times New Roman" w:hAnsi="Times New Roman" w:cs="Times New Roman"/>
          <w:sz w:val="24"/>
          <w:szCs w:val="24"/>
        </w:rPr>
        <w:t>plinkos ministras</w:t>
      </w:r>
      <w:r w:rsidR="00282926" w:rsidRPr="00421C99">
        <w:rPr>
          <w:rFonts w:ascii="Times New Roman" w:hAnsi="Times New Roman" w:cs="Times New Roman"/>
          <w:sz w:val="24"/>
          <w:szCs w:val="24"/>
        </w:rPr>
        <w:t>, kartu sudėjus</w:t>
      </w:r>
      <w:r w:rsidRPr="00421C99">
        <w:rPr>
          <w:rFonts w:ascii="Times New Roman" w:hAnsi="Times New Roman" w:cs="Times New Roman"/>
          <w:sz w:val="24"/>
          <w:szCs w:val="24"/>
        </w:rPr>
        <w:t>. Vyriausybė viešai ragino pritarti „</w:t>
      </w:r>
      <w:proofErr w:type="spellStart"/>
      <w:r w:rsidRPr="00421C99">
        <w:rPr>
          <w:rFonts w:ascii="Times New Roman" w:hAnsi="Times New Roman" w:cs="Times New Roman"/>
          <w:sz w:val="24"/>
          <w:szCs w:val="24"/>
        </w:rPr>
        <w:t>Chevron</w:t>
      </w:r>
      <w:proofErr w:type="spellEnd"/>
      <w:r w:rsidRPr="00421C99">
        <w:rPr>
          <w:rFonts w:ascii="Times New Roman" w:hAnsi="Times New Roman" w:cs="Times New Roman"/>
          <w:sz w:val="24"/>
          <w:szCs w:val="24"/>
        </w:rPr>
        <w:t xml:space="preserve">“ investicijai, tačiau nevaldė ir nesuvaldė situacijos valdančiojoje parlamentinėje daugumoje, kurioje savo valią diktavo Seimo Aplinkos komiteto pirmininkas ir keletas garsiai šaukiančių „žaliųjų“. Tai ir nulėmė, kad Seime buvo priimti tokie sprendimai, dėl kurių savo tolesnių investicijų atsisakė </w:t>
      </w:r>
      <w:r w:rsidR="00C15AB6" w:rsidRPr="00421C99">
        <w:rPr>
          <w:rFonts w:ascii="Times New Roman" w:hAnsi="Times New Roman" w:cs="Times New Roman"/>
          <w:sz w:val="24"/>
          <w:szCs w:val="24"/>
        </w:rPr>
        <w:t>kompanija „</w:t>
      </w:r>
      <w:proofErr w:type="spellStart"/>
      <w:r w:rsidR="00C15AB6" w:rsidRPr="00421C99">
        <w:rPr>
          <w:rFonts w:ascii="Times New Roman" w:hAnsi="Times New Roman" w:cs="Times New Roman"/>
          <w:sz w:val="24"/>
          <w:szCs w:val="24"/>
        </w:rPr>
        <w:t>Chevron</w:t>
      </w:r>
      <w:proofErr w:type="spellEnd"/>
      <w:r w:rsidR="00C15AB6" w:rsidRPr="00421C99">
        <w:rPr>
          <w:rFonts w:ascii="Times New Roman" w:hAnsi="Times New Roman" w:cs="Times New Roman"/>
          <w:sz w:val="24"/>
          <w:szCs w:val="24"/>
        </w:rPr>
        <w:t>“.</w:t>
      </w:r>
    </w:p>
    <w:p w:rsidR="00421C99" w:rsidRDefault="00421C99" w:rsidP="00421C99">
      <w:pPr>
        <w:pStyle w:val="PlainText"/>
        <w:spacing w:line="360" w:lineRule="auto"/>
        <w:jc w:val="center"/>
        <w:rPr>
          <w:rFonts w:ascii="Times New Roman" w:hAnsi="Times New Roman" w:cs="Times New Roman"/>
          <w:b/>
          <w:sz w:val="24"/>
          <w:szCs w:val="24"/>
        </w:rPr>
      </w:pPr>
    </w:p>
    <w:p w:rsidR="00E03699" w:rsidRPr="00421C99" w:rsidRDefault="00E03699" w:rsidP="00421C99">
      <w:pPr>
        <w:pStyle w:val="PlainText"/>
        <w:spacing w:line="360" w:lineRule="auto"/>
        <w:jc w:val="center"/>
        <w:rPr>
          <w:rFonts w:ascii="Times New Roman" w:hAnsi="Times New Roman" w:cs="Times New Roman"/>
          <w:b/>
          <w:sz w:val="24"/>
          <w:szCs w:val="24"/>
        </w:rPr>
      </w:pPr>
      <w:r w:rsidRPr="00421C99">
        <w:rPr>
          <w:rFonts w:ascii="Times New Roman" w:hAnsi="Times New Roman" w:cs="Times New Roman"/>
          <w:b/>
          <w:sz w:val="24"/>
          <w:szCs w:val="24"/>
        </w:rPr>
        <w:t>Baigiamosios nuostatos</w:t>
      </w:r>
    </w:p>
    <w:p w:rsidR="00CF79F2" w:rsidRPr="00421C99" w:rsidRDefault="00CF79F2" w:rsidP="00421C99">
      <w:pPr>
        <w:pStyle w:val="PlainText"/>
        <w:spacing w:line="360" w:lineRule="auto"/>
        <w:jc w:val="both"/>
        <w:rPr>
          <w:rFonts w:ascii="Times New Roman" w:hAnsi="Times New Roman" w:cs="Times New Roman"/>
          <w:b/>
          <w:sz w:val="24"/>
          <w:szCs w:val="24"/>
        </w:rPr>
      </w:pPr>
    </w:p>
    <w:p w:rsidR="0099657A" w:rsidRDefault="00CF79F2" w:rsidP="00C0087F">
      <w:pPr>
        <w:pStyle w:val="PlainText"/>
        <w:spacing w:line="360" w:lineRule="auto"/>
        <w:jc w:val="both"/>
        <w:rPr>
          <w:rFonts w:ascii="Times New Roman" w:hAnsi="Times New Roman" w:cs="Times New Roman"/>
          <w:sz w:val="24"/>
          <w:szCs w:val="24"/>
        </w:rPr>
      </w:pPr>
      <w:r w:rsidRPr="00421C99">
        <w:rPr>
          <w:rFonts w:ascii="Times New Roman" w:hAnsi="Times New Roman" w:cs="Times New Roman"/>
          <w:sz w:val="24"/>
          <w:szCs w:val="24"/>
        </w:rPr>
        <w:t>XVI Vyriausybė, sąžiningai suprasdama, kad per pirmus savo veiklos metus nėra daug ką</w:t>
      </w:r>
      <w:r w:rsidR="0099657A">
        <w:rPr>
          <w:rFonts w:ascii="Times New Roman" w:hAnsi="Times New Roman" w:cs="Times New Roman"/>
          <w:sz w:val="24"/>
          <w:szCs w:val="24"/>
        </w:rPr>
        <w:t xml:space="preserve"> naujo</w:t>
      </w:r>
      <w:r w:rsidRPr="00421C99">
        <w:rPr>
          <w:rFonts w:ascii="Times New Roman" w:hAnsi="Times New Roman" w:cs="Times New Roman"/>
          <w:sz w:val="24"/>
          <w:szCs w:val="24"/>
        </w:rPr>
        <w:t xml:space="preserve"> savarankiškai nuveikusi, džiaugiasi, kad nedaug ką ir pagadino. Todėl valstybės traukinys per šiuos metus pakankamai sėkmingai važiavo dar XV Vyriausybės nutiestais bėgiais. XVI Vyriausybė gerai supranta, kad ir per praeitus metus XVI Vyriausybės  garsiai kartota kritika XV Vyriausybei „dėl „naktinės mokesčių“ reformos, dėl praskolintos Lietuvos, dėl „atimtų“ pensijų, dėl </w:t>
      </w:r>
      <w:r w:rsidR="00C15AB6" w:rsidRPr="00421C99">
        <w:rPr>
          <w:rFonts w:ascii="Times New Roman" w:hAnsi="Times New Roman" w:cs="Times New Roman"/>
          <w:sz w:val="24"/>
          <w:szCs w:val="24"/>
        </w:rPr>
        <w:t>„</w:t>
      </w:r>
      <w:r w:rsidRPr="00421C99">
        <w:rPr>
          <w:rFonts w:ascii="Times New Roman" w:hAnsi="Times New Roman" w:cs="Times New Roman"/>
          <w:sz w:val="24"/>
          <w:szCs w:val="24"/>
        </w:rPr>
        <w:t>sugriautos</w:t>
      </w:r>
      <w:r w:rsidR="00C15AB6" w:rsidRPr="00421C99">
        <w:rPr>
          <w:rFonts w:ascii="Times New Roman" w:hAnsi="Times New Roman" w:cs="Times New Roman"/>
          <w:sz w:val="24"/>
          <w:szCs w:val="24"/>
        </w:rPr>
        <w:t xml:space="preserve"> ekonomikos ir </w:t>
      </w:r>
      <w:r w:rsidR="0099657A">
        <w:rPr>
          <w:rFonts w:ascii="Times New Roman" w:hAnsi="Times New Roman" w:cs="Times New Roman"/>
          <w:sz w:val="24"/>
          <w:szCs w:val="24"/>
        </w:rPr>
        <w:t xml:space="preserve">sunaikintos </w:t>
      </w:r>
      <w:r w:rsidR="00C15AB6" w:rsidRPr="00421C99">
        <w:rPr>
          <w:rFonts w:ascii="Times New Roman" w:hAnsi="Times New Roman" w:cs="Times New Roman"/>
          <w:sz w:val="24"/>
          <w:szCs w:val="24"/>
        </w:rPr>
        <w:t>energetikos</w:t>
      </w:r>
      <w:r w:rsidR="0099657A">
        <w:rPr>
          <w:rFonts w:ascii="Times New Roman" w:hAnsi="Times New Roman" w:cs="Times New Roman"/>
          <w:sz w:val="24"/>
          <w:szCs w:val="24"/>
        </w:rPr>
        <w:t>“</w:t>
      </w:r>
      <w:r w:rsidRPr="00421C99">
        <w:rPr>
          <w:rFonts w:ascii="Times New Roman" w:hAnsi="Times New Roman" w:cs="Times New Roman"/>
          <w:sz w:val="24"/>
          <w:szCs w:val="24"/>
        </w:rPr>
        <w:t xml:space="preserve"> dalykine prasme buvo nesąžininga,</w:t>
      </w:r>
      <w:r w:rsidR="00CE07A7" w:rsidRPr="00421C99">
        <w:rPr>
          <w:rFonts w:ascii="Times New Roman" w:hAnsi="Times New Roman" w:cs="Times New Roman"/>
          <w:sz w:val="24"/>
          <w:szCs w:val="24"/>
        </w:rPr>
        <w:t xml:space="preserve"> nes niekas nebuvo keičiama, </w:t>
      </w:r>
      <w:r w:rsidRPr="00421C99">
        <w:rPr>
          <w:rFonts w:ascii="Times New Roman" w:hAnsi="Times New Roman" w:cs="Times New Roman"/>
          <w:sz w:val="24"/>
          <w:szCs w:val="24"/>
        </w:rPr>
        <w:t xml:space="preserve"> tačiau </w:t>
      </w:r>
      <w:r w:rsidR="00C15AB6" w:rsidRPr="00421C99">
        <w:rPr>
          <w:rFonts w:ascii="Times New Roman" w:hAnsi="Times New Roman" w:cs="Times New Roman"/>
          <w:sz w:val="24"/>
          <w:szCs w:val="24"/>
        </w:rPr>
        <w:t xml:space="preserve">tuo metu </w:t>
      </w:r>
      <w:r w:rsidRPr="00421C99">
        <w:rPr>
          <w:rFonts w:ascii="Times New Roman" w:hAnsi="Times New Roman" w:cs="Times New Roman"/>
          <w:sz w:val="24"/>
          <w:szCs w:val="24"/>
        </w:rPr>
        <w:t>politiškai naudinga. Todėl XVI Vyriausybė dėkoja parlamentinei opozicijai, kad ji nepaisant nieko, atsakingai atliko konstruktyvios opozi</w:t>
      </w:r>
      <w:r w:rsidR="00CE07A7" w:rsidRPr="00421C99">
        <w:rPr>
          <w:rFonts w:ascii="Times New Roman" w:hAnsi="Times New Roman" w:cs="Times New Roman"/>
          <w:sz w:val="24"/>
          <w:szCs w:val="24"/>
        </w:rPr>
        <w:t xml:space="preserve">cijos vaidmenį ir </w:t>
      </w:r>
      <w:r w:rsidRPr="00421C99">
        <w:rPr>
          <w:rFonts w:ascii="Times New Roman" w:hAnsi="Times New Roman" w:cs="Times New Roman"/>
          <w:sz w:val="24"/>
          <w:szCs w:val="24"/>
        </w:rPr>
        <w:t>pačiais svarbiausiais val</w:t>
      </w:r>
      <w:r w:rsidR="00CE07A7" w:rsidRPr="00421C99">
        <w:rPr>
          <w:rFonts w:ascii="Times New Roman" w:hAnsi="Times New Roman" w:cs="Times New Roman"/>
          <w:sz w:val="24"/>
          <w:szCs w:val="24"/>
        </w:rPr>
        <w:t>stybei klausimais parėmė reikalingus sprendimus – dėl euro, prieš populistinius referendumus, dėl energetinių projektų įgyvendinimo. XVI Vyriausybė pripažįsta, kad kai ją sudarančios partijos buvo opozicijoje, jos taip atsakingai elgtis</w:t>
      </w:r>
      <w:r w:rsidR="00CE07A7">
        <w:rPr>
          <w:rFonts w:ascii="Cambria" w:hAnsi="Cambria"/>
          <w:sz w:val="24"/>
          <w:szCs w:val="24"/>
        </w:rPr>
        <w:t xml:space="preserve"> </w:t>
      </w:r>
      <w:r w:rsidR="00CE07A7" w:rsidRPr="00421C99">
        <w:rPr>
          <w:rFonts w:ascii="Times New Roman" w:hAnsi="Times New Roman" w:cs="Times New Roman"/>
          <w:sz w:val="24"/>
          <w:szCs w:val="24"/>
        </w:rPr>
        <w:t>nesugebėdavo.</w:t>
      </w:r>
    </w:p>
    <w:p w:rsidR="00C0087F" w:rsidRDefault="00C0087F" w:rsidP="00C0087F">
      <w:pPr>
        <w:pStyle w:val="PlainText"/>
        <w:spacing w:line="360" w:lineRule="auto"/>
        <w:jc w:val="both"/>
        <w:rPr>
          <w:rFonts w:ascii="Times New Roman" w:hAnsi="Times New Roman" w:cs="Times New Roman"/>
          <w:sz w:val="24"/>
          <w:szCs w:val="24"/>
        </w:rPr>
      </w:pPr>
    </w:p>
    <w:p w:rsidR="0099657A" w:rsidRDefault="0099657A" w:rsidP="00C0087F">
      <w:pPr>
        <w:spacing w:after="0" w:line="360" w:lineRule="auto"/>
        <w:rPr>
          <w:rFonts w:ascii="Times New Roman" w:hAnsi="Times New Roman" w:cs="Times New Roman"/>
          <w:sz w:val="24"/>
          <w:szCs w:val="24"/>
        </w:rPr>
      </w:pPr>
      <w:r w:rsidRPr="0099657A">
        <w:rPr>
          <w:rFonts w:ascii="Times New Roman" w:hAnsi="Times New Roman" w:cs="Times New Roman"/>
          <w:sz w:val="24"/>
          <w:szCs w:val="24"/>
        </w:rPr>
        <w:t>XVI Vyriausybė tikisi, kad jos sąžininga veiklos  ataskaita padės visoms politinėms jėgoms telktis didelių šiandieninių iššūkių akivaizdoje.</w:t>
      </w:r>
      <w:r>
        <w:rPr>
          <w:rFonts w:ascii="Times New Roman" w:hAnsi="Times New Roman" w:cs="Times New Roman"/>
          <w:sz w:val="24"/>
          <w:szCs w:val="24"/>
        </w:rPr>
        <w:br w:type="page"/>
      </w:r>
    </w:p>
    <w:p w:rsidR="0099657A" w:rsidRDefault="0099657A" w:rsidP="0099657A">
      <w:pPr>
        <w:pStyle w:val="PlainText"/>
        <w:spacing w:line="360" w:lineRule="auto"/>
        <w:jc w:val="both"/>
        <w:rPr>
          <w:rFonts w:ascii="Cambria" w:hAnsi="Cambria"/>
          <w:b/>
          <w:sz w:val="24"/>
          <w:szCs w:val="24"/>
        </w:rPr>
      </w:pPr>
    </w:p>
    <w:p w:rsidR="0099657A" w:rsidRDefault="0099657A" w:rsidP="0099657A">
      <w:pPr>
        <w:pStyle w:val="PlainText"/>
        <w:spacing w:line="360" w:lineRule="auto"/>
        <w:jc w:val="both"/>
        <w:rPr>
          <w:rFonts w:ascii="Cambria" w:hAnsi="Cambria"/>
          <w:b/>
          <w:sz w:val="24"/>
          <w:szCs w:val="24"/>
        </w:rPr>
      </w:pPr>
    </w:p>
    <w:p w:rsidR="0099657A" w:rsidRDefault="0099657A" w:rsidP="0099657A">
      <w:pPr>
        <w:pStyle w:val="PlainText"/>
        <w:spacing w:line="360" w:lineRule="auto"/>
        <w:jc w:val="both"/>
        <w:rPr>
          <w:rFonts w:ascii="Cambria" w:hAnsi="Cambria"/>
          <w:b/>
          <w:sz w:val="24"/>
          <w:szCs w:val="24"/>
        </w:rPr>
      </w:pPr>
    </w:p>
    <w:p w:rsidR="0099657A" w:rsidRDefault="0099657A" w:rsidP="0099657A">
      <w:pPr>
        <w:pStyle w:val="PlainText"/>
        <w:spacing w:line="360" w:lineRule="auto"/>
        <w:jc w:val="both"/>
        <w:rPr>
          <w:rFonts w:ascii="Cambria" w:hAnsi="Cambria"/>
          <w:b/>
          <w:sz w:val="24"/>
          <w:szCs w:val="24"/>
        </w:rPr>
      </w:pPr>
    </w:p>
    <w:p w:rsidR="0099657A" w:rsidRDefault="0099657A" w:rsidP="0099657A">
      <w:pPr>
        <w:pStyle w:val="PlainText"/>
        <w:spacing w:line="360" w:lineRule="auto"/>
        <w:jc w:val="both"/>
        <w:rPr>
          <w:rFonts w:ascii="Cambria" w:hAnsi="Cambria"/>
          <w:b/>
          <w:sz w:val="24"/>
          <w:szCs w:val="24"/>
        </w:rPr>
      </w:pPr>
    </w:p>
    <w:p w:rsidR="0099657A" w:rsidRDefault="0099657A" w:rsidP="0099657A">
      <w:pPr>
        <w:pStyle w:val="PlainText"/>
        <w:spacing w:line="360" w:lineRule="auto"/>
        <w:jc w:val="both"/>
        <w:rPr>
          <w:rFonts w:ascii="Cambria" w:hAnsi="Cambria"/>
          <w:b/>
          <w:sz w:val="24"/>
          <w:szCs w:val="24"/>
        </w:rPr>
      </w:pPr>
    </w:p>
    <w:p w:rsidR="0099657A" w:rsidRDefault="0099657A" w:rsidP="0099657A">
      <w:pPr>
        <w:pStyle w:val="PlainText"/>
        <w:spacing w:line="360" w:lineRule="auto"/>
        <w:jc w:val="both"/>
        <w:rPr>
          <w:rFonts w:ascii="Cambria" w:hAnsi="Cambria"/>
          <w:b/>
          <w:sz w:val="24"/>
          <w:szCs w:val="24"/>
        </w:rPr>
      </w:pPr>
    </w:p>
    <w:p w:rsidR="0099657A" w:rsidRDefault="0099657A" w:rsidP="0099657A">
      <w:pPr>
        <w:pStyle w:val="PlainText"/>
        <w:spacing w:line="360" w:lineRule="auto"/>
        <w:jc w:val="both"/>
        <w:rPr>
          <w:rFonts w:ascii="Cambria" w:hAnsi="Cambria"/>
          <w:b/>
          <w:sz w:val="24"/>
          <w:szCs w:val="24"/>
        </w:rPr>
      </w:pPr>
    </w:p>
    <w:p w:rsidR="0099657A" w:rsidRDefault="0099657A" w:rsidP="0099657A">
      <w:pPr>
        <w:pStyle w:val="PlainText"/>
        <w:spacing w:line="360" w:lineRule="auto"/>
        <w:jc w:val="both"/>
        <w:rPr>
          <w:rFonts w:ascii="Cambria" w:hAnsi="Cambria"/>
          <w:b/>
          <w:sz w:val="24"/>
          <w:szCs w:val="24"/>
        </w:rPr>
      </w:pPr>
    </w:p>
    <w:p w:rsidR="0099657A" w:rsidRPr="005B2407" w:rsidRDefault="0099657A" w:rsidP="0099657A">
      <w:pPr>
        <w:pStyle w:val="PlainText"/>
        <w:spacing w:line="360" w:lineRule="auto"/>
        <w:jc w:val="both"/>
        <w:rPr>
          <w:rFonts w:ascii="Cambria" w:hAnsi="Cambria"/>
          <w:b/>
          <w:i/>
          <w:sz w:val="24"/>
          <w:szCs w:val="24"/>
        </w:rPr>
      </w:pPr>
    </w:p>
    <w:p w:rsidR="0099657A" w:rsidRPr="00413A5D" w:rsidRDefault="0099657A" w:rsidP="0099657A">
      <w:pPr>
        <w:pStyle w:val="PlainText"/>
        <w:spacing w:line="360" w:lineRule="auto"/>
        <w:jc w:val="both"/>
        <w:rPr>
          <w:rFonts w:ascii="Cambria" w:hAnsi="Cambria"/>
          <w:b/>
          <w:i/>
          <w:sz w:val="28"/>
          <w:szCs w:val="24"/>
        </w:rPr>
      </w:pPr>
      <w:proofErr w:type="spellStart"/>
      <w:r w:rsidRPr="00413A5D">
        <w:rPr>
          <w:rFonts w:ascii="Cambria" w:hAnsi="Cambria"/>
          <w:b/>
          <w:i/>
          <w:sz w:val="28"/>
          <w:szCs w:val="24"/>
        </w:rPr>
        <w:t>Post</w:t>
      </w:r>
      <w:proofErr w:type="spellEnd"/>
      <w:r w:rsidRPr="00413A5D">
        <w:rPr>
          <w:rFonts w:ascii="Cambria" w:hAnsi="Cambria"/>
          <w:b/>
          <w:i/>
          <w:sz w:val="28"/>
          <w:szCs w:val="24"/>
        </w:rPr>
        <w:t xml:space="preserve"> </w:t>
      </w:r>
      <w:proofErr w:type="spellStart"/>
      <w:r w:rsidRPr="00413A5D">
        <w:rPr>
          <w:rFonts w:ascii="Cambria" w:hAnsi="Cambria"/>
          <w:b/>
          <w:i/>
          <w:sz w:val="28"/>
          <w:szCs w:val="24"/>
        </w:rPr>
        <w:t>Scriptum</w:t>
      </w:r>
      <w:proofErr w:type="spellEnd"/>
    </w:p>
    <w:p w:rsidR="0099657A" w:rsidRPr="008124B5" w:rsidRDefault="0099657A" w:rsidP="0099657A">
      <w:pPr>
        <w:pStyle w:val="PlainText"/>
        <w:spacing w:line="360" w:lineRule="auto"/>
        <w:jc w:val="both"/>
        <w:rPr>
          <w:rFonts w:ascii="Cambria" w:hAnsi="Cambria"/>
          <w:sz w:val="28"/>
          <w:szCs w:val="24"/>
        </w:rPr>
      </w:pPr>
    </w:p>
    <w:p w:rsidR="0099657A" w:rsidRPr="008124B5" w:rsidRDefault="0099657A" w:rsidP="0099657A">
      <w:pPr>
        <w:pStyle w:val="PlainText"/>
        <w:spacing w:line="360" w:lineRule="auto"/>
        <w:jc w:val="both"/>
        <w:rPr>
          <w:rFonts w:ascii="Cambria" w:hAnsi="Cambria"/>
          <w:sz w:val="28"/>
          <w:szCs w:val="24"/>
        </w:rPr>
      </w:pPr>
      <w:r w:rsidRPr="008124B5">
        <w:rPr>
          <w:rFonts w:ascii="Cambria" w:hAnsi="Cambria"/>
          <w:sz w:val="28"/>
          <w:szCs w:val="24"/>
        </w:rPr>
        <w:t>Tokia galėtų būti tikroji XVI Vyriausybės veiklos 2013 m. ataskaita, jeigu ji būtų buvus</w:t>
      </w:r>
      <w:bookmarkStart w:id="0" w:name="_GoBack"/>
      <w:bookmarkEnd w:id="0"/>
      <w:r w:rsidRPr="008124B5">
        <w:rPr>
          <w:rFonts w:ascii="Cambria" w:hAnsi="Cambria"/>
          <w:sz w:val="28"/>
          <w:szCs w:val="24"/>
        </w:rPr>
        <w:t>i rašoma remiantis  sąžiningumo, teisingumo, objektyvumo ir padorumo principais. Tenka apgailestauti, kad tokios ataskaitos šiais metais dar nesulaukėme.</w:t>
      </w:r>
    </w:p>
    <w:p w:rsidR="005B2407" w:rsidRDefault="005B2407" w:rsidP="0099657A">
      <w:pPr>
        <w:pStyle w:val="PlainText"/>
        <w:spacing w:line="360" w:lineRule="auto"/>
        <w:jc w:val="both"/>
        <w:rPr>
          <w:rFonts w:ascii="Cambria" w:hAnsi="Cambria"/>
          <w:i/>
          <w:sz w:val="24"/>
          <w:szCs w:val="24"/>
        </w:rPr>
      </w:pPr>
    </w:p>
    <w:p w:rsidR="008124B5" w:rsidRDefault="008124B5" w:rsidP="008124B5">
      <w:pPr>
        <w:pStyle w:val="PlainText"/>
        <w:spacing w:line="360" w:lineRule="auto"/>
        <w:jc w:val="right"/>
        <w:rPr>
          <w:rFonts w:ascii="Cambria" w:hAnsi="Cambria"/>
          <w:i/>
          <w:sz w:val="24"/>
          <w:szCs w:val="24"/>
        </w:rPr>
      </w:pPr>
    </w:p>
    <w:p w:rsidR="008124B5" w:rsidRDefault="008124B5" w:rsidP="008124B5">
      <w:pPr>
        <w:pStyle w:val="PlainText"/>
        <w:spacing w:line="360" w:lineRule="auto"/>
        <w:jc w:val="right"/>
        <w:rPr>
          <w:rFonts w:ascii="Cambria" w:hAnsi="Cambria"/>
          <w:i/>
          <w:sz w:val="24"/>
          <w:szCs w:val="24"/>
        </w:rPr>
      </w:pPr>
    </w:p>
    <w:p w:rsidR="008124B5" w:rsidRDefault="008124B5" w:rsidP="008124B5">
      <w:pPr>
        <w:pStyle w:val="PlainText"/>
        <w:spacing w:line="360" w:lineRule="auto"/>
        <w:jc w:val="right"/>
        <w:rPr>
          <w:rFonts w:ascii="Cambria" w:hAnsi="Cambria"/>
          <w:i/>
          <w:sz w:val="24"/>
          <w:szCs w:val="24"/>
        </w:rPr>
      </w:pPr>
    </w:p>
    <w:p w:rsidR="008124B5" w:rsidRDefault="008124B5" w:rsidP="008124B5">
      <w:pPr>
        <w:pStyle w:val="PlainText"/>
        <w:spacing w:line="360" w:lineRule="auto"/>
        <w:jc w:val="right"/>
        <w:rPr>
          <w:rFonts w:ascii="Cambria" w:hAnsi="Cambria"/>
          <w:i/>
          <w:sz w:val="24"/>
          <w:szCs w:val="24"/>
        </w:rPr>
      </w:pPr>
    </w:p>
    <w:p w:rsidR="008124B5" w:rsidRDefault="008124B5" w:rsidP="008124B5">
      <w:pPr>
        <w:pStyle w:val="PlainText"/>
        <w:spacing w:line="360" w:lineRule="auto"/>
        <w:jc w:val="right"/>
        <w:rPr>
          <w:rFonts w:ascii="Cambria" w:hAnsi="Cambria"/>
          <w:i/>
          <w:sz w:val="24"/>
          <w:szCs w:val="24"/>
        </w:rPr>
      </w:pPr>
    </w:p>
    <w:p w:rsidR="008124B5" w:rsidRDefault="008124B5" w:rsidP="008124B5">
      <w:pPr>
        <w:pStyle w:val="PlainText"/>
        <w:spacing w:line="360" w:lineRule="auto"/>
        <w:jc w:val="right"/>
        <w:rPr>
          <w:rFonts w:ascii="Cambria" w:hAnsi="Cambria"/>
          <w:i/>
          <w:sz w:val="24"/>
          <w:szCs w:val="24"/>
        </w:rPr>
      </w:pPr>
    </w:p>
    <w:p w:rsidR="005B2407" w:rsidRPr="008124B5" w:rsidRDefault="008124B5" w:rsidP="008124B5">
      <w:pPr>
        <w:pStyle w:val="PlainText"/>
        <w:spacing w:line="360" w:lineRule="auto"/>
        <w:jc w:val="right"/>
        <w:rPr>
          <w:rFonts w:ascii="Cambria" w:hAnsi="Cambria"/>
          <w:i/>
          <w:sz w:val="24"/>
          <w:szCs w:val="24"/>
        </w:rPr>
      </w:pPr>
      <w:r>
        <w:rPr>
          <w:rFonts w:ascii="Cambria" w:hAnsi="Cambria"/>
          <w:i/>
          <w:sz w:val="24"/>
          <w:szCs w:val="24"/>
        </w:rPr>
        <w:t>„</w:t>
      </w:r>
      <w:r w:rsidR="005B2407" w:rsidRPr="008124B5">
        <w:rPr>
          <w:rFonts w:ascii="Cambria" w:hAnsi="Cambria"/>
          <w:i/>
          <w:sz w:val="24"/>
          <w:szCs w:val="24"/>
        </w:rPr>
        <w:t>Per savo gyvenimą dar nesu matęs tokios silpnos Vyriausybės, kai per metus nebūtų priimtas nė vienas padorus ir atsakingas sprendimas.</w:t>
      </w:r>
      <w:r>
        <w:rPr>
          <w:rFonts w:ascii="Cambria" w:hAnsi="Cambria"/>
          <w:i/>
          <w:sz w:val="24"/>
          <w:szCs w:val="24"/>
        </w:rPr>
        <w:t>“</w:t>
      </w:r>
      <w:r w:rsidRPr="008124B5">
        <w:rPr>
          <w:rFonts w:ascii="Cambria" w:hAnsi="Cambria"/>
          <w:i/>
          <w:sz w:val="24"/>
          <w:szCs w:val="24"/>
        </w:rPr>
        <w:t xml:space="preserve"> – </w:t>
      </w:r>
      <w:proofErr w:type="spellStart"/>
      <w:r w:rsidRPr="008124B5">
        <w:rPr>
          <w:rFonts w:ascii="Cambria" w:hAnsi="Cambria"/>
          <w:i/>
          <w:sz w:val="24"/>
          <w:szCs w:val="24"/>
        </w:rPr>
        <w:t>Viktor</w:t>
      </w:r>
      <w:proofErr w:type="spellEnd"/>
      <w:r w:rsidRPr="008124B5">
        <w:rPr>
          <w:rFonts w:ascii="Cambria" w:hAnsi="Cambria"/>
          <w:i/>
          <w:sz w:val="24"/>
          <w:szCs w:val="24"/>
        </w:rPr>
        <w:t xml:space="preserve"> Uspaskich</w:t>
      </w:r>
      <w:r w:rsidRPr="008124B5">
        <w:rPr>
          <w:i/>
        </w:rPr>
        <w:t xml:space="preserve"> (</w:t>
      </w:r>
      <w:r w:rsidRPr="008124B5">
        <w:rPr>
          <w:rFonts w:ascii="Cambria" w:hAnsi="Cambria"/>
          <w:i/>
          <w:sz w:val="24"/>
          <w:szCs w:val="24"/>
        </w:rPr>
        <w:t>2013 11 14)</w:t>
      </w:r>
    </w:p>
    <w:p w:rsidR="005B2407" w:rsidRPr="005B2407" w:rsidRDefault="005B2407" w:rsidP="005B2407">
      <w:pPr>
        <w:pStyle w:val="PlainText"/>
        <w:spacing w:line="360" w:lineRule="auto"/>
        <w:jc w:val="both"/>
        <w:rPr>
          <w:rFonts w:ascii="Cambria" w:hAnsi="Cambria"/>
          <w:i/>
          <w:sz w:val="24"/>
          <w:szCs w:val="24"/>
        </w:rPr>
      </w:pPr>
    </w:p>
    <w:p w:rsidR="005B2407" w:rsidRPr="005B2407" w:rsidRDefault="005B2407" w:rsidP="005B2407">
      <w:pPr>
        <w:pStyle w:val="PlainText"/>
        <w:spacing w:line="360" w:lineRule="auto"/>
        <w:jc w:val="both"/>
        <w:rPr>
          <w:rFonts w:ascii="Cambria" w:hAnsi="Cambria"/>
          <w:i/>
          <w:sz w:val="24"/>
          <w:szCs w:val="24"/>
        </w:rPr>
      </w:pPr>
    </w:p>
    <w:sectPr w:rsidR="005B2407" w:rsidRPr="005B2407" w:rsidSect="005601FD">
      <w:footerReference w:type="default" r:id="rId17"/>
      <w:pgSz w:w="11906" w:h="16838"/>
      <w:pgMar w:top="900" w:right="567" w:bottom="1134" w:left="1701" w:header="567" w:footer="567" w:gutter="0"/>
      <w:pgNumType w:start="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E2D" w:rsidRDefault="005D1E2D" w:rsidP="005B2407">
      <w:pPr>
        <w:spacing w:after="0" w:line="240" w:lineRule="auto"/>
      </w:pPr>
      <w:r>
        <w:separator/>
      </w:r>
    </w:p>
  </w:endnote>
  <w:endnote w:type="continuationSeparator" w:id="0">
    <w:p w:rsidR="005D1E2D" w:rsidRDefault="005D1E2D" w:rsidP="005B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645577245"/>
      <w:docPartObj>
        <w:docPartGallery w:val="Page Numbers (Bottom of Page)"/>
        <w:docPartUnique/>
      </w:docPartObj>
    </w:sdtPr>
    <w:sdtEndPr>
      <w:rPr>
        <w:noProof/>
      </w:rPr>
    </w:sdtEndPr>
    <w:sdtContent>
      <w:p w:rsidR="005B2407" w:rsidRPr="005B2407" w:rsidRDefault="005B2407">
        <w:pPr>
          <w:pStyle w:val="Footer"/>
          <w:jc w:val="center"/>
          <w:rPr>
            <w:rFonts w:ascii="Times New Roman" w:hAnsi="Times New Roman" w:cs="Times New Roman"/>
            <w:sz w:val="24"/>
          </w:rPr>
        </w:pPr>
        <w:r w:rsidRPr="005B2407">
          <w:rPr>
            <w:rFonts w:ascii="Times New Roman" w:hAnsi="Times New Roman" w:cs="Times New Roman"/>
            <w:sz w:val="24"/>
          </w:rPr>
          <w:fldChar w:fldCharType="begin"/>
        </w:r>
        <w:r w:rsidRPr="005B2407">
          <w:rPr>
            <w:rFonts w:ascii="Times New Roman" w:hAnsi="Times New Roman" w:cs="Times New Roman"/>
            <w:sz w:val="24"/>
          </w:rPr>
          <w:instrText xml:space="preserve"> PAGE   \* MERGEFORMAT </w:instrText>
        </w:r>
        <w:r w:rsidRPr="005B2407">
          <w:rPr>
            <w:rFonts w:ascii="Times New Roman" w:hAnsi="Times New Roman" w:cs="Times New Roman"/>
            <w:sz w:val="24"/>
          </w:rPr>
          <w:fldChar w:fldCharType="separate"/>
        </w:r>
        <w:r w:rsidR="00413A5D">
          <w:rPr>
            <w:rFonts w:ascii="Times New Roman" w:hAnsi="Times New Roman" w:cs="Times New Roman"/>
            <w:noProof/>
            <w:sz w:val="24"/>
          </w:rPr>
          <w:t>16</w:t>
        </w:r>
        <w:r w:rsidRPr="005B2407">
          <w:rPr>
            <w:rFonts w:ascii="Times New Roman" w:hAnsi="Times New Roman" w:cs="Times New Roman"/>
            <w:noProof/>
            <w:sz w:val="24"/>
          </w:rPr>
          <w:fldChar w:fldCharType="end"/>
        </w:r>
      </w:p>
    </w:sdtContent>
  </w:sdt>
  <w:p w:rsidR="005B2407" w:rsidRDefault="005B2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E2D" w:rsidRDefault="005D1E2D" w:rsidP="005B2407">
      <w:pPr>
        <w:spacing w:after="0" w:line="240" w:lineRule="auto"/>
      </w:pPr>
      <w:r>
        <w:separator/>
      </w:r>
    </w:p>
  </w:footnote>
  <w:footnote w:type="continuationSeparator" w:id="0">
    <w:p w:rsidR="005D1E2D" w:rsidRDefault="005D1E2D" w:rsidP="005B2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1028B"/>
    <w:multiLevelType w:val="hybridMultilevel"/>
    <w:tmpl w:val="2362E4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B6C69BF"/>
    <w:multiLevelType w:val="hybridMultilevel"/>
    <w:tmpl w:val="842642D6"/>
    <w:lvl w:ilvl="0" w:tplc="DDF494D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73"/>
    <w:rsid w:val="00030C51"/>
    <w:rsid w:val="0003302F"/>
    <w:rsid w:val="00075CE9"/>
    <w:rsid w:val="00087882"/>
    <w:rsid w:val="00087BDA"/>
    <w:rsid w:val="000A4A39"/>
    <w:rsid w:val="000E6136"/>
    <w:rsid w:val="00100F91"/>
    <w:rsid w:val="00171DCC"/>
    <w:rsid w:val="00181AA4"/>
    <w:rsid w:val="0018261D"/>
    <w:rsid w:val="001C2B8A"/>
    <w:rsid w:val="002033CE"/>
    <w:rsid w:val="00210EBD"/>
    <w:rsid w:val="002210CA"/>
    <w:rsid w:val="00223BA8"/>
    <w:rsid w:val="00282926"/>
    <w:rsid w:val="002B51BB"/>
    <w:rsid w:val="002D6250"/>
    <w:rsid w:val="002E5BDE"/>
    <w:rsid w:val="00324D08"/>
    <w:rsid w:val="00363BF3"/>
    <w:rsid w:val="003B57FE"/>
    <w:rsid w:val="00410804"/>
    <w:rsid w:val="00413A5D"/>
    <w:rsid w:val="00421C99"/>
    <w:rsid w:val="004301AE"/>
    <w:rsid w:val="004535CE"/>
    <w:rsid w:val="00474133"/>
    <w:rsid w:val="00491D15"/>
    <w:rsid w:val="004F294C"/>
    <w:rsid w:val="0053391C"/>
    <w:rsid w:val="005601FD"/>
    <w:rsid w:val="00581341"/>
    <w:rsid w:val="005B2407"/>
    <w:rsid w:val="005C63E8"/>
    <w:rsid w:val="005D1E2D"/>
    <w:rsid w:val="006838A4"/>
    <w:rsid w:val="006F2691"/>
    <w:rsid w:val="007032A5"/>
    <w:rsid w:val="007339DF"/>
    <w:rsid w:val="00745451"/>
    <w:rsid w:val="00755B25"/>
    <w:rsid w:val="00774718"/>
    <w:rsid w:val="00783452"/>
    <w:rsid w:val="007C5706"/>
    <w:rsid w:val="007C7665"/>
    <w:rsid w:val="00803C2E"/>
    <w:rsid w:val="00805E7C"/>
    <w:rsid w:val="008124B5"/>
    <w:rsid w:val="00826F30"/>
    <w:rsid w:val="008311A6"/>
    <w:rsid w:val="00842E99"/>
    <w:rsid w:val="008900E6"/>
    <w:rsid w:val="008A6665"/>
    <w:rsid w:val="008B333D"/>
    <w:rsid w:val="00925295"/>
    <w:rsid w:val="009301F6"/>
    <w:rsid w:val="00956FE9"/>
    <w:rsid w:val="0099657A"/>
    <w:rsid w:val="00A07A60"/>
    <w:rsid w:val="00A604F2"/>
    <w:rsid w:val="00A6125A"/>
    <w:rsid w:val="00A70367"/>
    <w:rsid w:val="00AA3BDD"/>
    <w:rsid w:val="00AB3C69"/>
    <w:rsid w:val="00AD675A"/>
    <w:rsid w:val="00B00DEE"/>
    <w:rsid w:val="00B42906"/>
    <w:rsid w:val="00B9179E"/>
    <w:rsid w:val="00B95090"/>
    <w:rsid w:val="00BB44DF"/>
    <w:rsid w:val="00BE6BCF"/>
    <w:rsid w:val="00BF214A"/>
    <w:rsid w:val="00C0087F"/>
    <w:rsid w:val="00C03DB0"/>
    <w:rsid w:val="00C15AB6"/>
    <w:rsid w:val="00C47ED0"/>
    <w:rsid w:val="00C51A02"/>
    <w:rsid w:val="00C71A5A"/>
    <w:rsid w:val="00C97573"/>
    <w:rsid w:val="00CC4C98"/>
    <w:rsid w:val="00CE07A7"/>
    <w:rsid w:val="00CE78BE"/>
    <w:rsid w:val="00CF79F2"/>
    <w:rsid w:val="00D04866"/>
    <w:rsid w:val="00D32B75"/>
    <w:rsid w:val="00D34B59"/>
    <w:rsid w:val="00D411C6"/>
    <w:rsid w:val="00D91BB3"/>
    <w:rsid w:val="00DC6354"/>
    <w:rsid w:val="00E03699"/>
    <w:rsid w:val="00E03D2C"/>
    <w:rsid w:val="00E32CC5"/>
    <w:rsid w:val="00E37D92"/>
    <w:rsid w:val="00E37FF9"/>
    <w:rsid w:val="00E54D38"/>
    <w:rsid w:val="00E960CA"/>
    <w:rsid w:val="00F64948"/>
    <w:rsid w:val="00FC25D7"/>
    <w:rsid w:val="00FC6F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30626-B596-4CF4-BC17-94C3C5FD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757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97573"/>
    <w:rPr>
      <w:rFonts w:ascii="Calibri" w:hAnsi="Calibri"/>
      <w:szCs w:val="21"/>
    </w:rPr>
  </w:style>
  <w:style w:type="paragraph" w:styleId="BalloonText">
    <w:name w:val="Balloon Text"/>
    <w:basedOn w:val="Normal"/>
    <w:link w:val="BalloonTextChar"/>
    <w:uiPriority w:val="99"/>
    <w:semiHidden/>
    <w:unhideWhenUsed/>
    <w:rsid w:val="00683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8A4"/>
    <w:rPr>
      <w:rFonts w:ascii="Segoe UI" w:hAnsi="Segoe UI" w:cs="Segoe UI"/>
      <w:sz w:val="18"/>
      <w:szCs w:val="18"/>
    </w:rPr>
  </w:style>
  <w:style w:type="paragraph" w:styleId="Header">
    <w:name w:val="header"/>
    <w:basedOn w:val="Normal"/>
    <w:link w:val="HeaderChar"/>
    <w:uiPriority w:val="99"/>
    <w:unhideWhenUsed/>
    <w:rsid w:val="005B2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407"/>
  </w:style>
  <w:style w:type="paragraph" w:styleId="Footer">
    <w:name w:val="footer"/>
    <w:basedOn w:val="Normal"/>
    <w:link w:val="FooterChar"/>
    <w:uiPriority w:val="99"/>
    <w:unhideWhenUsed/>
    <w:rsid w:val="005B2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ius\Desktop\dalyk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drius\Desktop\Statistika%20AK%20tekstui\Eurostat_Table_tec00114FlagDesc_2985d448-fe75-47d1-a40b-1ba4bbd567f6.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drius\Desktop\ekonominiu%20vertinimu%20rodiklis.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drius\Desktop\nedarbo%20lygis.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drius\Desktop\jaunimo%20nedarbas.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drius\Desktop\emigracija%20vs%20imigracija.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ndrius\Desktop\vidutine%20alga.xls"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Realus</a:t>
            </a:r>
            <a:r>
              <a:rPr lang="en-US" baseline="0"/>
              <a:t> BVP indeksas (2007 m. = 100)</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tx>
            <c:strRef>
              <c:f>Sheet1!$A$2</c:f>
              <c:strCache>
                <c:ptCount val="1"/>
                <c:pt idx="0">
                  <c:v>Vokietija</c:v>
                </c:pt>
              </c:strCache>
            </c:strRef>
          </c:tx>
          <c:spPr>
            <a:ln w="22225" cap="rnd">
              <a:solidFill>
                <a:schemeClr val="bg2">
                  <a:lumMod val="75000"/>
                </a:schemeClr>
              </a:solidFill>
              <a:round/>
            </a:ln>
            <a:effectLst/>
          </c:spPr>
          <c:marker>
            <c:symbol val="triangle"/>
            <c:size val="7"/>
            <c:spPr>
              <a:solidFill>
                <a:schemeClr val="bg2">
                  <a:lumMod val="75000"/>
                </a:schemeClr>
              </a:solidFill>
              <a:ln w="9525">
                <a:noFill/>
              </a:ln>
              <a:effectLst/>
            </c:spPr>
          </c:marker>
          <c:cat>
            <c:numRef>
              <c:f>Sheet1!$B$1:$G$1</c:f>
              <c:numCache>
                <c:formatCode>General</c:formatCode>
                <c:ptCount val="6"/>
                <c:pt idx="0">
                  <c:v>2007</c:v>
                </c:pt>
                <c:pt idx="1">
                  <c:v>2008</c:v>
                </c:pt>
                <c:pt idx="2">
                  <c:v>2009</c:v>
                </c:pt>
                <c:pt idx="3">
                  <c:v>2010</c:v>
                </c:pt>
                <c:pt idx="4">
                  <c:v>2011</c:v>
                </c:pt>
                <c:pt idx="5">
                  <c:v>2012</c:v>
                </c:pt>
              </c:numCache>
            </c:numRef>
          </c:cat>
          <c:val>
            <c:numRef>
              <c:f>Sheet1!$B$2:$G$2</c:f>
              <c:numCache>
                <c:formatCode>General</c:formatCode>
                <c:ptCount val="6"/>
                <c:pt idx="0">
                  <c:v>100</c:v>
                </c:pt>
                <c:pt idx="1">
                  <c:v>101</c:v>
                </c:pt>
                <c:pt idx="2">
                  <c:v>96</c:v>
                </c:pt>
                <c:pt idx="3">
                  <c:v>100</c:v>
                </c:pt>
                <c:pt idx="4">
                  <c:v>103</c:v>
                </c:pt>
                <c:pt idx="5">
                  <c:v>104</c:v>
                </c:pt>
              </c:numCache>
            </c:numRef>
          </c:val>
          <c:smooth val="0"/>
        </c:ser>
        <c:ser>
          <c:idx val="1"/>
          <c:order val="1"/>
          <c:tx>
            <c:strRef>
              <c:f>Sheet1!$A$3</c:f>
              <c:strCache>
                <c:ptCount val="1"/>
                <c:pt idx="0">
                  <c:v>Lietuva</c:v>
                </c:pt>
              </c:strCache>
            </c:strRef>
          </c:tx>
          <c:spPr>
            <a:ln w="22225" cap="rnd">
              <a:solidFill>
                <a:srgbClr val="92D050"/>
              </a:solidFill>
              <a:round/>
            </a:ln>
            <a:effectLst/>
          </c:spPr>
          <c:marker>
            <c:symbol val="diamond"/>
            <c:size val="7"/>
            <c:spPr>
              <a:solidFill>
                <a:srgbClr val="92D050"/>
              </a:solidFill>
              <a:ln w="9525">
                <a:noFill/>
              </a:ln>
              <a:effectLst/>
            </c:spPr>
          </c:marker>
          <c:cat>
            <c:numRef>
              <c:f>Sheet1!$B$1:$G$1</c:f>
              <c:numCache>
                <c:formatCode>General</c:formatCode>
                <c:ptCount val="6"/>
                <c:pt idx="0">
                  <c:v>2007</c:v>
                </c:pt>
                <c:pt idx="1">
                  <c:v>2008</c:v>
                </c:pt>
                <c:pt idx="2">
                  <c:v>2009</c:v>
                </c:pt>
                <c:pt idx="3">
                  <c:v>2010</c:v>
                </c:pt>
                <c:pt idx="4">
                  <c:v>2011</c:v>
                </c:pt>
                <c:pt idx="5">
                  <c:v>2012</c:v>
                </c:pt>
              </c:numCache>
            </c:numRef>
          </c:cat>
          <c:val>
            <c:numRef>
              <c:f>Sheet1!$B$3:$G$3</c:f>
              <c:numCache>
                <c:formatCode>General</c:formatCode>
                <c:ptCount val="6"/>
                <c:pt idx="0">
                  <c:v>100</c:v>
                </c:pt>
                <c:pt idx="1">
                  <c:v>103</c:v>
                </c:pt>
                <c:pt idx="2">
                  <c:v>87</c:v>
                </c:pt>
                <c:pt idx="3">
                  <c:v>89</c:v>
                </c:pt>
                <c:pt idx="4">
                  <c:v>94</c:v>
                </c:pt>
                <c:pt idx="5">
                  <c:v>97</c:v>
                </c:pt>
              </c:numCache>
            </c:numRef>
          </c:val>
          <c:smooth val="0"/>
        </c:ser>
        <c:ser>
          <c:idx val="2"/>
          <c:order val="2"/>
          <c:tx>
            <c:strRef>
              <c:f>Sheet1!$A$4</c:f>
              <c:strCache>
                <c:ptCount val="1"/>
                <c:pt idx="0">
                  <c:v>Estija</c:v>
                </c:pt>
              </c:strCache>
            </c:strRef>
          </c:tx>
          <c:spPr>
            <a:ln w="22225" cap="rnd">
              <a:solidFill>
                <a:srgbClr val="00B0F0"/>
              </a:solidFill>
              <a:round/>
            </a:ln>
            <a:effectLst/>
          </c:spPr>
          <c:marker>
            <c:symbol val="square"/>
            <c:size val="7"/>
            <c:spPr>
              <a:solidFill>
                <a:srgbClr val="00B0F0"/>
              </a:solidFill>
              <a:ln w="9525">
                <a:noFill/>
              </a:ln>
              <a:effectLst/>
            </c:spPr>
          </c:marker>
          <c:cat>
            <c:numRef>
              <c:f>Sheet1!$B$1:$G$1</c:f>
              <c:numCache>
                <c:formatCode>General</c:formatCode>
                <c:ptCount val="6"/>
                <c:pt idx="0">
                  <c:v>2007</c:v>
                </c:pt>
                <c:pt idx="1">
                  <c:v>2008</c:v>
                </c:pt>
                <c:pt idx="2">
                  <c:v>2009</c:v>
                </c:pt>
                <c:pt idx="3">
                  <c:v>2010</c:v>
                </c:pt>
                <c:pt idx="4">
                  <c:v>2011</c:v>
                </c:pt>
                <c:pt idx="5">
                  <c:v>2012</c:v>
                </c:pt>
              </c:numCache>
            </c:numRef>
          </c:cat>
          <c:val>
            <c:numRef>
              <c:f>Sheet1!$B$4:$G$4</c:f>
              <c:numCache>
                <c:formatCode>General</c:formatCode>
                <c:ptCount val="6"/>
                <c:pt idx="0">
                  <c:v>100</c:v>
                </c:pt>
                <c:pt idx="1">
                  <c:v>96</c:v>
                </c:pt>
                <c:pt idx="2">
                  <c:v>83</c:v>
                </c:pt>
                <c:pt idx="3">
                  <c:v>84</c:v>
                </c:pt>
                <c:pt idx="4">
                  <c:v>93</c:v>
                </c:pt>
                <c:pt idx="5">
                  <c:v>96</c:v>
                </c:pt>
              </c:numCache>
            </c:numRef>
          </c:val>
          <c:smooth val="0"/>
        </c:ser>
        <c:ser>
          <c:idx val="3"/>
          <c:order val="3"/>
          <c:tx>
            <c:strRef>
              <c:f>Sheet1!$A$5</c:f>
              <c:strCache>
                <c:ptCount val="1"/>
                <c:pt idx="0">
                  <c:v>Latvija</c:v>
                </c:pt>
              </c:strCache>
            </c:strRef>
          </c:tx>
          <c:spPr>
            <a:ln w="22225" cap="rnd">
              <a:solidFill>
                <a:schemeClr val="accent1">
                  <a:lumMod val="60000"/>
                  <a:lumOff val="40000"/>
                </a:schemeClr>
              </a:solidFill>
              <a:round/>
            </a:ln>
            <a:effectLst/>
          </c:spPr>
          <c:marker>
            <c:symbol val="star"/>
            <c:size val="7"/>
            <c:spPr>
              <a:solidFill>
                <a:schemeClr val="accent1">
                  <a:lumMod val="20000"/>
                  <a:lumOff val="80000"/>
                </a:schemeClr>
              </a:solidFill>
              <a:ln w="9525">
                <a:solidFill>
                  <a:schemeClr val="tx1"/>
                </a:solidFill>
              </a:ln>
              <a:effectLst/>
            </c:spPr>
          </c:marker>
          <c:cat>
            <c:numRef>
              <c:f>Sheet1!$B$1:$G$1</c:f>
              <c:numCache>
                <c:formatCode>General</c:formatCode>
                <c:ptCount val="6"/>
                <c:pt idx="0">
                  <c:v>2007</c:v>
                </c:pt>
                <c:pt idx="1">
                  <c:v>2008</c:v>
                </c:pt>
                <c:pt idx="2">
                  <c:v>2009</c:v>
                </c:pt>
                <c:pt idx="3">
                  <c:v>2010</c:v>
                </c:pt>
                <c:pt idx="4">
                  <c:v>2011</c:v>
                </c:pt>
                <c:pt idx="5">
                  <c:v>2012</c:v>
                </c:pt>
              </c:numCache>
            </c:numRef>
          </c:cat>
          <c:val>
            <c:numRef>
              <c:f>Sheet1!$B$5:$G$5</c:f>
              <c:numCache>
                <c:formatCode>General</c:formatCode>
                <c:ptCount val="6"/>
                <c:pt idx="0">
                  <c:v>100</c:v>
                </c:pt>
                <c:pt idx="1">
                  <c:v>97</c:v>
                </c:pt>
                <c:pt idx="2">
                  <c:v>80</c:v>
                </c:pt>
                <c:pt idx="3">
                  <c:v>79</c:v>
                </c:pt>
                <c:pt idx="4">
                  <c:v>83</c:v>
                </c:pt>
                <c:pt idx="5">
                  <c:v>93</c:v>
                </c:pt>
              </c:numCache>
            </c:numRef>
          </c:val>
          <c:smooth val="0"/>
        </c:ser>
        <c:ser>
          <c:idx val="4"/>
          <c:order val="4"/>
          <c:tx>
            <c:strRef>
              <c:f>Sheet1!$A$6</c:f>
              <c:strCache>
                <c:ptCount val="1"/>
                <c:pt idx="0">
                  <c:v>Graikija</c:v>
                </c:pt>
              </c:strCache>
            </c:strRef>
          </c:tx>
          <c:spPr>
            <a:ln w="22225" cap="rnd">
              <a:solidFill>
                <a:srgbClr val="FF0000"/>
              </a:solidFill>
              <a:round/>
            </a:ln>
            <a:effectLst/>
          </c:spPr>
          <c:marker>
            <c:symbol val="circle"/>
            <c:size val="7"/>
            <c:spPr>
              <a:solidFill>
                <a:srgbClr val="FF0000"/>
              </a:solidFill>
              <a:ln w="9525">
                <a:noFill/>
              </a:ln>
              <a:effectLst/>
            </c:spPr>
          </c:marker>
          <c:cat>
            <c:numRef>
              <c:f>Sheet1!$B$1:$G$1</c:f>
              <c:numCache>
                <c:formatCode>General</c:formatCode>
                <c:ptCount val="6"/>
                <c:pt idx="0">
                  <c:v>2007</c:v>
                </c:pt>
                <c:pt idx="1">
                  <c:v>2008</c:v>
                </c:pt>
                <c:pt idx="2">
                  <c:v>2009</c:v>
                </c:pt>
                <c:pt idx="3">
                  <c:v>2010</c:v>
                </c:pt>
                <c:pt idx="4">
                  <c:v>2011</c:v>
                </c:pt>
                <c:pt idx="5">
                  <c:v>2012</c:v>
                </c:pt>
              </c:numCache>
            </c:numRef>
          </c:cat>
          <c:val>
            <c:numRef>
              <c:f>Sheet1!$B$6:$G$6</c:f>
              <c:numCache>
                <c:formatCode>General</c:formatCode>
                <c:ptCount val="6"/>
                <c:pt idx="0">
                  <c:v>100</c:v>
                </c:pt>
                <c:pt idx="1">
                  <c:v>100</c:v>
                </c:pt>
                <c:pt idx="2">
                  <c:v>97</c:v>
                </c:pt>
                <c:pt idx="3">
                  <c:v>92</c:v>
                </c:pt>
                <c:pt idx="4">
                  <c:v>85</c:v>
                </c:pt>
                <c:pt idx="5">
                  <c:v>80</c:v>
                </c:pt>
              </c:numCache>
            </c:numRef>
          </c:val>
          <c:smooth val="0"/>
        </c:ser>
        <c:dLbls>
          <c:showLegendKey val="0"/>
          <c:showVal val="0"/>
          <c:showCatName val="0"/>
          <c:showSerName val="0"/>
          <c:showPercent val="0"/>
          <c:showBubbleSize val="0"/>
        </c:dLbls>
        <c:marker val="1"/>
        <c:smooth val="0"/>
        <c:axId val="-1353780864"/>
        <c:axId val="-1353789024"/>
      </c:lineChart>
      <c:catAx>
        <c:axId val="-135378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53789024"/>
        <c:crosses val="autoZero"/>
        <c:auto val="1"/>
        <c:lblAlgn val="ctr"/>
        <c:lblOffset val="100"/>
        <c:noMultiLvlLbl val="0"/>
      </c:catAx>
      <c:valAx>
        <c:axId val="-1353789024"/>
        <c:scaling>
          <c:orientation val="minMax"/>
          <c:min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53780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lt-LT"/>
              <a:t>Kokią ES BVP vidurkio dalį pasiekė Baltijos valstybės</a:t>
            </a:r>
          </a:p>
        </c:rich>
      </c:tx>
      <c:layout>
        <c:manualLayout>
          <c:xMode val="edge"/>
          <c:yMode val="edge"/>
          <c:x val="0.21352077865266841"/>
          <c:y val="2.6560357011076535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tx>
            <c:strRef>
              <c:f>'[Eurostat_Table_tec00114FlagDesc_2985d448-fe75-47d1-a40b-1ba4bbd567f6.xls]Sheet0'!$O$4</c:f>
              <c:strCache>
                <c:ptCount val="1"/>
                <c:pt idx="0">
                  <c:v>Estija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'[Eurostat_Table_tec00114FlagDesc_2985d448-fe75-47d1-a40b-1ba4bbd567f6.xls]Sheet0'!$P$3:$U$3</c:f>
              <c:strCache>
                <c:ptCount val="6"/>
                <c:pt idx="0">
                  <c:v>2007</c:v>
                </c:pt>
                <c:pt idx="1">
                  <c:v>2008</c:v>
                </c:pt>
                <c:pt idx="2">
                  <c:v>2009</c:v>
                </c:pt>
                <c:pt idx="3">
                  <c:v>2010</c:v>
                </c:pt>
                <c:pt idx="4">
                  <c:v>2011</c:v>
                </c:pt>
                <c:pt idx="5">
                  <c:v>2012</c:v>
                </c:pt>
              </c:strCache>
            </c:strRef>
          </c:cat>
          <c:val>
            <c:numRef>
              <c:f>'[Eurostat_Table_tec00114FlagDesc_2985d448-fe75-47d1-a40b-1ba4bbd567f6.xls]Sheet0'!$P$4:$U$4</c:f>
              <c:numCache>
                <c:formatCode>General</c:formatCode>
                <c:ptCount val="6"/>
                <c:pt idx="0">
                  <c:v>70</c:v>
                </c:pt>
                <c:pt idx="1">
                  <c:v>69</c:v>
                </c:pt>
                <c:pt idx="2">
                  <c:v>64</c:v>
                </c:pt>
                <c:pt idx="3">
                  <c:v>64</c:v>
                </c:pt>
                <c:pt idx="4">
                  <c:v>69</c:v>
                </c:pt>
                <c:pt idx="5">
                  <c:v>71</c:v>
                </c:pt>
              </c:numCache>
            </c:numRef>
          </c:val>
          <c:smooth val="0"/>
        </c:ser>
        <c:ser>
          <c:idx val="1"/>
          <c:order val="1"/>
          <c:tx>
            <c:strRef>
              <c:f>'[Eurostat_Table_tec00114FlagDesc_2985d448-fe75-47d1-a40b-1ba4bbd567f6.xls]Sheet0'!$O$5</c:f>
              <c:strCache>
                <c:ptCount val="1"/>
                <c:pt idx="0">
                  <c:v>Latvija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'[Eurostat_Table_tec00114FlagDesc_2985d448-fe75-47d1-a40b-1ba4bbd567f6.xls]Sheet0'!$P$3:$U$3</c:f>
              <c:strCache>
                <c:ptCount val="6"/>
                <c:pt idx="0">
                  <c:v>2007</c:v>
                </c:pt>
                <c:pt idx="1">
                  <c:v>2008</c:v>
                </c:pt>
                <c:pt idx="2">
                  <c:v>2009</c:v>
                </c:pt>
                <c:pt idx="3">
                  <c:v>2010</c:v>
                </c:pt>
                <c:pt idx="4">
                  <c:v>2011</c:v>
                </c:pt>
                <c:pt idx="5">
                  <c:v>2012</c:v>
                </c:pt>
              </c:strCache>
            </c:strRef>
          </c:cat>
          <c:val>
            <c:numRef>
              <c:f>'[Eurostat_Table_tec00114FlagDesc_2985d448-fe75-47d1-a40b-1ba4bbd567f6.xls]Sheet0'!$P$5:$U$5</c:f>
              <c:numCache>
                <c:formatCode>General</c:formatCode>
                <c:ptCount val="6"/>
                <c:pt idx="0">
                  <c:v>57</c:v>
                </c:pt>
                <c:pt idx="1">
                  <c:v>59</c:v>
                </c:pt>
                <c:pt idx="2">
                  <c:v>54</c:v>
                </c:pt>
                <c:pt idx="3">
                  <c:v>55</c:v>
                </c:pt>
                <c:pt idx="4">
                  <c:v>60</c:v>
                </c:pt>
                <c:pt idx="5">
                  <c:v>64</c:v>
                </c:pt>
              </c:numCache>
            </c:numRef>
          </c:val>
          <c:smooth val="0"/>
        </c:ser>
        <c:ser>
          <c:idx val="2"/>
          <c:order val="2"/>
          <c:tx>
            <c:strRef>
              <c:f>'[Eurostat_Table_tec00114FlagDesc_2985d448-fe75-47d1-a40b-1ba4bbd567f6.xls]Sheet0'!$O$6</c:f>
              <c:strCache>
                <c:ptCount val="1"/>
                <c:pt idx="0">
                  <c:v>Lietuva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'[Eurostat_Table_tec00114FlagDesc_2985d448-fe75-47d1-a40b-1ba4bbd567f6.xls]Sheet0'!$P$3:$U$3</c:f>
              <c:strCache>
                <c:ptCount val="6"/>
                <c:pt idx="0">
                  <c:v>2007</c:v>
                </c:pt>
                <c:pt idx="1">
                  <c:v>2008</c:v>
                </c:pt>
                <c:pt idx="2">
                  <c:v>2009</c:v>
                </c:pt>
                <c:pt idx="3">
                  <c:v>2010</c:v>
                </c:pt>
                <c:pt idx="4">
                  <c:v>2011</c:v>
                </c:pt>
                <c:pt idx="5">
                  <c:v>2012</c:v>
                </c:pt>
              </c:strCache>
            </c:strRef>
          </c:cat>
          <c:val>
            <c:numRef>
              <c:f>'[Eurostat_Table_tec00114FlagDesc_2985d448-fe75-47d1-a40b-1ba4bbd567f6.xls]Sheet0'!$P$6:$U$6</c:f>
              <c:numCache>
                <c:formatCode>General</c:formatCode>
                <c:ptCount val="6"/>
                <c:pt idx="0">
                  <c:v>62</c:v>
                </c:pt>
                <c:pt idx="1">
                  <c:v>64</c:v>
                </c:pt>
                <c:pt idx="2">
                  <c:v>58</c:v>
                </c:pt>
                <c:pt idx="3">
                  <c:v>62</c:v>
                </c:pt>
                <c:pt idx="4">
                  <c:v>68</c:v>
                </c:pt>
                <c:pt idx="5">
                  <c:v>72</c:v>
                </c:pt>
              </c:numCache>
            </c:numRef>
          </c:val>
          <c:smooth val="0"/>
        </c:ser>
        <c:dLbls>
          <c:showLegendKey val="0"/>
          <c:showVal val="0"/>
          <c:showCatName val="0"/>
          <c:showSerName val="0"/>
          <c:showPercent val="0"/>
          <c:showBubbleSize val="0"/>
        </c:dLbls>
        <c:marker val="1"/>
        <c:smooth val="0"/>
        <c:axId val="-1353792832"/>
        <c:axId val="-1353787936"/>
      </c:lineChart>
      <c:catAx>
        <c:axId val="-1353792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1353787936"/>
        <c:crosses val="autoZero"/>
        <c:auto val="1"/>
        <c:lblAlgn val="ctr"/>
        <c:lblOffset val="100"/>
        <c:noMultiLvlLbl val="0"/>
      </c:catAx>
      <c:valAx>
        <c:axId val="-1353787936"/>
        <c:scaling>
          <c:orientation val="minMax"/>
          <c:min val="5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lt-LT"/>
                  <a:t>Pasiekta ES BVP vidurkio dais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5379283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Vartotojų pasitikėjimo rodiklis </a:t>
            </a:r>
            <a:r>
              <a:rPr lang="en-US"/>
              <a:t>2007-2014</a:t>
            </a:r>
            <a:r>
              <a:rPr lang="en-US" baseline="0"/>
              <a:t> m.</a:t>
            </a:r>
            <a:endParaRPr lang="lt-LT"/>
          </a:p>
        </c:rich>
      </c:tx>
      <c:layout>
        <c:manualLayout>
          <c:xMode val="edge"/>
          <c:yMode val="edge"/>
          <c:x val="0.23095032295065632"/>
          <c:y val="4.68854655056932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Sheet1!$A$1:$A$87</c:f>
              <c:strCache>
                <c:ptCount val="87"/>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pt idx="51">
                  <c:v>2011M04</c:v>
                </c:pt>
                <c:pt idx="52">
                  <c:v>2011M05</c:v>
                </c:pt>
                <c:pt idx="53">
                  <c:v>2011M06</c:v>
                </c:pt>
                <c:pt idx="54">
                  <c:v>2011M07</c:v>
                </c:pt>
                <c:pt idx="55">
                  <c:v>2011M08</c:v>
                </c:pt>
                <c:pt idx="56">
                  <c:v>2011M09</c:v>
                </c:pt>
                <c:pt idx="57">
                  <c:v>2011M10</c:v>
                </c:pt>
                <c:pt idx="58">
                  <c:v>2011M11</c:v>
                </c:pt>
                <c:pt idx="59">
                  <c:v>2011M12</c:v>
                </c:pt>
                <c:pt idx="60">
                  <c:v>2012M01</c:v>
                </c:pt>
                <c:pt idx="61">
                  <c:v>2012M02</c:v>
                </c:pt>
                <c:pt idx="62">
                  <c:v>2012M03</c:v>
                </c:pt>
                <c:pt idx="63">
                  <c:v>2012M04</c:v>
                </c:pt>
                <c:pt idx="64">
                  <c:v>2012M05</c:v>
                </c:pt>
                <c:pt idx="65">
                  <c:v>2012M06</c:v>
                </c:pt>
                <c:pt idx="66">
                  <c:v>2012M07</c:v>
                </c:pt>
                <c:pt idx="67">
                  <c:v>2012M08</c:v>
                </c:pt>
                <c:pt idx="68">
                  <c:v>2012M09</c:v>
                </c:pt>
                <c:pt idx="69">
                  <c:v>2012M10</c:v>
                </c:pt>
                <c:pt idx="70">
                  <c:v>2012M11</c:v>
                </c:pt>
                <c:pt idx="71">
                  <c:v>2012M12</c:v>
                </c:pt>
                <c:pt idx="72">
                  <c:v>2013M01</c:v>
                </c:pt>
                <c:pt idx="73">
                  <c:v>2013M02</c:v>
                </c:pt>
                <c:pt idx="74">
                  <c:v>2013M03</c:v>
                </c:pt>
                <c:pt idx="75">
                  <c:v>2013M04</c:v>
                </c:pt>
                <c:pt idx="76">
                  <c:v>2013M05</c:v>
                </c:pt>
                <c:pt idx="77">
                  <c:v>2013M06</c:v>
                </c:pt>
                <c:pt idx="78">
                  <c:v>2013M07</c:v>
                </c:pt>
                <c:pt idx="79">
                  <c:v>2013M08</c:v>
                </c:pt>
                <c:pt idx="80">
                  <c:v>2013M09</c:v>
                </c:pt>
                <c:pt idx="81">
                  <c:v>2013M10</c:v>
                </c:pt>
                <c:pt idx="82">
                  <c:v>2013M11</c:v>
                </c:pt>
                <c:pt idx="83">
                  <c:v>2013M12</c:v>
                </c:pt>
                <c:pt idx="84">
                  <c:v>2014M01</c:v>
                </c:pt>
                <c:pt idx="85">
                  <c:v>2014M02</c:v>
                </c:pt>
                <c:pt idx="86">
                  <c:v>2014M03</c:v>
                </c:pt>
              </c:strCache>
            </c:strRef>
          </c:cat>
          <c:val>
            <c:numRef>
              <c:f>Sheet1!$B$1:$B$87</c:f>
              <c:numCache>
                <c:formatCode>General</c:formatCode>
                <c:ptCount val="87"/>
                <c:pt idx="0">
                  <c:v>8</c:v>
                </c:pt>
                <c:pt idx="1">
                  <c:v>8</c:v>
                </c:pt>
                <c:pt idx="2">
                  <c:v>9</c:v>
                </c:pt>
                <c:pt idx="3">
                  <c:v>9</c:v>
                </c:pt>
                <c:pt idx="4">
                  <c:v>8</c:v>
                </c:pt>
                <c:pt idx="5">
                  <c:v>9</c:v>
                </c:pt>
                <c:pt idx="6">
                  <c:v>6</c:v>
                </c:pt>
                <c:pt idx="7">
                  <c:v>5</c:v>
                </c:pt>
                <c:pt idx="8">
                  <c:v>1</c:v>
                </c:pt>
                <c:pt idx="9">
                  <c:v>-4</c:v>
                </c:pt>
                <c:pt idx="10">
                  <c:v>-8</c:v>
                </c:pt>
                <c:pt idx="11">
                  <c:v>-6</c:v>
                </c:pt>
                <c:pt idx="12">
                  <c:v>-4</c:v>
                </c:pt>
                <c:pt idx="13">
                  <c:v>-4</c:v>
                </c:pt>
                <c:pt idx="14">
                  <c:v>-6</c:v>
                </c:pt>
                <c:pt idx="15">
                  <c:v>-10</c:v>
                </c:pt>
                <c:pt idx="16">
                  <c:v>-16</c:v>
                </c:pt>
                <c:pt idx="17">
                  <c:v>-21</c:v>
                </c:pt>
                <c:pt idx="18">
                  <c:v>-24</c:v>
                </c:pt>
                <c:pt idx="19">
                  <c:v>-27</c:v>
                </c:pt>
                <c:pt idx="20">
                  <c:v>-26</c:v>
                </c:pt>
                <c:pt idx="21">
                  <c:v>-35</c:v>
                </c:pt>
                <c:pt idx="22">
                  <c:v>-41</c:v>
                </c:pt>
                <c:pt idx="23">
                  <c:v>-51</c:v>
                </c:pt>
                <c:pt idx="24">
                  <c:v>-56</c:v>
                </c:pt>
                <c:pt idx="25">
                  <c:v>-51</c:v>
                </c:pt>
                <c:pt idx="26">
                  <c:v>-51</c:v>
                </c:pt>
                <c:pt idx="27">
                  <c:v>-50</c:v>
                </c:pt>
                <c:pt idx="28">
                  <c:v>-48</c:v>
                </c:pt>
                <c:pt idx="29">
                  <c:v>-42</c:v>
                </c:pt>
                <c:pt idx="30">
                  <c:v>-43</c:v>
                </c:pt>
                <c:pt idx="31">
                  <c:v>-47</c:v>
                </c:pt>
                <c:pt idx="32">
                  <c:v>-40</c:v>
                </c:pt>
                <c:pt idx="33">
                  <c:v>-47</c:v>
                </c:pt>
                <c:pt idx="34">
                  <c:v>-51</c:v>
                </c:pt>
                <c:pt idx="35">
                  <c:v>-50</c:v>
                </c:pt>
                <c:pt idx="36">
                  <c:v>-45</c:v>
                </c:pt>
                <c:pt idx="37">
                  <c:v>-40</c:v>
                </c:pt>
                <c:pt idx="38">
                  <c:v>-37</c:v>
                </c:pt>
                <c:pt idx="39">
                  <c:v>-37</c:v>
                </c:pt>
                <c:pt idx="40">
                  <c:v>-37</c:v>
                </c:pt>
                <c:pt idx="41">
                  <c:v>-35</c:v>
                </c:pt>
                <c:pt idx="42">
                  <c:v>-30</c:v>
                </c:pt>
                <c:pt idx="43">
                  <c:v>-25</c:v>
                </c:pt>
                <c:pt idx="44">
                  <c:v>-26</c:v>
                </c:pt>
                <c:pt idx="45">
                  <c:v>-26</c:v>
                </c:pt>
                <c:pt idx="46">
                  <c:v>-26</c:v>
                </c:pt>
                <c:pt idx="47">
                  <c:v>-26</c:v>
                </c:pt>
                <c:pt idx="48">
                  <c:v>-24</c:v>
                </c:pt>
                <c:pt idx="49">
                  <c:v>-24</c:v>
                </c:pt>
                <c:pt idx="50">
                  <c:v>-21</c:v>
                </c:pt>
                <c:pt idx="51">
                  <c:v>-18</c:v>
                </c:pt>
                <c:pt idx="52">
                  <c:v>-16</c:v>
                </c:pt>
                <c:pt idx="53">
                  <c:v>-16</c:v>
                </c:pt>
                <c:pt idx="54">
                  <c:v>-15</c:v>
                </c:pt>
                <c:pt idx="55">
                  <c:v>-17</c:v>
                </c:pt>
                <c:pt idx="56">
                  <c:v>-18</c:v>
                </c:pt>
                <c:pt idx="57">
                  <c:v>-23</c:v>
                </c:pt>
                <c:pt idx="58">
                  <c:v>-23</c:v>
                </c:pt>
                <c:pt idx="59">
                  <c:v>-30</c:v>
                </c:pt>
                <c:pt idx="60">
                  <c:v>-23</c:v>
                </c:pt>
                <c:pt idx="61">
                  <c:v>-23</c:v>
                </c:pt>
                <c:pt idx="62">
                  <c:v>-21</c:v>
                </c:pt>
                <c:pt idx="63">
                  <c:v>-21</c:v>
                </c:pt>
                <c:pt idx="64">
                  <c:v>-19</c:v>
                </c:pt>
                <c:pt idx="65">
                  <c:v>-15</c:v>
                </c:pt>
                <c:pt idx="66">
                  <c:v>-18</c:v>
                </c:pt>
                <c:pt idx="67">
                  <c:v>-17</c:v>
                </c:pt>
                <c:pt idx="68">
                  <c:v>-20</c:v>
                </c:pt>
                <c:pt idx="69">
                  <c:v>-19</c:v>
                </c:pt>
                <c:pt idx="70">
                  <c:v>-15</c:v>
                </c:pt>
                <c:pt idx="71">
                  <c:v>-16</c:v>
                </c:pt>
                <c:pt idx="72">
                  <c:v>-15</c:v>
                </c:pt>
                <c:pt idx="73">
                  <c:v>-14</c:v>
                </c:pt>
                <c:pt idx="74">
                  <c:v>-10</c:v>
                </c:pt>
                <c:pt idx="75">
                  <c:v>-11</c:v>
                </c:pt>
                <c:pt idx="76">
                  <c:v>-9</c:v>
                </c:pt>
                <c:pt idx="77">
                  <c:v>-8</c:v>
                </c:pt>
                <c:pt idx="78">
                  <c:v>-9</c:v>
                </c:pt>
                <c:pt idx="79">
                  <c:v>-7</c:v>
                </c:pt>
                <c:pt idx="80">
                  <c:v>-9</c:v>
                </c:pt>
                <c:pt idx="81">
                  <c:v>-11</c:v>
                </c:pt>
                <c:pt idx="82">
                  <c:v>-12</c:v>
                </c:pt>
                <c:pt idx="83">
                  <c:v>-9</c:v>
                </c:pt>
                <c:pt idx="84">
                  <c:v>-9</c:v>
                </c:pt>
                <c:pt idx="85">
                  <c:v>-10</c:v>
                </c:pt>
                <c:pt idx="86">
                  <c:v>-11</c:v>
                </c:pt>
              </c:numCache>
            </c:numRef>
          </c:val>
          <c:smooth val="0"/>
        </c:ser>
        <c:dLbls>
          <c:showLegendKey val="0"/>
          <c:showVal val="0"/>
          <c:showCatName val="0"/>
          <c:showSerName val="0"/>
          <c:showPercent val="0"/>
          <c:showBubbleSize val="0"/>
        </c:dLbls>
        <c:smooth val="0"/>
        <c:axId val="-1353786304"/>
        <c:axId val="-1353787392"/>
      </c:lineChart>
      <c:catAx>
        <c:axId val="-1353786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53787392"/>
        <c:crosses val="autoZero"/>
        <c:auto val="1"/>
        <c:lblAlgn val="ctr"/>
        <c:lblOffset val="100"/>
        <c:noMultiLvlLbl val="0"/>
      </c:catAx>
      <c:valAx>
        <c:axId val="-1353787392"/>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53786304"/>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Ekonominių vertinimų rodiklis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spPr>
            <a:ln w="28575" cap="rnd">
              <a:solidFill>
                <a:schemeClr val="accent1"/>
              </a:solidFill>
              <a:round/>
            </a:ln>
            <a:effectLst/>
          </c:spPr>
          <c:marker>
            <c:symbol val="none"/>
          </c:marker>
          <c:cat>
            <c:strRef>
              <c:f>'[ekonominiu vertinimu rodiklis.xls]Report'!$B$1:$B$87</c:f>
              <c:strCache>
                <c:ptCount val="87"/>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pt idx="51">
                  <c:v>2011M04</c:v>
                </c:pt>
                <c:pt idx="52">
                  <c:v>2011M05</c:v>
                </c:pt>
                <c:pt idx="53">
                  <c:v>2011M06</c:v>
                </c:pt>
                <c:pt idx="54">
                  <c:v>2011M07</c:v>
                </c:pt>
                <c:pt idx="55">
                  <c:v>2011M08</c:v>
                </c:pt>
                <c:pt idx="56">
                  <c:v>2011M09</c:v>
                </c:pt>
                <c:pt idx="57">
                  <c:v>2011M10</c:v>
                </c:pt>
                <c:pt idx="58">
                  <c:v>2011M11</c:v>
                </c:pt>
                <c:pt idx="59">
                  <c:v>2011M12</c:v>
                </c:pt>
                <c:pt idx="60">
                  <c:v>2012M01</c:v>
                </c:pt>
                <c:pt idx="61">
                  <c:v>2012M02</c:v>
                </c:pt>
                <c:pt idx="62">
                  <c:v>2012M03</c:v>
                </c:pt>
                <c:pt idx="63">
                  <c:v>2012M04</c:v>
                </c:pt>
                <c:pt idx="64">
                  <c:v>2012M05</c:v>
                </c:pt>
                <c:pt idx="65">
                  <c:v>2012M06</c:v>
                </c:pt>
                <c:pt idx="66">
                  <c:v>2012M07</c:v>
                </c:pt>
                <c:pt idx="67">
                  <c:v>2012M08</c:v>
                </c:pt>
                <c:pt idx="68">
                  <c:v>2012M09</c:v>
                </c:pt>
                <c:pt idx="69">
                  <c:v>2012M10</c:v>
                </c:pt>
                <c:pt idx="70">
                  <c:v>2012M11</c:v>
                </c:pt>
                <c:pt idx="71">
                  <c:v>2012M12</c:v>
                </c:pt>
                <c:pt idx="72">
                  <c:v>2013M01</c:v>
                </c:pt>
                <c:pt idx="73">
                  <c:v>2013M02</c:v>
                </c:pt>
                <c:pt idx="74">
                  <c:v>2013M03</c:v>
                </c:pt>
                <c:pt idx="75">
                  <c:v>2013M04</c:v>
                </c:pt>
                <c:pt idx="76">
                  <c:v>2013M05</c:v>
                </c:pt>
                <c:pt idx="77">
                  <c:v>2013M06</c:v>
                </c:pt>
                <c:pt idx="78">
                  <c:v>2013M07</c:v>
                </c:pt>
                <c:pt idx="79">
                  <c:v>2013M08</c:v>
                </c:pt>
                <c:pt idx="80">
                  <c:v>2013M09</c:v>
                </c:pt>
                <c:pt idx="81">
                  <c:v>2013M10</c:v>
                </c:pt>
                <c:pt idx="82">
                  <c:v>2013M11</c:v>
                </c:pt>
                <c:pt idx="83">
                  <c:v>2013M12</c:v>
                </c:pt>
                <c:pt idx="84">
                  <c:v>2014M01</c:v>
                </c:pt>
                <c:pt idx="85">
                  <c:v>2014M02</c:v>
                </c:pt>
                <c:pt idx="86">
                  <c:v>2014M03</c:v>
                </c:pt>
              </c:strCache>
            </c:strRef>
          </c:cat>
          <c:val>
            <c:numRef>
              <c:f>'[ekonominiu vertinimu rodiklis.xls]Report'!$C$1:$C$87</c:f>
              <c:numCache>
                <c:formatCode>General</c:formatCode>
                <c:ptCount val="87"/>
                <c:pt idx="0">
                  <c:v>11</c:v>
                </c:pt>
                <c:pt idx="1">
                  <c:v>16</c:v>
                </c:pt>
                <c:pt idx="2">
                  <c:v>19</c:v>
                </c:pt>
                <c:pt idx="3">
                  <c:v>22</c:v>
                </c:pt>
                <c:pt idx="4">
                  <c:v>19</c:v>
                </c:pt>
                <c:pt idx="5">
                  <c:v>19</c:v>
                </c:pt>
                <c:pt idx="6">
                  <c:v>18</c:v>
                </c:pt>
                <c:pt idx="7">
                  <c:v>16</c:v>
                </c:pt>
                <c:pt idx="8">
                  <c:v>16</c:v>
                </c:pt>
                <c:pt idx="9">
                  <c:v>9</c:v>
                </c:pt>
                <c:pt idx="10">
                  <c:v>13</c:v>
                </c:pt>
                <c:pt idx="11">
                  <c:v>6</c:v>
                </c:pt>
                <c:pt idx="12">
                  <c:v>8</c:v>
                </c:pt>
                <c:pt idx="13">
                  <c:v>9</c:v>
                </c:pt>
                <c:pt idx="14">
                  <c:v>10</c:v>
                </c:pt>
                <c:pt idx="15">
                  <c:v>6</c:v>
                </c:pt>
                <c:pt idx="16">
                  <c:v>6</c:v>
                </c:pt>
                <c:pt idx="17">
                  <c:v>1</c:v>
                </c:pt>
                <c:pt idx="18">
                  <c:v>-3</c:v>
                </c:pt>
                <c:pt idx="19">
                  <c:v>-4</c:v>
                </c:pt>
                <c:pt idx="20">
                  <c:v>-5</c:v>
                </c:pt>
                <c:pt idx="21">
                  <c:v>-12</c:v>
                </c:pt>
                <c:pt idx="22">
                  <c:v>-22</c:v>
                </c:pt>
                <c:pt idx="23">
                  <c:v>-36</c:v>
                </c:pt>
                <c:pt idx="24">
                  <c:v>-37</c:v>
                </c:pt>
                <c:pt idx="25">
                  <c:v>-37</c:v>
                </c:pt>
                <c:pt idx="26">
                  <c:v>-38</c:v>
                </c:pt>
                <c:pt idx="27">
                  <c:v>-39</c:v>
                </c:pt>
                <c:pt idx="28">
                  <c:v>-36</c:v>
                </c:pt>
                <c:pt idx="29">
                  <c:v>-33</c:v>
                </c:pt>
                <c:pt idx="30">
                  <c:v>-31</c:v>
                </c:pt>
                <c:pt idx="31">
                  <c:v>-31</c:v>
                </c:pt>
                <c:pt idx="32">
                  <c:v>-29</c:v>
                </c:pt>
                <c:pt idx="33">
                  <c:v>-30</c:v>
                </c:pt>
                <c:pt idx="34">
                  <c:v>-31</c:v>
                </c:pt>
                <c:pt idx="35">
                  <c:v>-33</c:v>
                </c:pt>
                <c:pt idx="36">
                  <c:v>-23</c:v>
                </c:pt>
                <c:pt idx="37">
                  <c:v>-21</c:v>
                </c:pt>
                <c:pt idx="38">
                  <c:v>-16</c:v>
                </c:pt>
                <c:pt idx="39">
                  <c:v>-14</c:v>
                </c:pt>
                <c:pt idx="40">
                  <c:v>-12</c:v>
                </c:pt>
                <c:pt idx="41">
                  <c:v>-12</c:v>
                </c:pt>
                <c:pt idx="42">
                  <c:v>-11</c:v>
                </c:pt>
                <c:pt idx="43">
                  <c:v>-8</c:v>
                </c:pt>
                <c:pt idx="44">
                  <c:v>-7</c:v>
                </c:pt>
                <c:pt idx="45">
                  <c:v>-6</c:v>
                </c:pt>
                <c:pt idx="46">
                  <c:v>-7</c:v>
                </c:pt>
                <c:pt idx="47">
                  <c:v>-9</c:v>
                </c:pt>
                <c:pt idx="48">
                  <c:v>-8</c:v>
                </c:pt>
                <c:pt idx="49">
                  <c:v>-5</c:v>
                </c:pt>
                <c:pt idx="50">
                  <c:v>1</c:v>
                </c:pt>
                <c:pt idx="51">
                  <c:v>3</c:v>
                </c:pt>
                <c:pt idx="52">
                  <c:v>5</c:v>
                </c:pt>
                <c:pt idx="53">
                  <c:v>7</c:v>
                </c:pt>
                <c:pt idx="54">
                  <c:v>7</c:v>
                </c:pt>
                <c:pt idx="55">
                  <c:v>3</c:v>
                </c:pt>
                <c:pt idx="56">
                  <c:v>-3</c:v>
                </c:pt>
                <c:pt idx="57">
                  <c:v>-7</c:v>
                </c:pt>
                <c:pt idx="58">
                  <c:v>-8</c:v>
                </c:pt>
                <c:pt idx="59">
                  <c:v>-11</c:v>
                </c:pt>
                <c:pt idx="60">
                  <c:v>-9</c:v>
                </c:pt>
                <c:pt idx="61">
                  <c:v>-6</c:v>
                </c:pt>
                <c:pt idx="62">
                  <c:v>-4</c:v>
                </c:pt>
                <c:pt idx="63">
                  <c:v>-2</c:v>
                </c:pt>
                <c:pt idx="64">
                  <c:v>-1</c:v>
                </c:pt>
                <c:pt idx="65">
                  <c:v>0</c:v>
                </c:pt>
                <c:pt idx="66">
                  <c:v>-2</c:v>
                </c:pt>
                <c:pt idx="67">
                  <c:v>-4</c:v>
                </c:pt>
                <c:pt idx="68">
                  <c:v>-2</c:v>
                </c:pt>
                <c:pt idx="69">
                  <c:v>-4</c:v>
                </c:pt>
                <c:pt idx="70">
                  <c:v>-6</c:v>
                </c:pt>
                <c:pt idx="71">
                  <c:v>-7</c:v>
                </c:pt>
                <c:pt idx="72">
                  <c:v>-5</c:v>
                </c:pt>
                <c:pt idx="73">
                  <c:v>-2</c:v>
                </c:pt>
                <c:pt idx="74">
                  <c:v>2</c:v>
                </c:pt>
                <c:pt idx="75">
                  <c:v>4</c:v>
                </c:pt>
                <c:pt idx="76">
                  <c:v>3</c:v>
                </c:pt>
                <c:pt idx="77">
                  <c:v>6</c:v>
                </c:pt>
                <c:pt idx="78">
                  <c:v>2</c:v>
                </c:pt>
                <c:pt idx="79">
                  <c:v>6</c:v>
                </c:pt>
                <c:pt idx="80">
                  <c:v>2</c:v>
                </c:pt>
                <c:pt idx="81">
                  <c:v>-3</c:v>
                </c:pt>
                <c:pt idx="82">
                  <c:v>-6</c:v>
                </c:pt>
                <c:pt idx="83">
                  <c:v>-7</c:v>
                </c:pt>
                <c:pt idx="84">
                  <c:v>-2</c:v>
                </c:pt>
                <c:pt idx="85">
                  <c:v>0</c:v>
                </c:pt>
                <c:pt idx="86">
                  <c:v>3</c:v>
                </c:pt>
              </c:numCache>
            </c:numRef>
          </c:val>
          <c:smooth val="0"/>
          <c:extLst>
            <c:ext xmlns:c15="http://schemas.microsoft.com/office/drawing/2012/chart" uri="{02D57815-91ED-43cb-92C2-25804820EDAC}">
              <c15:filteredSeriesTitle>
                <c15:tx>
                  <c:strRef>
                    <c:extLst>
                      <c:ext uri="{02D57815-91ED-43cb-92C2-25804820EDAC}">
                        <c15:formulaRef>
                          <c15:sqref>Report!#REF!</c15:sqref>
                        </c15:formulaRef>
                      </c:ext>
                    </c:extLst>
                    <c:strCache>
                      <c:ptCount val="1"/>
                      <c:pt idx="0">
                        <c:v>#REF!</c:v>
                      </c:pt>
                    </c:strCache>
                  </c:strRef>
                </c15:tx>
              </c15:filteredSeriesTitle>
            </c:ext>
          </c:extLst>
        </c:ser>
        <c:dLbls>
          <c:showLegendKey val="0"/>
          <c:showVal val="0"/>
          <c:showCatName val="0"/>
          <c:showSerName val="0"/>
          <c:showPercent val="0"/>
          <c:showBubbleSize val="0"/>
        </c:dLbls>
        <c:smooth val="0"/>
        <c:axId val="-1433043456"/>
        <c:axId val="-1433047808"/>
      </c:lineChart>
      <c:catAx>
        <c:axId val="-143304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3047808"/>
        <c:crosses val="autoZero"/>
        <c:auto val="1"/>
        <c:lblAlgn val="ctr"/>
        <c:lblOffset val="100"/>
        <c:noMultiLvlLbl val="0"/>
      </c:catAx>
      <c:valAx>
        <c:axId val="-1433047808"/>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3043456"/>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Nedarbo lygis, pašalinus sezono įtaką | proc.</a:t>
            </a:r>
            <a:r>
              <a:rPr lang="lt-LT" sz="1400" b="0" i="0" u="none" strike="noStrike" baseline="0"/>
              <a:t> </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spPr>
            <a:ln w="28575" cap="rnd">
              <a:solidFill>
                <a:schemeClr val="accent1"/>
              </a:solidFill>
              <a:round/>
            </a:ln>
            <a:effectLst/>
          </c:spPr>
          <c:marker>
            <c:symbol val="none"/>
          </c:marker>
          <c:cat>
            <c:strRef>
              <c:f>'[nedarbo lygis.xls]Report'!$B$1:$B$86</c:f>
              <c:strCache>
                <c:ptCount val="86"/>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pt idx="51">
                  <c:v>2011M04</c:v>
                </c:pt>
                <c:pt idx="52">
                  <c:v>2011M05</c:v>
                </c:pt>
                <c:pt idx="53">
                  <c:v>2011M06</c:v>
                </c:pt>
                <c:pt idx="54">
                  <c:v>2011M07</c:v>
                </c:pt>
                <c:pt idx="55">
                  <c:v>2011M08</c:v>
                </c:pt>
                <c:pt idx="56">
                  <c:v>2011M09</c:v>
                </c:pt>
                <c:pt idx="57">
                  <c:v>2011M10</c:v>
                </c:pt>
                <c:pt idx="58">
                  <c:v>2011M11</c:v>
                </c:pt>
                <c:pt idx="59">
                  <c:v>2011M12</c:v>
                </c:pt>
                <c:pt idx="60">
                  <c:v>2012M01</c:v>
                </c:pt>
                <c:pt idx="61">
                  <c:v>2012M02</c:v>
                </c:pt>
                <c:pt idx="62">
                  <c:v>2012M03</c:v>
                </c:pt>
                <c:pt idx="63">
                  <c:v>2012M04</c:v>
                </c:pt>
                <c:pt idx="64">
                  <c:v>2012M05</c:v>
                </c:pt>
                <c:pt idx="65">
                  <c:v>2012M06</c:v>
                </c:pt>
                <c:pt idx="66">
                  <c:v>2012M07</c:v>
                </c:pt>
                <c:pt idx="67">
                  <c:v>2012M08</c:v>
                </c:pt>
                <c:pt idx="68">
                  <c:v>2012M09</c:v>
                </c:pt>
                <c:pt idx="69">
                  <c:v>2012M10</c:v>
                </c:pt>
                <c:pt idx="70">
                  <c:v>2012M11</c:v>
                </c:pt>
                <c:pt idx="71">
                  <c:v>2012M12</c:v>
                </c:pt>
                <c:pt idx="72">
                  <c:v>2013M01</c:v>
                </c:pt>
                <c:pt idx="73">
                  <c:v>2013M02</c:v>
                </c:pt>
                <c:pt idx="74">
                  <c:v>2013M03</c:v>
                </c:pt>
                <c:pt idx="75">
                  <c:v>2013M04</c:v>
                </c:pt>
                <c:pt idx="76">
                  <c:v>2013M05</c:v>
                </c:pt>
                <c:pt idx="77">
                  <c:v>2013M06</c:v>
                </c:pt>
                <c:pt idx="78">
                  <c:v>2013M07</c:v>
                </c:pt>
                <c:pt idx="79">
                  <c:v>2013M08</c:v>
                </c:pt>
                <c:pt idx="80">
                  <c:v>2013M09</c:v>
                </c:pt>
                <c:pt idx="81">
                  <c:v>2013M10</c:v>
                </c:pt>
                <c:pt idx="82">
                  <c:v>2013M11</c:v>
                </c:pt>
                <c:pt idx="83">
                  <c:v>2013M12</c:v>
                </c:pt>
                <c:pt idx="84">
                  <c:v>2014M01</c:v>
                </c:pt>
                <c:pt idx="85">
                  <c:v>2014M02</c:v>
                </c:pt>
              </c:strCache>
            </c:strRef>
          </c:cat>
          <c:val>
            <c:numRef>
              <c:f>'[nedarbo lygis.xls]Report'!$C$1:$C$86</c:f>
              <c:numCache>
                <c:formatCode>General</c:formatCode>
                <c:ptCount val="86"/>
                <c:pt idx="0">
                  <c:v>4.5999999999999996</c:v>
                </c:pt>
                <c:pt idx="1">
                  <c:v>4.2</c:v>
                </c:pt>
                <c:pt idx="2">
                  <c:v>4.0999999999999996</c:v>
                </c:pt>
                <c:pt idx="3">
                  <c:v>4.3</c:v>
                </c:pt>
                <c:pt idx="4">
                  <c:v>4.4000000000000004</c:v>
                </c:pt>
                <c:pt idx="5">
                  <c:v>4.4000000000000004</c:v>
                </c:pt>
                <c:pt idx="6">
                  <c:v>4.3</c:v>
                </c:pt>
                <c:pt idx="7">
                  <c:v>4.2</c:v>
                </c:pt>
                <c:pt idx="8">
                  <c:v>4.2</c:v>
                </c:pt>
                <c:pt idx="9">
                  <c:v>4.0999999999999996</c:v>
                </c:pt>
                <c:pt idx="10">
                  <c:v>4.0999999999999996</c:v>
                </c:pt>
                <c:pt idx="11">
                  <c:v>4.2</c:v>
                </c:pt>
                <c:pt idx="12">
                  <c:v>4.2</c:v>
                </c:pt>
                <c:pt idx="13">
                  <c:v>4.2</c:v>
                </c:pt>
                <c:pt idx="14">
                  <c:v>4.0999999999999996</c:v>
                </c:pt>
                <c:pt idx="15">
                  <c:v>4.0999999999999996</c:v>
                </c:pt>
                <c:pt idx="16">
                  <c:v>4.3</c:v>
                </c:pt>
                <c:pt idx="17">
                  <c:v>4.8</c:v>
                </c:pt>
                <c:pt idx="18">
                  <c:v>5.6</c:v>
                </c:pt>
                <c:pt idx="19">
                  <c:v>6.3</c:v>
                </c:pt>
                <c:pt idx="20">
                  <c:v>7</c:v>
                </c:pt>
                <c:pt idx="21">
                  <c:v>7.7</c:v>
                </c:pt>
                <c:pt idx="22">
                  <c:v>8.4</c:v>
                </c:pt>
                <c:pt idx="23">
                  <c:v>9.1</c:v>
                </c:pt>
                <c:pt idx="24">
                  <c:v>9.8000000000000007</c:v>
                </c:pt>
                <c:pt idx="25">
                  <c:v>10.6</c:v>
                </c:pt>
                <c:pt idx="26">
                  <c:v>11.6</c:v>
                </c:pt>
                <c:pt idx="27">
                  <c:v>12.6</c:v>
                </c:pt>
                <c:pt idx="28">
                  <c:v>13.4</c:v>
                </c:pt>
                <c:pt idx="29">
                  <c:v>14.1</c:v>
                </c:pt>
                <c:pt idx="30">
                  <c:v>14.5</c:v>
                </c:pt>
                <c:pt idx="31">
                  <c:v>15</c:v>
                </c:pt>
                <c:pt idx="32">
                  <c:v>15.4</c:v>
                </c:pt>
                <c:pt idx="33">
                  <c:v>15.9</c:v>
                </c:pt>
                <c:pt idx="34">
                  <c:v>16.3</c:v>
                </c:pt>
                <c:pt idx="35">
                  <c:v>16.600000000000001</c:v>
                </c:pt>
                <c:pt idx="36">
                  <c:v>16.600000000000001</c:v>
                </c:pt>
                <c:pt idx="37">
                  <c:v>17.399999999999999</c:v>
                </c:pt>
                <c:pt idx="38">
                  <c:v>17.7</c:v>
                </c:pt>
                <c:pt idx="39">
                  <c:v>18.100000000000001</c:v>
                </c:pt>
                <c:pt idx="40">
                  <c:v>18.3</c:v>
                </c:pt>
                <c:pt idx="41">
                  <c:v>18.399999999999999</c:v>
                </c:pt>
                <c:pt idx="42">
                  <c:v>18.3</c:v>
                </c:pt>
                <c:pt idx="43">
                  <c:v>18.2</c:v>
                </c:pt>
                <c:pt idx="44">
                  <c:v>18</c:v>
                </c:pt>
                <c:pt idx="45">
                  <c:v>17.899999999999999</c:v>
                </c:pt>
                <c:pt idx="46">
                  <c:v>17.7</c:v>
                </c:pt>
                <c:pt idx="47">
                  <c:v>17.399999999999999</c:v>
                </c:pt>
                <c:pt idx="48">
                  <c:v>17.100000000000001</c:v>
                </c:pt>
                <c:pt idx="49">
                  <c:v>16.8</c:v>
                </c:pt>
                <c:pt idx="50">
                  <c:v>16.5</c:v>
                </c:pt>
                <c:pt idx="51">
                  <c:v>16.100000000000001</c:v>
                </c:pt>
                <c:pt idx="52">
                  <c:v>15.9</c:v>
                </c:pt>
                <c:pt idx="53">
                  <c:v>15.7</c:v>
                </c:pt>
                <c:pt idx="54">
                  <c:v>15.6</c:v>
                </c:pt>
                <c:pt idx="55">
                  <c:v>15.3</c:v>
                </c:pt>
                <c:pt idx="56">
                  <c:v>14.7</c:v>
                </c:pt>
                <c:pt idx="57">
                  <c:v>14.1</c:v>
                </c:pt>
                <c:pt idx="58">
                  <c:v>13.6</c:v>
                </c:pt>
                <c:pt idx="59">
                  <c:v>13.5</c:v>
                </c:pt>
                <c:pt idx="60">
                  <c:v>13.6</c:v>
                </c:pt>
                <c:pt idx="61">
                  <c:v>13.7</c:v>
                </c:pt>
                <c:pt idx="62">
                  <c:v>13.8</c:v>
                </c:pt>
                <c:pt idx="63">
                  <c:v>13.8</c:v>
                </c:pt>
                <c:pt idx="64">
                  <c:v>13.7</c:v>
                </c:pt>
                <c:pt idx="65">
                  <c:v>13.6</c:v>
                </c:pt>
                <c:pt idx="66">
                  <c:v>13.3</c:v>
                </c:pt>
                <c:pt idx="67">
                  <c:v>13.1</c:v>
                </c:pt>
                <c:pt idx="68">
                  <c:v>13.1</c:v>
                </c:pt>
                <c:pt idx="69">
                  <c:v>13</c:v>
                </c:pt>
                <c:pt idx="70">
                  <c:v>13</c:v>
                </c:pt>
                <c:pt idx="71">
                  <c:v>13</c:v>
                </c:pt>
                <c:pt idx="72">
                  <c:v>12.8</c:v>
                </c:pt>
                <c:pt idx="73">
                  <c:v>12.6</c:v>
                </c:pt>
                <c:pt idx="74">
                  <c:v>12.4</c:v>
                </c:pt>
                <c:pt idx="75">
                  <c:v>12.3</c:v>
                </c:pt>
                <c:pt idx="76">
                  <c:v>12.1</c:v>
                </c:pt>
                <c:pt idx="77">
                  <c:v>11.9</c:v>
                </c:pt>
                <c:pt idx="78">
                  <c:v>11.8</c:v>
                </c:pt>
                <c:pt idx="79">
                  <c:v>11.6</c:v>
                </c:pt>
                <c:pt idx="80">
                  <c:v>11.2</c:v>
                </c:pt>
                <c:pt idx="81">
                  <c:v>11.1</c:v>
                </c:pt>
                <c:pt idx="82">
                  <c:v>10.9</c:v>
                </c:pt>
                <c:pt idx="83">
                  <c:v>10.9</c:v>
                </c:pt>
                <c:pt idx="84">
                  <c:v>11.3</c:v>
                </c:pt>
                <c:pt idx="85">
                  <c:v>11.5</c:v>
                </c:pt>
              </c:numCache>
            </c:numRef>
          </c:val>
          <c:smooth val="0"/>
        </c:ser>
        <c:dLbls>
          <c:showLegendKey val="0"/>
          <c:showVal val="0"/>
          <c:showCatName val="0"/>
          <c:showSerName val="0"/>
          <c:showPercent val="0"/>
          <c:showBubbleSize val="0"/>
        </c:dLbls>
        <c:smooth val="0"/>
        <c:axId val="-1433042912"/>
        <c:axId val="-1433048352"/>
      </c:lineChart>
      <c:catAx>
        <c:axId val="-143304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3048352"/>
        <c:crosses val="autoZero"/>
        <c:auto val="1"/>
        <c:lblAlgn val="ctr"/>
        <c:lblOffset val="100"/>
        <c:noMultiLvlLbl val="0"/>
      </c:catAx>
      <c:valAx>
        <c:axId val="-1433048352"/>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304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Jaunimo nedarbo lygis, pašalinus sezono įtaką | proc.</a:t>
            </a:r>
            <a:r>
              <a:rPr lang="lt-LT" sz="1400" b="0" i="0" u="none" strike="noStrike" baseline="0"/>
              <a:t> </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spPr>
            <a:ln w="28575" cap="rnd">
              <a:solidFill>
                <a:schemeClr val="accent1"/>
              </a:solidFill>
              <a:round/>
            </a:ln>
            <a:effectLst/>
          </c:spPr>
          <c:marker>
            <c:symbol val="none"/>
          </c:marker>
          <c:cat>
            <c:strRef>
              <c:f>'[jaunimo nedarbas.xls]Report'!$B$1:$B$86</c:f>
              <c:strCache>
                <c:ptCount val="86"/>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pt idx="51">
                  <c:v>2011M04</c:v>
                </c:pt>
                <c:pt idx="52">
                  <c:v>2011M05</c:v>
                </c:pt>
                <c:pt idx="53">
                  <c:v>2011M06</c:v>
                </c:pt>
                <c:pt idx="54">
                  <c:v>2011M07</c:v>
                </c:pt>
                <c:pt idx="55">
                  <c:v>2011M08</c:v>
                </c:pt>
                <c:pt idx="56">
                  <c:v>2011M09</c:v>
                </c:pt>
                <c:pt idx="57">
                  <c:v>2011M10</c:v>
                </c:pt>
                <c:pt idx="58">
                  <c:v>2011M11</c:v>
                </c:pt>
                <c:pt idx="59">
                  <c:v>2011M12</c:v>
                </c:pt>
                <c:pt idx="60">
                  <c:v>2012M01</c:v>
                </c:pt>
                <c:pt idx="61">
                  <c:v>2012M02</c:v>
                </c:pt>
                <c:pt idx="62">
                  <c:v>2012M03</c:v>
                </c:pt>
                <c:pt idx="63">
                  <c:v>2012M04</c:v>
                </c:pt>
                <c:pt idx="64">
                  <c:v>2012M05</c:v>
                </c:pt>
                <c:pt idx="65">
                  <c:v>2012M06</c:v>
                </c:pt>
                <c:pt idx="66">
                  <c:v>2012M07</c:v>
                </c:pt>
                <c:pt idx="67">
                  <c:v>2012M08</c:v>
                </c:pt>
                <c:pt idx="68">
                  <c:v>2012M09</c:v>
                </c:pt>
                <c:pt idx="69">
                  <c:v>2012M10</c:v>
                </c:pt>
                <c:pt idx="70">
                  <c:v>2012M11</c:v>
                </c:pt>
                <c:pt idx="71">
                  <c:v>2012M12</c:v>
                </c:pt>
                <c:pt idx="72">
                  <c:v>2013M01</c:v>
                </c:pt>
                <c:pt idx="73">
                  <c:v>2013M02</c:v>
                </c:pt>
                <c:pt idx="74">
                  <c:v>2013M03</c:v>
                </c:pt>
                <c:pt idx="75">
                  <c:v>2013M04</c:v>
                </c:pt>
                <c:pt idx="76">
                  <c:v>2013M05</c:v>
                </c:pt>
                <c:pt idx="77">
                  <c:v>2013M06</c:v>
                </c:pt>
                <c:pt idx="78">
                  <c:v>2013M07</c:v>
                </c:pt>
                <c:pt idx="79">
                  <c:v>2013M08</c:v>
                </c:pt>
                <c:pt idx="80">
                  <c:v>2013M09</c:v>
                </c:pt>
                <c:pt idx="81">
                  <c:v>2013M10</c:v>
                </c:pt>
                <c:pt idx="82">
                  <c:v>2013M11</c:v>
                </c:pt>
                <c:pt idx="83">
                  <c:v>2013M12</c:v>
                </c:pt>
                <c:pt idx="84">
                  <c:v>2014M01</c:v>
                </c:pt>
                <c:pt idx="85">
                  <c:v>2014M02</c:v>
                </c:pt>
              </c:strCache>
            </c:strRef>
          </c:cat>
          <c:val>
            <c:numRef>
              <c:f>'[jaunimo nedarbas.xls]Report'!$C$1:$C$86</c:f>
              <c:numCache>
                <c:formatCode>General</c:formatCode>
                <c:ptCount val="86"/>
                <c:pt idx="0">
                  <c:v>9.1999999999999993</c:v>
                </c:pt>
                <c:pt idx="1">
                  <c:v>9.3000000000000007</c:v>
                </c:pt>
                <c:pt idx="2">
                  <c:v>8.9</c:v>
                </c:pt>
                <c:pt idx="3">
                  <c:v>8.4</c:v>
                </c:pt>
                <c:pt idx="4">
                  <c:v>7.9</c:v>
                </c:pt>
                <c:pt idx="5">
                  <c:v>7.6</c:v>
                </c:pt>
                <c:pt idx="6">
                  <c:v>7.9</c:v>
                </c:pt>
                <c:pt idx="7">
                  <c:v>7.8</c:v>
                </c:pt>
                <c:pt idx="8">
                  <c:v>8</c:v>
                </c:pt>
                <c:pt idx="9">
                  <c:v>8.4</c:v>
                </c:pt>
                <c:pt idx="10">
                  <c:v>8.6</c:v>
                </c:pt>
                <c:pt idx="11">
                  <c:v>8.8000000000000007</c:v>
                </c:pt>
                <c:pt idx="12">
                  <c:v>8.9</c:v>
                </c:pt>
                <c:pt idx="13">
                  <c:v>9</c:v>
                </c:pt>
                <c:pt idx="14">
                  <c:v>9.3000000000000007</c:v>
                </c:pt>
                <c:pt idx="15">
                  <c:v>9.8000000000000007</c:v>
                </c:pt>
                <c:pt idx="16">
                  <c:v>10.7</c:v>
                </c:pt>
                <c:pt idx="17">
                  <c:v>11.8</c:v>
                </c:pt>
                <c:pt idx="18">
                  <c:v>13.2</c:v>
                </c:pt>
                <c:pt idx="19">
                  <c:v>14.5</c:v>
                </c:pt>
                <c:pt idx="20">
                  <c:v>15.9</c:v>
                </c:pt>
                <c:pt idx="21">
                  <c:v>17.3</c:v>
                </c:pt>
                <c:pt idx="22">
                  <c:v>18.7</c:v>
                </c:pt>
                <c:pt idx="23">
                  <c:v>20.3</c:v>
                </c:pt>
                <c:pt idx="24">
                  <c:v>21.8</c:v>
                </c:pt>
                <c:pt idx="25">
                  <c:v>23.7</c:v>
                </c:pt>
                <c:pt idx="26">
                  <c:v>25.7</c:v>
                </c:pt>
                <c:pt idx="27">
                  <c:v>27.9</c:v>
                </c:pt>
                <c:pt idx="28">
                  <c:v>29.6</c:v>
                </c:pt>
                <c:pt idx="29">
                  <c:v>30.7</c:v>
                </c:pt>
                <c:pt idx="30">
                  <c:v>31.4</c:v>
                </c:pt>
                <c:pt idx="31">
                  <c:v>32</c:v>
                </c:pt>
                <c:pt idx="32">
                  <c:v>32.5</c:v>
                </c:pt>
                <c:pt idx="33">
                  <c:v>32.9</c:v>
                </c:pt>
                <c:pt idx="34">
                  <c:v>33.6</c:v>
                </c:pt>
                <c:pt idx="35">
                  <c:v>34.5</c:v>
                </c:pt>
                <c:pt idx="36">
                  <c:v>35.6</c:v>
                </c:pt>
                <c:pt idx="37">
                  <c:v>36.1</c:v>
                </c:pt>
                <c:pt idx="38">
                  <c:v>36.1</c:v>
                </c:pt>
                <c:pt idx="39">
                  <c:v>35.6</c:v>
                </c:pt>
                <c:pt idx="40">
                  <c:v>35.4</c:v>
                </c:pt>
                <c:pt idx="41">
                  <c:v>35.5</c:v>
                </c:pt>
                <c:pt idx="42">
                  <c:v>36</c:v>
                </c:pt>
                <c:pt idx="43">
                  <c:v>36.200000000000003</c:v>
                </c:pt>
                <c:pt idx="44">
                  <c:v>36.1</c:v>
                </c:pt>
                <c:pt idx="45">
                  <c:v>35.799999999999997</c:v>
                </c:pt>
                <c:pt idx="46">
                  <c:v>35.299999999999997</c:v>
                </c:pt>
                <c:pt idx="47">
                  <c:v>34.9</c:v>
                </c:pt>
                <c:pt idx="48">
                  <c:v>34.1</c:v>
                </c:pt>
                <c:pt idx="49">
                  <c:v>33.799999999999997</c:v>
                </c:pt>
                <c:pt idx="50">
                  <c:v>34</c:v>
                </c:pt>
                <c:pt idx="51">
                  <c:v>34.5</c:v>
                </c:pt>
                <c:pt idx="52">
                  <c:v>34.4</c:v>
                </c:pt>
                <c:pt idx="53">
                  <c:v>33.700000000000003</c:v>
                </c:pt>
                <c:pt idx="54">
                  <c:v>32.4</c:v>
                </c:pt>
                <c:pt idx="55">
                  <c:v>31.5</c:v>
                </c:pt>
                <c:pt idx="56">
                  <c:v>30</c:v>
                </c:pt>
                <c:pt idx="57">
                  <c:v>30.8</c:v>
                </c:pt>
                <c:pt idx="58">
                  <c:v>30.7</c:v>
                </c:pt>
                <c:pt idx="59">
                  <c:v>30.6</c:v>
                </c:pt>
                <c:pt idx="60">
                  <c:v>30.5</c:v>
                </c:pt>
                <c:pt idx="61">
                  <c:v>30</c:v>
                </c:pt>
                <c:pt idx="62">
                  <c:v>28.9</c:v>
                </c:pt>
                <c:pt idx="63">
                  <c:v>27.2</c:v>
                </c:pt>
                <c:pt idx="64">
                  <c:v>26.3</c:v>
                </c:pt>
                <c:pt idx="65">
                  <c:v>25.9</c:v>
                </c:pt>
                <c:pt idx="66">
                  <c:v>26.3</c:v>
                </c:pt>
                <c:pt idx="67">
                  <c:v>26.1</c:v>
                </c:pt>
                <c:pt idx="68">
                  <c:v>25.7</c:v>
                </c:pt>
                <c:pt idx="69">
                  <c:v>25</c:v>
                </c:pt>
                <c:pt idx="70">
                  <c:v>24.5</c:v>
                </c:pt>
                <c:pt idx="71">
                  <c:v>24.2</c:v>
                </c:pt>
                <c:pt idx="72">
                  <c:v>23.1</c:v>
                </c:pt>
                <c:pt idx="73">
                  <c:v>22.6</c:v>
                </c:pt>
                <c:pt idx="74">
                  <c:v>22.4</c:v>
                </c:pt>
                <c:pt idx="75">
                  <c:v>22.6</c:v>
                </c:pt>
                <c:pt idx="76">
                  <c:v>22.6</c:v>
                </c:pt>
                <c:pt idx="77">
                  <c:v>22.5</c:v>
                </c:pt>
                <c:pt idx="78">
                  <c:v>22.2</c:v>
                </c:pt>
                <c:pt idx="79">
                  <c:v>21.8</c:v>
                </c:pt>
                <c:pt idx="80">
                  <c:v>21.2</c:v>
                </c:pt>
                <c:pt idx="81">
                  <c:v>20.8</c:v>
                </c:pt>
                <c:pt idx="82">
                  <c:v>20.399999999999999</c:v>
                </c:pt>
                <c:pt idx="83">
                  <c:v>20.5</c:v>
                </c:pt>
                <c:pt idx="84">
                  <c:v>21.1</c:v>
                </c:pt>
                <c:pt idx="85">
                  <c:v>21.1</c:v>
                </c:pt>
              </c:numCache>
            </c:numRef>
          </c:val>
          <c:smooth val="0"/>
        </c:ser>
        <c:dLbls>
          <c:showLegendKey val="0"/>
          <c:showVal val="0"/>
          <c:showCatName val="0"/>
          <c:showSerName val="0"/>
          <c:showPercent val="0"/>
          <c:showBubbleSize val="0"/>
        </c:dLbls>
        <c:smooth val="0"/>
        <c:axId val="-1433046720"/>
        <c:axId val="-1433045632"/>
      </c:lineChart>
      <c:catAx>
        <c:axId val="-143304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3045632"/>
        <c:crosses val="autoZero"/>
        <c:auto val="1"/>
        <c:lblAlgn val="ctr"/>
        <c:lblOffset val="100"/>
        <c:noMultiLvlLbl val="0"/>
      </c:catAx>
      <c:valAx>
        <c:axId val="-1433045632"/>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304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Gyventojų</a:t>
            </a:r>
            <a:r>
              <a:rPr lang="lt-LT" baseline="0"/>
              <a:t> išvykimas ir atvykimas į Lietuvą</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tx>
            <c:strRef>
              <c:f>'[emigracija vs imigracija.xls]Report'!$C$1</c:f>
              <c:strCache>
                <c:ptCount val="1"/>
                <c:pt idx="0">
                  <c:v>Išvyko</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cat>
            <c:strRef>
              <c:f>'[emigracija vs imigracija.xls]Report'!$B$2:$B$9</c:f>
              <c:strCache>
                <c:ptCount val="8"/>
                <c:pt idx="0">
                  <c:v>2006</c:v>
                </c:pt>
                <c:pt idx="1">
                  <c:v>2007</c:v>
                </c:pt>
                <c:pt idx="2">
                  <c:v>2008</c:v>
                </c:pt>
                <c:pt idx="3">
                  <c:v>2009</c:v>
                </c:pt>
                <c:pt idx="4">
                  <c:v>2010</c:v>
                </c:pt>
                <c:pt idx="5">
                  <c:v>2011</c:v>
                </c:pt>
                <c:pt idx="6">
                  <c:v>2012</c:v>
                </c:pt>
                <c:pt idx="7">
                  <c:v>2013</c:v>
                </c:pt>
              </c:strCache>
            </c:strRef>
          </c:cat>
          <c:val>
            <c:numRef>
              <c:f>'[emigracija vs imigracija.xls]Report'!$C$2:$C$9</c:f>
              <c:numCache>
                <c:formatCode>General</c:formatCode>
                <c:ptCount val="8"/>
                <c:pt idx="0">
                  <c:v>32390</c:v>
                </c:pt>
                <c:pt idx="1">
                  <c:v>30383</c:v>
                </c:pt>
                <c:pt idx="2">
                  <c:v>25750</c:v>
                </c:pt>
                <c:pt idx="3">
                  <c:v>38500</c:v>
                </c:pt>
                <c:pt idx="4">
                  <c:v>83157</c:v>
                </c:pt>
                <c:pt idx="5">
                  <c:v>53863</c:v>
                </c:pt>
                <c:pt idx="6">
                  <c:v>41100</c:v>
                </c:pt>
                <c:pt idx="7">
                  <c:v>38818</c:v>
                </c:pt>
              </c:numCache>
            </c:numRef>
          </c:val>
          <c:smooth val="0"/>
        </c:ser>
        <c:ser>
          <c:idx val="1"/>
          <c:order val="1"/>
          <c:tx>
            <c:strRef>
              <c:f>'[emigracija vs imigracija.xls]Report'!$D$1</c:f>
              <c:strCache>
                <c:ptCount val="1"/>
                <c:pt idx="0">
                  <c:v>Atvyko</c:v>
                </c:pt>
              </c:strCache>
            </c:strRef>
          </c:tx>
          <c:spPr>
            <a:ln w="28575" cap="rnd">
              <a:solidFill>
                <a:schemeClr val="accent2"/>
              </a:solidFill>
              <a:round/>
            </a:ln>
            <a:effectLst/>
          </c:spPr>
          <c:marker>
            <c:symbol val="x"/>
            <c:size val="7"/>
            <c:spPr>
              <a:noFill/>
              <a:ln w="9525">
                <a:solidFill>
                  <a:schemeClr val="accent2"/>
                </a:solidFill>
              </a:ln>
              <a:effectLst/>
            </c:spPr>
          </c:marker>
          <c:cat>
            <c:strRef>
              <c:f>'[emigracija vs imigracija.xls]Report'!$B$2:$B$9</c:f>
              <c:strCache>
                <c:ptCount val="8"/>
                <c:pt idx="0">
                  <c:v>2006</c:v>
                </c:pt>
                <c:pt idx="1">
                  <c:v>2007</c:v>
                </c:pt>
                <c:pt idx="2">
                  <c:v>2008</c:v>
                </c:pt>
                <c:pt idx="3">
                  <c:v>2009</c:v>
                </c:pt>
                <c:pt idx="4">
                  <c:v>2010</c:v>
                </c:pt>
                <c:pt idx="5">
                  <c:v>2011</c:v>
                </c:pt>
                <c:pt idx="6">
                  <c:v>2012</c:v>
                </c:pt>
                <c:pt idx="7">
                  <c:v>2013</c:v>
                </c:pt>
              </c:strCache>
            </c:strRef>
          </c:cat>
          <c:val>
            <c:numRef>
              <c:f>'[emigracija vs imigracija.xls]Report'!$D$2:$D$9</c:f>
              <c:numCache>
                <c:formatCode>General</c:formatCode>
                <c:ptCount val="8"/>
                <c:pt idx="0">
                  <c:v>7745</c:v>
                </c:pt>
                <c:pt idx="1">
                  <c:v>8609</c:v>
                </c:pt>
                <c:pt idx="2">
                  <c:v>9297</c:v>
                </c:pt>
                <c:pt idx="3">
                  <c:v>6487</c:v>
                </c:pt>
                <c:pt idx="4">
                  <c:v>5213</c:v>
                </c:pt>
                <c:pt idx="5">
                  <c:v>15685</c:v>
                </c:pt>
                <c:pt idx="6">
                  <c:v>19843</c:v>
                </c:pt>
                <c:pt idx="7">
                  <c:v>22011</c:v>
                </c:pt>
              </c:numCache>
            </c:numRef>
          </c:val>
          <c:smooth val="0"/>
        </c:ser>
        <c:dLbls>
          <c:showLegendKey val="0"/>
          <c:showVal val="0"/>
          <c:showCatName val="0"/>
          <c:showSerName val="0"/>
          <c:showPercent val="0"/>
          <c:showBubbleSize val="0"/>
        </c:dLbls>
        <c:marker val="1"/>
        <c:smooth val="0"/>
        <c:axId val="-1434168272"/>
        <c:axId val="-1434172080"/>
      </c:lineChart>
      <c:catAx>
        <c:axId val="-143416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4172080"/>
        <c:crosses val="autoZero"/>
        <c:auto val="1"/>
        <c:lblAlgn val="ctr"/>
        <c:lblOffset val="100"/>
        <c:noMultiLvlLbl val="0"/>
      </c:catAx>
      <c:valAx>
        <c:axId val="-143417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4168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Vidutinio darbo užmokesčio dinamika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spPr>
            <a:ln w="28575" cap="rnd">
              <a:solidFill>
                <a:schemeClr val="accent1"/>
              </a:solidFill>
              <a:round/>
            </a:ln>
            <a:effectLst/>
          </c:spPr>
          <c:marker>
            <c:symbol val="none"/>
          </c:marker>
          <c:cat>
            <c:strRef>
              <c:f>'[vidutine alga.xls]Report'!$A$1:$A$12</c:f>
              <c:strCache>
                <c:ptCount val="12"/>
                <c:pt idx="0">
                  <c:v>2011K1</c:v>
                </c:pt>
                <c:pt idx="1">
                  <c:v>2011K2</c:v>
                </c:pt>
                <c:pt idx="2">
                  <c:v>2011K3</c:v>
                </c:pt>
                <c:pt idx="3">
                  <c:v>2011K4</c:v>
                </c:pt>
                <c:pt idx="4">
                  <c:v>2012K1</c:v>
                </c:pt>
                <c:pt idx="5">
                  <c:v>2012K2</c:v>
                </c:pt>
                <c:pt idx="6">
                  <c:v>2012K3</c:v>
                </c:pt>
                <c:pt idx="7">
                  <c:v>2012K4</c:v>
                </c:pt>
                <c:pt idx="8">
                  <c:v>2013K1</c:v>
                </c:pt>
                <c:pt idx="9">
                  <c:v>2013K2</c:v>
                </c:pt>
                <c:pt idx="10">
                  <c:v>2013K3</c:v>
                </c:pt>
                <c:pt idx="11">
                  <c:v>2013K4</c:v>
                </c:pt>
              </c:strCache>
            </c:strRef>
          </c:cat>
          <c:val>
            <c:numRef>
              <c:f>'[vidutine alga.xls]Report'!$B$1:$B$12</c:f>
              <c:numCache>
                <c:formatCode>General</c:formatCode>
                <c:ptCount val="12"/>
                <c:pt idx="0">
                  <c:v>2005.6</c:v>
                </c:pt>
                <c:pt idx="1">
                  <c:v>2041.2</c:v>
                </c:pt>
                <c:pt idx="2">
                  <c:v>2049.1</c:v>
                </c:pt>
                <c:pt idx="3">
                  <c:v>2105.6999999999998</c:v>
                </c:pt>
                <c:pt idx="4">
                  <c:v>2074.6</c:v>
                </c:pt>
                <c:pt idx="5">
                  <c:v>2090.6999999999998</c:v>
                </c:pt>
                <c:pt idx="6">
                  <c:v>2108.5</c:v>
                </c:pt>
                <c:pt idx="7">
                  <c:v>2167.6999999999998</c:v>
                </c:pt>
                <c:pt idx="8">
                  <c:v>2174.6</c:v>
                </c:pt>
                <c:pt idx="9">
                  <c:v>2196.1999999999998</c:v>
                </c:pt>
                <c:pt idx="10">
                  <c:v>2247.1</c:v>
                </c:pt>
                <c:pt idx="11">
                  <c:v>2281.1999999999998</c:v>
                </c:pt>
              </c:numCache>
            </c:numRef>
          </c:val>
          <c:smooth val="0"/>
        </c:ser>
        <c:dLbls>
          <c:showLegendKey val="0"/>
          <c:showVal val="0"/>
          <c:showCatName val="0"/>
          <c:showSerName val="0"/>
          <c:showPercent val="0"/>
          <c:showBubbleSize val="0"/>
        </c:dLbls>
        <c:smooth val="0"/>
        <c:axId val="-1434166096"/>
        <c:axId val="-1434163376"/>
      </c:lineChart>
      <c:catAx>
        <c:axId val="-143416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4163376"/>
        <c:crosses val="autoZero"/>
        <c:auto val="1"/>
        <c:lblAlgn val="ctr"/>
        <c:lblOffset val="100"/>
        <c:noMultiLvlLbl val="0"/>
      </c:catAx>
      <c:valAx>
        <c:axId val="-143416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416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285A-77DE-4078-8F58-1B7AC7F6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18</Pages>
  <Words>16843</Words>
  <Characters>9602</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 Kubilius</dc:creator>
  <cp:keywords/>
  <dc:description/>
  <cp:lastModifiedBy>Andrius</cp:lastModifiedBy>
  <cp:revision>12</cp:revision>
  <dcterms:created xsi:type="dcterms:W3CDTF">2014-04-14T11:47:00Z</dcterms:created>
  <dcterms:modified xsi:type="dcterms:W3CDTF">2014-04-21T10:16:00Z</dcterms:modified>
</cp:coreProperties>
</file>