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9F" w:rsidRDefault="00EB3A9F"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p w:rsidR="00EB3A9F" w:rsidRDefault="00F92B42">
      <w:pPr>
        <w:jc w:val="center"/>
        <w:rPr>
          <w:caps/>
          <w:sz w:val="22"/>
        </w:rPr>
      </w:pPr>
      <w:r>
        <w:rPr>
          <w:caps/>
          <w:noProof/>
          <w:lang w:eastAsia="lt-LT"/>
        </w:rPr>
        <w:drawing>
          <wp:inline distT="0" distB="0" distL="0" distR="0" wp14:anchorId="313E63A7" wp14:editId="4181DA94">
            <wp:extent cx="596265" cy="699770"/>
            <wp:effectExtent l="0" t="0" r="0" b="5080"/>
            <wp:docPr id="1" name="Paveikslėlis 1" descr="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9F" w:rsidRDefault="00EB3A9F">
      <w:pPr>
        <w:jc w:val="center"/>
        <w:rPr>
          <w:caps/>
          <w:sz w:val="12"/>
          <w:szCs w:val="12"/>
        </w:rPr>
      </w:pPr>
    </w:p>
    <w:p w:rsidR="00EB3A9F" w:rsidRDefault="00F92B42">
      <w:pPr>
        <w:jc w:val="center"/>
        <w:rPr>
          <w:b/>
          <w:bCs/>
          <w:caps/>
        </w:rPr>
      </w:pPr>
      <w:r>
        <w:rPr>
          <w:b/>
          <w:bCs/>
          <w:caps/>
        </w:rPr>
        <w:t>LIETUVOS RESPUBLIKOS SEIMAS</w:t>
      </w:r>
    </w:p>
    <w:p w:rsidR="00EB3A9F" w:rsidRDefault="00EB3A9F">
      <w:pPr>
        <w:jc w:val="center"/>
        <w:rPr>
          <w:b/>
          <w:caps/>
        </w:rPr>
      </w:pPr>
    </w:p>
    <w:p w:rsidR="00EB3A9F" w:rsidRDefault="00EB3A9F">
      <w:pPr>
        <w:jc w:val="center"/>
        <w:rPr>
          <w:b/>
          <w:caps/>
        </w:rPr>
      </w:pPr>
    </w:p>
    <w:p w:rsidR="00EB3A9F" w:rsidRDefault="00F92B42">
      <w:pPr>
        <w:jc w:val="center"/>
        <w:rPr>
          <w:b/>
          <w:bCs/>
          <w:caps/>
        </w:rPr>
      </w:pPr>
      <w:r>
        <w:rPr>
          <w:b/>
          <w:caps/>
        </w:rPr>
        <w:t>REZOLIUCIJA</w:t>
      </w:r>
    </w:p>
    <w:p w:rsidR="00EB3A9F" w:rsidRDefault="00F92B42">
      <w:pPr>
        <w:jc w:val="center"/>
        <w:rPr>
          <w:b/>
          <w:caps/>
        </w:rPr>
      </w:pPr>
      <w:r>
        <w:rPr>
          <w:b/>
          <w:caps/>
        </w:rPr>
        <w:t>DĖL UKRAINOS KARINIŲ ORO PAJĖGŲ LAKŪNĖS NADIJOS SAVČENKO</w:t>
      </w:r>
    </w:p>
    <w:p w:rsidR="00EB3A9F" w:rsidRDefault="00EB3A9F">
      <w:pPr>
        <w:jc w:val="center"/>
        <w:rPr>
          <w:b/>
          <w:caps/>
        </w:rPr>
      </w:pPr>
    </w:p>
    <w:p w:rsidR="00EB3A9F" w:rsidRDefault="00F92B42">
      <w:pPr>
        <w:jc w:val="center"/>
        <w:rPr>
          <w:sz w:val="22"/>
        </w:rPr>
      </w:pPr>
      <w:r>
        <w:rPr>
          <w:sz w:val="22"/>
          <w:lang w:val="en-US"/>
        </w:rPr>
        <w:t>2016</w:t>
      </w:r>
      <w:r>
        <w:rPr>
          <w:sz w:val="22"/>
        </w:rPr>
        <w:t xml:space="preserve"> m. </w:t>
      </w:r>
      <w:r>
        <w:rPr>
          <w:sz w:val="22"/>
          <w:lang w:val="en-US"/>
        </w:rPr>
        <w:t>kovo</w:t>
      </w:r>
      <w:r>
        <w:rPr>
          <w:sz w:val="22"/>
        </w:rPr>
        <w:t xml:space="preserve"> </w:t>
      </w:r>
      <w:r>
        <w:rPr>
          <w:sz w:val="22"/>
          <w:lang w:val="en-US"/>
        </w:rPr>
        <w:t>15</w:t>
      </w:r>
      <w:r>
        <w:rPr>
          <w:sz w:val="22"/>
        </w:rPr>
        <w:t xml:space="preserve"> d. Nr. </w:t>
      </w:r>
      <w:r>
        <w:rPr>
          <w:sz w:val="22"/>
          <w:lang w:val="en-US"/>
        </w:rPr>
        <w:t>XII-2252</w:t>
      </w:r>
    </w:p>
    <w:p w:rsidR="00EB3A9F" w:rsidRDefault="00F92B42">
      <w:pPr>
        <w:jc w:val="center"/>
        <w:rPr>
          <w:sz w:val="22"/>
        </w:rPr>
      </w:pPr>
      <w:r>
        <w:rPr>
          <w:sz w:val="22"/>
        </w:rPr>
        <w:t>Vilnius</w:t>
      </w:r>
    </w:p>
    <w:p w:rsidR="00EB3A9F" w:rsidRDefault="00EB3A9F">
      <w:pPr>
        <w:jc w:val="center"/>
        <w:rPr>
          <w:sz w:val="22"/>
        </w:rPr>
      </w:pPr>
    </w:p>
    <w:p w:rsidR="00EB3A9F" w:rsidRDefault="00EB3A9F">
      <w:pPr>
        <w:spacing w:line="360" w:lineRule="auto"/>
        <w:ind w:firstLine="720"/>
        <w:jc w:val="both"/>
        <w:rPr>
          <w:sz w:val="16"/>
          <w:szCs w:val="16"/>
        </w:rPr>
      </w:pPr>
    </w:p>
    <w:p w:rsidR="00EB3A9F" w:rsidRDefault="00EB3A9F">
      <w:pPr>
        <w:spacing w:line="360" w:lineRule="auto"/>
        <w:ind w:firstLine="720"/>
        <w:jc w:val="both"/>
        <w:sectPr w:rsidR="00EB3A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1701" w:header="706" w:footer="706" w:gutter="0"/>
          <w:cols w:space="1296"/>
          <w:titlePg/>
        </w:sectPr>
      </w:pPr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>Lietuvos Respublikos Seimas,</w:t>
      </w:r>
      <w:bookmarkStart w:id="0" w:name="_GoBack"/>
      <w:bookmarkEnd w:id="0"/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i/>
          <w:szCs w:val="24"/>
        </w:rPr>
        <w:t>primindamas</w:t>
      </w:r>
      <w:r>
        <w:rPr>
          <w:szCs w:val="24"/>
        </w:rPr>
        <w:t>, kad 2014 m. liepos mėn. Ukrainos karinių oro pajėgų lakūnė Nadija Savčenko buvo neteisėtai sulaikyta Ukrainoje, pervežta į Rusijos Federacijos teritoriją, kur iki šiol yra neteisėtai kali</w:t>
      </w:r>
      <w:r>
        <w:rPr>
          <w:szCs w:val="24"/>
        </w:rPr>
        <w:t>nama, o jos sveikatos būklė dėl ilgalaikio badavimo yra labai pablogėjusi;</w:t>
      </w:r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i/>
          <w:szCs w:val="24"/>
        </w:rPr>
        <w:t>pažymėdamas,</w:t>
      </w:r>
      <w:r>
        <w:rPr>
          <w:szCs w:val="24"/>
        </w:rPr>
        <w:t xml:space="preserve"> kad 2014 m. spalio 26 d. vykusiuose pirmalaikiuose parlamento rinkimuose Nadija Savčenko buvo išrinkta į Ukrainos Aukščiausiąją Radą, tačiau iki šiol neturi galimybės a</w:t>
      </w:r>
      <w:r>
        <w:rPr>
          <w:szCs w:val="24"/>
        </w:rPr>
        <w:t>tstovauti savo rinkėjams;</w:t>
      </w:r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i/>
          <w:szCs w:val="24"/>
        </w:rPr>
        <w:t>apgailestaudamas</w:t>
      </w:r>
      <w:r>
        <w:rPr>
          <w:szCs w:val="24"/>
        </w:rPr>
        <w:t>, kad visos tarptautinės bendruomenės pastangos išlaisvinti Nadiją Savčenko iki šiol buvo nesėkmingos,</w:t>
      </w:r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b/>
          <w:szCs w:val="24"/>
        </w:rPr>
        <w:t>konstatuoja</w:t>
      </w:r>
      <w:r>
        <w:rPr>
          <w:szCs w:val="24"/>
        </w:rPr>
        <w:t xml:space="preserve">, kad Ukrainos karinių oro pajėgų lakūnės Nadijos Savčenko neteisėtas kalinimas Rusijos Federacijos </w:t>
      </w:r>
      <w:r>
        <w:rPr>
          <w:szCs w:val="24"/>
        </w:rPr>
        <w:t>teritorijoje yra šiurkštus tarptautinės teisės normų pažeidimas, o Rusijos Federacijos atsisakymas ją perduoti Ukrainai yra aiškus Minsko susitarimų nesilaikymas;</w:t>
      </w:r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b/>
          <w:szCs w:val="24"/>
        </w:rPr>
        <w:t xml:space="preserve">remia </w:t>
      </w:r>
      <w:r>
        <w:rPr>
          <w:szCs w:val="24"/>
        </w:rPr>
        <w:t>grupės pagrindinių Europos Parlamento frakcijų narių iniciatyvą sudaryti ir Europos Sąj</w:t>
      </w:r>
      <w:r>
        <w:rPr>
          <w:szCs w:val="24"/>
        </w:rPr>
        <w:t>ungos lygiu patvirtinti už neteisėtą Nadijos Savčenko sulaikymą ir kalinimą atsakingų asmenų sąrašą ir įvesti šiems asmenims tikslines sankcijas;</w:t>
      </w:r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b/>
          <w:szCs w:val="24"/>
        </w:rPr>
        <w:t>kviečia</w:t>
      </w:r>
      <w:r>
        <w:rPr>
          <w:szCs w:val="24"/>
        </w:rPr>
        <w:t xml:space="preserve"> Europos Sąjungos ir NATO valstybių narių nacionalinius parlamentus palaikyti tokio „Nadijos Savčenko s</w:t>
      </w:r>
      <w:r>
        <w:rPr>
          <w:szCs w:val="24"/>
        </w:rPr>
        <w:t>ąrašo“ sudarymo iniciatyvą ir skatinti aktyvius savo valstybių vyriausybių bei Europos Sąjungos institucijų veiksmus šia linkme;</w:t>
      </w:r>
    </w:p>
    <w:p w:rsidR="00EB3A9F" w:rsidRDefault="00F92B42">
      <w:pPr>
        <w:spacing w:line="360" w:lineRule="auto"/>
        <w:ind w:firstLine="720"/>
        <w:jc w:val="both"/>
        <w:rPr>
          <w:szCs w:val="24"/>
        </w:rPr>
      </w:pPr>
      <w:r>
        <w:rPr>
          <w:b/>
          <w:szCs w:val="24"/>
        </w:rPr>
        <w:t>ragina</w:t>
      </w:r>
      <w:r>
        <w:rPr>
          <w:szCs w:val="24"/>
        </w:rPr>
        <w:t xml:space="preserve"> tarptautinę bendruomenę principingai įvertinti Rusijos Federacijos institucijų vykdomus šį ir kitus šiurkščius žmogaus t</w:t>
      </w:r>
      <w:r>
        <w:rPr>
          <w:szCs w:val="24"/>
        </w:rPr>
        <w:t>eisių pažeidimus, kviečia bendromis pastangomis toliau siekti, kad Nadija Savčenko ir kiti Rusijos Federacijoje neteisėtai laikomi Ukrainos piliečiai būtų nedelsiant išlaisvinti ir sudarytos sąlygos jiems saugiai grįžti į Tėvynę.</w:t>
      </w:r>
    </w:p>
    <w:p w:rsidR="00EB3A9F" w:rsidRDefault="00EB3A9F">
      <w:pPr>
        <w:spacing w:line="360" w:lineRule="auto"/>
        <w:rPr>
          <w:i/>
          <w:szCs w:val="24"/>
        </w:rPr>
      </w:pPr>
    </w:p>
    <w:p w:rsidR="00EB3A9F" w:rsidRDefault="00F92B42">
      <w:pPr>
        <w:tabs>
          <w:tab w:val="right" w:pos="9356"/>
        </w:tabs>
      </w:pPr>
      <w:r>
        <w:rPr>
          <w:lang w:val="en-US"/>
        </w:rPr>
        <w:t xml:space="preserve">Seimo </w:t>
      </w:r>
      <w:proofErr w:type="spellStart"/>
      <w:r>
        <w:rPr>
          <w:lang w:val="en-US"/>
        </w:rPr>
        <w:t>Pirmininkė</w:t>
      </w:r>
      <w:proofErr w:type="spellEnd"/>
      <w:r>
        <w:rPr>
          <w:caps/>
        </w:rPr>
        <w:tab/>
      </w:r>
      <w:r>
        <w:rPr>
          <w:lang w:val="en-US"/>
        </w:rPr>
        <w:t xml:space="preserve">Loreta </w:t>
      </w:r>
      <w:proofErr w:type="spellStart"/>
      <w:r>
        <w:rPr>
          <w:lang w:val="en-US"/>
        </w:rPr>
        <w:t>Graužinienė</w:t>
      </w:r>
      <w:proofErr w:type="spellEnd"/>
    </w:p>
    <w:sectPr w:rsidR="00EB3A9F"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9F" w:rsidRDefault="00F92B4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 w:rsidR="00EB3A9F" w:rsidRDefault="00F92B4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9F" w:rsidRDefault="00F92B42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:rsidR="00EB3A9F" w:rsidRDefault="00EB3A9F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9F" w:rsidRDefault="00F92B42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  <w:noProof/>
      </w:rPr>
      <w:t>2</w:t>
    </w:r>
    <w:r>
      <w:rPr>
        <w:rFonts w:ascii="TimesLT" w:hAnsi="TimesLT"/>
      </w:rPr>
      <w:fldChar w:fldCharType="end"/>
    </w:r>
  </w:p>
  <w:p w:rsidR="00EB3A9F" w:rsidRDefault="00EB3A9F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9F" w:rsidRDefault="00EB3A9F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9F" w:rsidRDefault="00F92B4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 w:rsidR="00EB3A9F" w:rsidRDefault="00F92B4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9F" w:rsidRDefault="00F92B42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:rsidR="00EB3A9F" w:rsidRDefault="00EB3A9F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9F" w:rsidRDefault="00F92B42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>
      <w:rPr>
        <w:noProof/>
        <w:szCs w:val="24"/>
        <w:lang w:val="en-US"/>
      </w:rPr>
      <w:t>2</w:t>
    </w:r>
    <w:r>
      <w:rPr>
        <w:szCs w:val="24"/>
        <w:lang w:val="en-US"/>
      </w:rPr>
      <w:fldChar w:fldCharType="end"/>
    </w:r>
  </w:p>
  <w:p w:rsidR="00EB3A9F" w:rsidRDefault="00EB3A9F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9F" w:rsidRDefault="00EB3A9F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B"/>
    <w:rsid w:val="00C9668B"/>
    <w:rsid w:val="00EB3A9F"/>
    <w:rsid w:val="00F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92B4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92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92B4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92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1684</Characters>
  <Application>Microsoft Office Word</Application>
  <DocSecurity>4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1920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KONCIJALOVIENĖ Rita</dc:creator>
  <cp:lastModifiedBy>JURĖNAITĖ Salvinija</cp:lastModifiedBy>
  <cp:revision>2</cp:revision>
  <cp:lastPrinted>2016-03-30T08:50:00Z</cp:lastPrinted>
  <dcterms:created xsi:type="dcterms:W3CDTF">2016-03-30T08:52:00Z</dcterms:created>
  <dcterms:modified xsi:type="dcterms:W3CDTF">2016-03-30T08:52:00Z</dcterms:modified>
</cp:coreProperties>
</file>