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officeDocument" Target="word/document.xml"/>
  <Relationship Id="rId3" Type="http://schemas.openxmlformats.org/officeDocument/2006/relationships/extended-properties" Target="docProps/app.xml"/>
  <Relationship Id="rId4" Type="http://schemas.openxmlformats.org/officeDocument/2006/relationships/custom-properties" Target="docProps/custom.xml"/>
  <Relationship Id="rId5" Type="http://schemas.openxmlformats.org/package/2006/relationships/metadata/core-properties" Target="docProps/core.xml"/>
</Relationships>

</file>

<file path=word/document.xml><?xml version="1.0" encoding="utf-8"?>
<w:document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taisx="http://lrs.lt/TAIS/DocPartXmlMarks" mc:Ignorable="w14 w15 w16se wp14">
  <w:body>
    <w:sdt>
      <w:sdtPr>
        <w:alias w:val="pagrindine"/>
        <w:tag w:val="part_b54b8eb68d754e2eade9f46ebb95e5ea"/>
        <w:lock w:val="sdtLocked"/>
        <w:richText/>
      </w:sdtPr>
      <w:sdtContent>
        <w:p>
          <w:pPr>
            <w:tabs>
              <w:tab w:val="center" w:pos="4819"/>
              <w:tab w:val="right" w:pos="9638"/>
            </w:tabs>
            <w:rPr>
              <w:szCs w:val="24"/>
            </w:rPr>
          </w:pPr>
        </w:p>
        <w:p>
          <w:pPr>
            <w:suppressAutoHyphens/>
            <w:jc w:val="center"/>
            <w:textAlignment w:val="baseline"/>
            <w:rPr>
              <w:b/>
              <w:bCs/>
              <w:szCs w:val="24"/>
            </w:rPr>
          </w:pPr>
          <w:r>
            <w:rPr>
              <w:b/>
              <w:bCs/>
              <w:szCs w:val="24"/>
              <w:lang w:eastAsia="lt-LT"/>
            </w:rPr>
            <w:t>LIETUVOS RESPUBLIKOS KONKURENCIJOS ĮSTATYMO NR. VIII-1099 8, 19, 20, 21, 36, 54, 55, 56, 57 STRAIPSNIŲ IR PRIEDO PAKEITIMO IR ĮSTATYMO PAPILDYMO 55</w:t>
          </w:r>
          <w:r>
            <w:rPr>
              <w:b/>
              <w:bCs/>
              <w:szCs w:val="24"/>
              <w:vertAlign w:val="superscript"/>
              <w:lang w:eastAsia="lt-LT"/>
            </w:rPr>
            <w:t>1</w:t>
          </w:r>
          <w:r>
            <w:rPr>
              <w:b/>
              <w:bCs/>
              <w:szCs w:val="24"/>
              <w:lang w:eastAsia="lt-LT"/>
            </w:rPr>
            <w:t xml:space="preserve"> STRAIPSNIU ĮSTATYMO PROJEKTO, LIETUVOS RESPUBLIKOS VALSTYBĖS POLITIKŲ IR VALSTYBĖS PAREIGŪNŲ DARBO APMOKĖJIMO ĮSTATYMO NR. VIII-1904 2 STRAIPSNIO IR PRIEDĖLIO PAKEITIMO ĮSTATYMO PROJEKTO IR LIETUVOS RESPUBLIKOS SEIMO NUTARIMO „DĖL LIETUVOS RESPUBLIKOS SEIMO 2018 M. GRUODŽIO 20 D. NUTARIMO NR. XIII-1896 „DĖL LIETUVOS RESPUBLIKOS SEIMO, SEIMO KANCELIARIJOS IR SEIMUI ATSKAITINGŲ INSTITUCIJŲ, RESPUBLIKOS PREZIDENTO KANCELIARIJOS IR RESPUBLIKOS PREZIDENTUI ATSKAITINGŲ INSTITUCIJŲ, NACIONALINĖS TEISMŲ ADMINISTRACIJOS, TEISMŲ, PROKURATŪROS, SAVIVALDYBIŲ INSTITUCIJŲ IR ĮSTAIGŲ SĄRAŠO PAGAL GRUPES PATVIRTINIMO“ PAKEITIMO“ </w:t>
          </w:r>
          <w:r>
            <w:rPr>
              <w:b/>
              <w:bCs/>
              <w:szCs w:val="24"/>
            </w:rPr>
            <w:t>PROJEKTO (TOLIAU – PROJEKTAI)</w:t>
          </w:r>
        </w:p>
        <w:p>
          <w:pPr>
            <w:suppressAutoHyphens/>
            <w:jc w:val="center"/>
            <w:textAlignment w:val="baseline"/>
            <w:rPr>
              <w:b/>
              <w:bCs/>
              <w:kern w:val="3"/>
              <w:szCs w:val="24"/>
              <w:lang w:eastAsia="lt-LT"/>
            </w:rPr>
          </w:pPr>
          <w:r>
            <w:rPr>
              <w:b/>
              <w:bCs/>
              <w:kern w:val="3"/>
              <w:szCs w:val="24"/>
              <w:lang w:eastAsia="lt-LT"/>
            </w:rPr>
            <w:t>AIŠKINAMASIS RAŠTAS</w:t>
          </w:r>
        </w:p>
        <w:p>
          <w:pPr>
            <w:jc w:val="both"/>
            <w:rPr>
              <w:b/>
              <w:szCs w:val="24"/>
            </w:rPr>
          </w:pPr>
        </w:p>
        <w:sdt>
          <w:sdtPr>
            <w:alias w:val="1 p."/>
            <w:tag w:val="part_034ba48d8833449284f45efd7f11f015"/>
            <w:lock w:val="sdtLocked"/>
            <w:richText/>
          </w:sdtPr>
          <w:sdtContent>
            <w:p>
              <w:pPr>
                <w:tabs>
                  <w:tab w:val="left" w:pos="1134"/>
                </w:tabs>
                <w:ind w:firstLine="720"/>
                <w:jc w:val="both"/>
                <w:rPr>
                  <w:rFonts w:ascii="Calibri" w:eastAsia="Calibri" w:hAnsi="Calibri"/>
                  <w:b/>
                  <w:szCs w:val="24"/>
                </w:rPr>
              </w:pPr>
              <w:sdt>
                <w:sdtPr>
                  <w:alias w:val="Numeris"/>
                  <w:tag w:val="nr_034ba48d8833449284f45efd7f11f015"/>
                  <w:lock w:val="sdtLocked"/>
                  <w:richText/>
                </w:sdtPr>
                <w:sdtContent>
                  <w:r>
                    <w:rPr>
                      <w:rFonts w:ascii="Calibri" w:eastAsia="Calibri" w:hAnsi="Calibri"/>
                      <w:b/>
                      <w:szCs w:val="24"/>
                    </w:rPr>
                    <w:t>1</w:t>
                  </w:r>
                </w:sdtContent>
              </w:sdt>
              <w:r>
                <w:rPr>
                  <w:rFonts w:ascii="Calibri" w:eastAsia="Calibri" w:hAnsi="Calibri"/>
                  <w:b/>
                  <w:szCs w:val="24"/>
                </w:rPr>
                <w:t xml:space="preserve">. Projektų rengimą paskatinusios priežastys, parengtų projektų tikslai ir uždaviniai </w:t>
              </w:r>
            </w:p>
            <w:p>
              <w:pPr>
                <w:tabs>
                  <w:tab w:val="left" w:pos="1134"/>
                </w:tabs>
                <w:ind w:firstLine="720"/>
                <w:jc w:val="both"/>
                <w:rPr>
                  <w:rFonts w:ascii="Calibri" w:eastAsia="Calibri" w:hAnsi="Calibri"/>
                  <w:bCs/>
                  <w:szCs w:val="24"/>
                  <w:lang w:eastAsia="lt-LT"/>
                </w:rPr>
              </w:pPr>
              <w:r>
                <w:rPr>
                  <w:rFonts w:ascii="Calibri" w:eastAsia="Calibri" w:hAnsi="Calibri"/>
                  <w:bCs/>
                  <w:szCs w:val="24"/>
                </w:rPr>
                <w:t xml:space="preserve">Lietuvos Respublikos konkurencijos įstatymo Nr. VIII-1099 </w:t>
              </w:r>
              <w:r>
                <w:rPr>
                  <w:rFonts w:ascii="Calibri" w:eastAsia="Calibri" w:hAnsi="Calibri"/>
                  <w:bCs/>
                  <w:szCs w:val="24"/>
                  <w:lang w:eastAsia="lt-LT"/>
                </w:rPr>
                <w:t>8, 19, 20, 21, 36, 54, 55, 56, 57 straipsnių ir priedo pakeitimo ir Įstatymo papildymo 55</w:t>
              </w:r>
              <w:r>
                <w:rPr>
                  <w:rFonts w:ascii="Calibri" w:eastAsia="Calibri" w:hAnsi="Calibri"/>
                  <w:bCs/>
                  <w:szCs w:val="24"/>
                  <w:vertAlign w:val="superscript"/>
                  <w:lang w:eastAsia="lt-LT"/>
                </w:rPr>
                <w:t>1</w:t>
              </w:r>
              <w:r>
                <w:rPr>
                  <w:rFonts w:ascii="Calibri" w:eastAsia="Calibri" w:hAnsi="Calibri"/>
                  <w:bCs/>
                  <w:szCs w:val="24"/>
                  <w:lang w:eastAsia="lt-LT"/>
                </w:rPr>
                <w:t xml:space="preserve"> straipsniu įstatymo projektas (toliau </w:t>
              </w:r>
              <w:r>
                <w:rPr>
                  <w:rFonts w:ascii="Calibri" w:eastAsia="Calibri" w:hAnsi="Calibri"/>
                  <w:sz w:val="22"/>
                  <w:szCs w:val="22"/>
                </w:rPr>
                <w:t>–</w:t>
              </w:r>
              <w:r>
                <w:rPr>
                  <w:rFonts w:ascii="Calibri" w:eastAsia="Calibri" w:hAnsi="Calibri"/>
                  <w:bCs/>
                  <w:szCs w:val="24"/>
                  <w:lang w:eastAsia="lt-LT"/>
                </w:rPr>
                <w:t xml:space="preserve"> Konkurencijos įstatymo pakeitimo projektas) parengtas siekiant:</w:t>
              </w:r>
            </w:p>
            <w:p>
              <w:pPr>
                <w:tabs>
                  <w:tab w:val="left" w:pos="1276"/>
                </w:tabs>
                <w:ind w:firstLine="720"/>
                <w:jc w:val="both"/>
                <w:rPr>
                  <w:rFonts w:eastAsia="Calibri"/>
                  <w:szCs w:val="24"/>
                </w:rPr>
              </w:pPr>
              <w:r>
                <w:rPr>
                  <w:rFonts w:eastAsia="Calibri"/>
                  <w:bCs/>
                  <w:szCs w:val="24"/>
                  <w:lang w:eastAsia="lt-LT"/>
                </w:rPr>
                <w:t xml:space="preserve">- sudaryti sąlygas Lietuvos Respublikos konkurencijos tarybai </w:t>
              </w:r>
              <w:r>
                <w:rPr>
                  <w:rFonts w:eastAsia="Calibri"/>
                  <w:szCs w:val="24"/>
                </w:rPr>
                <w:t>pritraukti reikiamą kvalifikaciją turinčius ir Konkurencijos tarybos sprendimus priimančius valstybės pareigūnus ir Konkurencijos tarybos administracijos darbuotojus. 2018 m. gruodžio 11 d. Europos Parlamento ir Tarybos direktyva (ES) Nr. 2019/1, kuria siekiama įgalinti valstybių narių konkurencijos institucijas, kad jos būtų veiksmingesnės vykdymo užtikrintojos, ir kuria užtikrinamas tinkamas vidaus rinkos veikimas (toliau – Direktyva) numato, jog valstybės narės turi užtikrinti, kad nacionalinės konkurencijos institucijos turėtų pakankamą skaičių kvalifikuotų darbuotojų, kurie yra būtini, kad jos galėtų veiksmingai atlikti savo pareigas ir veiksmingai vykdyti savo įgaliojimus, susijusius su Sutarties dėl Europos Sąjungos veikimo (toliau – SESV) 101 ir 102 straipsnių taikymu.</w:t>
              </w:r>
              <w:r>
                <w:rPr>
                  <w:rFonts w:eastAsia="Calibri"/>
                  <w:szCs w:val="24"/>
                  <w:vertAlign w:val="superscript"/>
                </w:rPr>
                <w:footnoteReference w:id="2"/>
              </w:r>
              <w:r>
                <w:rPr>
                  <w:rFonts w:eastAsia="Calibri"/>
                  <w:szCs w:val="24"/>
                </w:rPr>
                <w:t xml:space="preserve"> Šiuo tikslu kartu parengti Lietuvos Respublikos valstybės politikų ir valstybės pareigūnų darbo apmokėjimo įstatymo Nr. VIII-1904 2 straipsnio ir priedėlio pakeitimo įstatymo projektas ir Lietuvos Respublikos Seimo nutarimo „Dėl Lietuvos Respublikos Seimo 2018 m. gruodžio 20 d. nutarimo Nr. XIII-1896 „Dėl Lietuvos Respublikos Seimo, Seimo kanceliarijos ir Seimui atskaitingų institucijų, Respublikos Prezidento kanceliarijos ir Respublikos Prezidentui atskaitingų institucijų, nacionalinės teismų administracijos, teismų, prokuratūros, savivaldybių institucijų ir įstaigų sąrašo pagal grupes patvirtinimo“ pakeitimo“ projektas;</w:t>
              </w:r>
            </w:p>
            <w:p>
              <w:pPr>
                <w:tabs>
                  <w:tab w:val="left" w:pos="1276"/>
                </w:tabs>
                <w:ind w:firstLine="720"/>
                <w:jc w:val="both"/>
                <w:rPr>
                  <w:rFonts w:eastAsia="Calibri"/>
                  <w:szCs w:val="24"/>
                </w:rPr>
              </w:pPr>
              <w:r>
                <w:rPr>
                  <w:rFonts w:eastAsia="Calibri"/>
                  <w:szCs w:val="24"/>
                </w:rPr>
                <w:t>- patikslinti Konkurencijos tarybos pirmininko funkcijas, suteikiant jam teisę spręsti su juo pačiu susijusius einamuosius vidaus administravimo klausimus, išskyrus Lietuvos Respublikos viešųjų ir privačių interesų derinimo įstatymo 11 straipsnio 4 dalyje nustatytus klausimus: dėl visų rūšių priemokų, išmokų skyrimo, kitų pagal esmę panašių mokėjimų atlikimo;</w:t>
              </w:r>
            </w:p>
            <w:p>
              <w:pPr>
                <w:ind w:firstLine="720"/>
                <w:jc w:val="both"/>
                <w:rPr>
                  <w:szCs w:val="24"/>
                </w:rPr>
              </w:pPr>
              <w:r>
                <w:rPr>
                  <w:szCs w:val="24"/>
                </w:rPr>
                <w:t>- reglamentuoti neteisėtos ir (arba) su Europos Sąjungos vidaus rinka nesuderinamos arba netinkamai taikomos (toliau – neteisėtos) valstybės ir nereikšmingos (</w:t>
              </w:r>
              <w:r>
                <w:rPr>
                  <w:i/>
                  <w:iCs/>
                  <w:szCs w:val="24"/>
                </w:rPr>
                <w:t>de minimis</w:t>
              </w:r>
              <w:r>
                <w:rPr>
                  <w:szCs w:val="24"/>
                </w:rPr>
                <w:t>) pagalbos (toliau kartu – pagalbos) susigrąžinimą apimant visus galimus neteisėtos pagalbos šaltinius ir atvejus. Tais atvejais, kai pagalba yra nesuderinama su Europos Sąjungos vidaus rinka, ji turi būti išieškoma iš pagalbos gavėjo su palūkanomis</w:t>
              </w:r>
              <w:r>
                <w:rPr>
                  <w:szCs w:val="24"/>
                  <w:vertAlign w:val="superscript"/>
                </w:rPr>
                <w:footnoteReference w:id="3"/>
              </w:r>
              <w:r>
                <w:rPr>
                  <w:szCs w:val="24"/>
                </w:rPr>
                <w:t>. Neteisėta pagalba gali būti išieškota nacionalinių teismų bei institucijų iniciatyva</w:t>
              </w:r>
              <w:r>
                <w:rPr>
                  <w:szCs w:val="24"/>
                  <w:vertAlign w:val="superscript"/>
                </w:rPr>
                <w:footnoteReference w:id="4"/>
              </w:r>
              <w:r>
                <w:rPr>
                  <w:szCs w:val="24"/>
                </w:rPr>
                <w:t>. Neteisėta pagalba turi būti išieškoma iš pagalbos gavėjo nedelsiant, bet paprastai ne ilgiau nei per 4 mėnesius, todėl šiuo metu susidaręs teisinis neapibrėžtumas galėtų lemti, kad Lietuva Respublikos pagalbos teikėjai nesugebėtų išieškoti neteisėtos pagalbos per nustatytą terminą, tokiu būdu pažeisdami Europos Sąjungos teisės aktų reikalavimus, dėl ko Lietuvos Respublikai galėtų būti pritaikytos SESV 260 straipsnyje nustatytos sankcijos</w:t>
              </w:r>
              <w:r>
                <w:rPr>
                  <w:szCs w:val="24"/>
                  <w:vertAlign w:val="superscript"/>
                </w:rPr>
                <w:footnoteReference w:id="5"/>
              </w:r>
              <w:r>
                <w:rPr>
                  <w:szCs w:val="24"/>
                </w:rPr>
                <w:t>.</w:t>
              </w:r>
            </w:p>
            <w:p>
              <w:pPr>
                <w:tabs>
                  <w:tab w:val="left" w:pos="1276"/>
                </w:tabs>
                <w:ind w:firstLine="720"/>
                <w:jc w:val="both"/>
                <w:rPr>
                  <w:rFonts w:eastAsia="Calibri"/>
                  <w:szCs w:val="24"/>
                </w:rPr>
              </w:pPr>
              <w:r>
                <w:rPr>
                  <w:rFonts w:eastAsia="Calibri"/>
                  <w:szCs w:val="24"/>
                </w:rPr>
                <w:t>- nustatyti aiškius ir konkrečius įgaliojimus Konkurencijos tarybai kompetenciją reglamentuoti asmens duomenų tvarkymo Konkurencijos taryboje teisinius aspektus. Lietuvos vyriausiojo administracinio teismo išplėstinė teisėjų kolegija 2022 m. birželio 22 d. sprendimu administracinėje byloje Nr. eI-5-502/2022 (toliau – LVAT sprendimas) panaikino 2019 m. sausio 22 d. Konkurencijos tarybos nutarimą Nr. 1S‑4 (2019) „Dėl Asmens duomenų tvarkymo Lietuvos Respublikos konkurencijos taryboje taisyklių patvirtinimo“ (toliau – Taisyklės), nes Konkurencijos įstatyme nenustatė aiškaus ir konkretaus įstatyminio pavedimo, įtvirtinančio Konkurencijos tarybos kompetenciją reglamentuoti asmens duomenų tvarkymo Konkurencijos taryboje teisinius aspektus, todėl konstatavo, kad priimdama Taisykles Konkurencijos taryba viršijo savo kompetenciją. Konkurencijos taryba, kaip viešojo administravimo subjektas ir priežiūros institucija neišvengiamai tvarko asmens duomenis</w:t>
              </w:r>
              <w:r>
                <w:rPr>
                  <w:rFonts w:eastAsia="Calibri"/>
                  <w:szCs w:val="24"/>
                  <w:vertAlign w:val="superscript"/>
                </w:rPr>
                <w:t xml:space="preserve"> </w:t>
              </w:r>
              <w:r>
                <w:rPr>
                  <w:rFonts w:eastAsia="Calibri"/>
                  <w:szCs w:val="24"/>
                </w:rPr>
                <w:t>ir savo veikloje taiko Bendrąjį duomenų apsaugos reglamentą</w:t>
              </w:r>
              <w:r>
                <w:rPr>
                  <w:rFonts w:eastAsia="Calibri"/>
                  <w:szCs w:val="24"/>
                  <w:vertAlign w:val="superscript"/>
                </w:rPr>
                <w:footnoteReference w:id="6"/>
              </w:r>
              <w:r>
                <w:rPr>
                  <w:rFonts w:eastAsia="Calibri"/>
                  <w:szCs w:val="24"/>
                </w:rPr>
                <w:t>;</w:t>
              </w:r>
            </w:p>
            <w:p>
              <w:pPr>
                <w:tabs>
                  <w:tab w:val="left" w:pos="1276"/>
                </w:tabs>
                <w:ind w:firstLine="720"/>
                <w:jc w:val="both"/>
                <w:rPr>
                  <w:rFonts w:eastAsia="Calibri"/>
                  <w:szCs w:val="24"/>
                </w:rPr>
              </w:pPr>
              <w:r>
                <w:rPr>
                  <w:rFonts w:eastAsia="Calibri"/>
                  <w:szCs w:val="24"/>
                </w:rPr>
                <w:t>- papildyti nuostatomis, kurios užtikrintų, kad Konkurencijos taryba būtų informuojama ne tik apie atvejus, kai Lietuvos teismai taiko konkurencijos pažeidimų draudimus nustatančias SEVS nuostatas, bet ir kai taikomas vien Konkurencijos įstatymas;</w:t>
              </w:r>
            </w:p>
            <w:p>
              <w:pPr>
                <w:ind w:firstLine="720"/>
                <w:jc w:val="both"/>
                <w:rPr>
                  <w:iCs/>
                  <w:szCs w:val="24"/>
                </w:rPr>
              </w:pPr>
              <w:r>
                <w:rPr>
                  <w:szCs w:val="24"/>
                </w:rPr>
                <w:t xml:space="preserve">- </w:t>
              </w:r>
              <w:r>
                <w:rPr>
                  <w:iCs/>
                  <w:szCs w:val="24"/>
                </w:rPr>
                <w:t xml:space="preserve">įgyvendinti 2022 m. rugsėjo 14 d. Europos Parlamento ir Tarybos reglamento </w:t>
              </w:r>
              <w:fldSimple w:instr="HYPERLINK http://eur-lex.europa.eu/legal-content/LIT/TXT/?uri=CELEX:31925R2022&amp;locale=lt \t _blank">
                <w:r>
                  <w:rPr>
                    <w:iCs/>
                    <w:szCs w:val="24"/>
                    <w:u w:val="single"/>
                    <w:color w:val="0000FF" w:themeColor="hyperlink"/>
                  </w:rPr>
                  <w:t>(ES) 2022/1925</w:t>
                </w:r>
              </w:fldSimple>
              <w:r>
                <w:rPr>
                  <w:iCs/>
                  <w:szCs w:val="24"/>
                </w:rPr>
                <w:t xml:space="preserve"> dėl atvirų konkurencijai ir sąžiningų skaitmeninio sektoriaus rinkų, kuriuo iš dalies keičiamos direktyvos (ES) 2019/1937 ir (ES) 2020/1828 (Skaitmeninių rinkų aktas), 1 straipsnio 6 dalį ir 23 straipsnio 8 ir 9 dalis;</w:t>
              </w:r>
            </w:p>
            <w:p>
              <w:pPr>
                <w:ind w:firstLine="720"/>
                <w:jc w:val="both"/>
                <w:rPr>
                  <w:color w:val="000000"/>
                  <w:szCs w:val="24"/>
                </w:rPr>
              </w:pPr>
              <w:r>
                <w:rPr>
                  <w:iCs/>
                  <w:szCs w:val="24"/>
                </w:rPr>
                <w:t>- siekiant teisinio aiškumo, šiuo metu Konkurencijos įstatyme vartojamą sąvoką „ūkiniai metai“, pakeisti į „finansiniai metai“, kaip jie apibrėžti L</w:t>
              </w:r>
              <w:r>
                <w:rPr>
                  <w:color w:val="000000"/>
                  <w:szCs w:val="24"/>
                </w:rPr>
                <w:t>ietuvos Respublikos civilinio kodekso 2.52 straipsnyje.</w:t>
              </w:r>
            </w:p>
            <w:p>
              <w:pPr>
                <w:ind w:firstLine="720"/>
                <w:jc w:val="both"/>
                <w:rPr>
                  <w:iCs/>
                  <w:szCs w:val="24"/>
                </w:rPr>
              </w:pPr>
              <w:r>
                <w:rPr>
                  <w:szCs w:val="24"/>
                </w:rPr>
                <w:t>Projektų tikslas – sudaryti sąlygas veiksmingesniam konkurencijos ir pagalbos taisyklių taikymui Lietuvos Respublikoje. Taip pat Projektais siekiama padidinti Konkurencijos tarybos nepriklausomumą ir autonomiją</w:t>
              </w:r>
              <w:r>
                <w:rPr>
                  <w:szCs w:val="24"/>
                  <w:vertAlign w:val="superscript"/>
                </w:rPr>
                <w:footnoteReference w:id="7"/>
              </w:r>
              <w:r>
                <w:rPr>
                  <w:szCs w:val="24"/>
                </w:rPr>
                <w:t>.</w:t>
              </w:r>
            </w:p>
            <w:p>
              <w:pPr>
                <w:jc w:val="both"/>
                <w:rPr>
                  <w:szCs w:val="24"/>
                </w:rPr>
              </w:pPr>
            </w:p>
          </w:sdtContent>
        </w:sdt>
        <w:sdt>
          <w:sdtPr>
            <w:alias w:val="2 p."/>
            <w:tag w:val="part_ca836838c85f4bf5875a4ee99096b6ec"/>
            <w:lock w:val="sdtLocked"/>
            <w:richText/>
          </w:sdtPr>
          <w:sdtContent>
            <w:p>
              <w:pPr>
                <w:tabs>
                  <w:tab w:val="left" w:pos="1134"/>
                </w:tabs>
                <w:ind w:left="567"/>
                <w:jc w:val="both"/>
                <w:rPr>
                  <w:rFonts w:ascii="Calibri" w:eastAsia="Calibri" w:hAnsi="Calibri"/>
                  <w:b/>
                  <w:strike/>
                  <w:szCs w:val="24"/>
                </w:rPr>
              </w:pPr>
              <w:sdt>
                <w:sdtPr>
                  <w:alias w:val="Numeris"/>
                  <w:tag w:val="nr_ca836838c85f4bf5875a4ee99096b6ec"/>
                  <w:lock w:val="sdtLocked"/>
                  <w:richText/>
                </w:sdtPr>
                <w:sdtContent>
                  <w:r>
                    <w:rPr>
                      <w:rFonts w:ascii="Calibri" w:eastAsia="Calibri" w:hAnsi="Calibri"/>
                      <w:b/>
                      <w:szCs w:val="24"/>
                    </w:rPr>
                    <w:t>2</w:t>
                  </w:r>
                </w:sdtContent>
              </w:sdt>
              <w:r>
                <w:rPr>
                  <w:rFonts w:ascii="Calibri" w:eastAsia="Calibri" w:hAnsi="Calibri"/>
                  <w:b/>
                  <w:szCs w:val="24"/>
                </w:rPr>
                <w:t xml:space="preserve">. Projektų iniciatoriai (institucija, asmenys ar piliečių įgalioti atstovai) ir rengėjai </w:t>
              </w:r>
            </w:p>
            <w:p>
              <w:pPr>
                <w:tabs>
                  <w:tab w:val="left" w:pos="567"/>
                </w:tabs>
                <w:ind w:firstLine="567"/>
                <w:jc w:val="both"/>
                <w:rPr>
                  <w:rFonts w:eastAsia="Calibri"/>
                  <w:szCs w:val="24"/>
                </w:rPr>
              </w:pPr>
              <w:r>
                <w:rPr>
                  <w:rFonts w:eastAsia="Calibri"/>
                  <w:szCs w:val="24"/>
                </w:rPr>
                <w:t xml:space="preserve">Projektų iniciatorės ir rengėjos – Lietuvos Respublikos ekonomikos ir inovacijų ministerija ir Konkurencijos taryba. </w:t>
              </w:r>
            </w:p>
            <w:p>
              <w:pPr>
                <w:tabs>
                  <w:tab w:val="left" w:pos="567"/>
                </w:tabs>
                <w:ind w:firstLine="567"/>
                <w:jc w:val="both"/>
                <w:rPr>
                  <w:rFonts w:eastAsia="Calibri"/>
                  <w:bCs/>
                  <w:szCs w:val="24"/>
                  <w:lang w:eastAsia="lt-LT"/>
                </w:rPr>
              </w:pPr>
              <w:r>
                <w:rPr>
                  <w:rFonts w:eastAsia="Calibri"/>
                  <w:bCs/>
                  <w:szCs w:val="24"/>
                </w:rPr>
                <w:t>Konkurencijos įstatymo pakeitimo</w:t>
              </w:r>
              <w:r>
                <w:rPr>
                  <w:rFonts w:eastAsia="Calibri"/>
                  <w:bCs/>
                  <w:szCs w:val="24"/>
                  <w:lang w:eastAsia="lt-LT"/>
                </w:rPr>
                <w:t xml:space="preserve"> projekto nuostatos parengtos bendradarbiaujant su darbo grupės teisiniam reglamentavimui dėl neteisėtos ir (arba) nesuderinamos su vidaus rinka valstybės pagalbos susigrąžinimo parengti, sudarytos Lietuvos Respublikos ekonomikos ir inovacijų ministro 2020 m. </w:t>
              </w:r>
              <w:r>
                <w:rPr>
                  <w:rFonts w:eastAsia="Calibri"/>
                  <w:color w:val="000000"/>
                  <w:szCs w:val="24"/>
                </w:rPr>
                <w:t>lapkričio 18 d. įsakymu Nr. 4-1032</w:t>
              </w:r>
              <w:r>
                <w:rPr>
                  <w:rFonts w:eastAsia="Calibri"/>
                  <w:bCs/>
                  <w:szCs w:val="24"/>
                  <w:lang w:eastAsia="lt-LT"/>
                </w:rPr>
                <w:t xml:space="preserve"> „Dėl Darbo grupės teisiniam reglamentavimui dėl neteisėtos ir (arba) nesuderinamos su vidaus rinka valstybės pagalbos susigrąžinimo parengti sudarymo“, nariais.</w:t>
              </w:r>
            </w:p>
            <w:p>
              <w:pPr>
                <w:tabs>
                  <w:tab w:val="left" w:pos="567"/>
                </w:tabs>
                <w:ind w:firstLine="567"/>
                <w:jc w:val="both"/>
                <w:rPr>
                  <w:rFonts w:eastAsia="Calibri"/>
                  <w:bCs/>
                  <w:szCs w:val="24"/>
                  <w:lang w:eastAsia="lt-LT"/>
                </w:rPr>
              </w:pPr>
            </w:p>
          </w:sdtContent>
        </w:sdt>
        <w:sdt>
          <w:sdtPr>
            <w:alias w:val="3 p."/>
            <w:tag w:val="part_ddbd17c53e8e41c8b2947b9498247e9a"/>
            <w:lock w:val="sdtLocked"/>
            <w:richText/>
          </w:sdtPr>
          <w:sdtContent>
            <w:p>
              <w:pPr>
                <w:tabs>
                  <w:tab w:val="left" w:pos="567"/>
                </w:tabs>
                <w:ind w:firstLine="567"/>
                <w:jc w:val="both"/>
                <w:rPr>
                  <w:rFonts w:eastAsia="Calibri"/>
                  <w:bCs/>
                  <w:szCs w:val="24"/>
                  <w:lang w:eastAsia="lt-LT"/>
                </w:rPr>
              </w:pPr>
              <w:sdt>
                <w:sdtPr>
                  <w:alias w:val="Numeris"/>
                  <w:tag w:val="nr_ddbd17c53e8e41c8b2947b9498247e9a"/>
                  <w:lock w:val="sdtLocked"/>
                  <w:richText/>
                </w:sdtPr>
                <w:sdtContent>
                  <w:r>
                    <w:rPr>
                      <w:rFonts w:eastAsia="Calibri"/>
                      <w:b/>
                      <w:szCs w:val="24"/>
                      <w:lang w:eastAsia="lt-LT"/>
                    </w:rPr>
                    <w:t>3</w:t>
                  </w:r>
                </w:sdtContent>
              </w:sdt>
              <w:r>
                <w:rPr>
                  <w:rFonts w:eastAsia="Calibri"/>
                  <w:b/>
                  <w:szCs w:val="24"/>
                  <w:lang w:eastAsia="lt-LT"/>
                </w:rPr>
                <w:t xml:space="preserve">. </w:t>
              </w:r>
              <w:r>
                <w:rPr>
                  <w:rFonts w:eastAsia="Calibri"/>
                  <w:b/>
                  <w:szCs w:val="24"/>
                </w:rPr>
                <w:t>Dabartinis įstatymų projektuose aptartų teisinių santykių reguliavimas</w:t>
              </w:r>
            </w:p>
            <w:p>
              <w:pPr>
                <w:ind w:firstLine="567"/>
                <w:jc w:val="both"/>
                <w:rPr>
                  <w:szCs w:val="24"/>
                  <w:shd w:val="clear" w:color="auto" w:fill="FFFFFF"/>
                  <w:lang w:bidi="lt-LT"/>
                </w:rPr>
              </w:pPr>
              <w:r>
                <w:rPr>
                  <w:szCs w:val="24"/>
                </w:rPr>
                <w:t xml:space="preserve">Pagal bendrą taisyklę </w:t>
              </w:r>
              <w:r>
                <w:rPr>
                  <w:szCs w:val="24"/>
                  <w:lang w:bidi="lt-LT"/>
                </w:rPr>
                <w:t>Konkurencijos tarybos valstybės pareigūnų darbo užmokesčio skaičiavimai atliekami</w:t>
              </w:r>
              <w:r>
                <w:rPr>
                  <w:szCs w:val="24"/>
                </w:rPr>
                <w:t xml:space="preserve"> dauginant Politikų ir valstybės pareigūnų darbo apmokėjimo įstatyme nustatytą pareiginės algos koeficientą iš einamiesiems metams įstatymuose nustatomo </w:t>
              </w:r>
              <w:r>
                <w:rPr>
                  <w:szCs w:val="24"/>
                  <w:shd w:val="clear" w:color="auto" w:fill="FFFFFF"/>
                </w:rPr>
                <w:t xml:space="preserve">bazinio dydžio, taikomo apskaičiuojant valstybės politikų, teisėjų, valstybės pareigūnų ir valstybės tarnautojų pareigines algas. </w:t>
              </w:r>
              <w:r>
                <w:rPr>
                  <w:szCs w:val="24"/>
                  <w:shd w:val="clear" w:color="auto" w:fill="FFFFFF"/>
                  <w:lang w:bidi="lt-LT"/>
                </w:rPr>
                <w:t xml:space="preserve">Skaičiuojant darbo užmokestį tokiu būdu, Konkurencijos tarybos valstybės pareigūnų atlyginimai gaunasi mažesni negu atlyginimai šios institucijos valstybės tarnautojams ar darbuotojams, dirbantiems pagal darbo sutartis. Tuomet taikoma </w:t>
              </w:r>
              <w:r>
                <w:rPr>
                  <w:szCs w:val="24"/>
                  <w:shd w:val="clear" w:color="auto" w:fill="FFFFFF"/>
                </w:rPr>
                <w:t xml:space="preserve">Politikų ir valstybės pareigūnų darbo apmokėjimo įstatyme nustatyta išimtis ir </w:t>
              </w:r>
              <w:r>
                <w:rPr>
                  <w:szCs w:val="24"/>
                  <w:shd w:val="clear" w:color="auto" w:fill="FFFFFF"/>
                  <w:lang w:bidi="lt-LT"/>
                </w:rPr>
                <w:t xml:space="preserve">valstybės pareigūnų </w:t>
              </w:r>
              <w:r>
                <w:rPr>
                  <w:szCs w:val="24"/>
                  <w:shd w:val="clear" w:color="auto" w:fill="FFFFFF"/>
                </w:rPr>
                <w:t xml:space="preserve">darbo užmokestis nustatomas pagal Konkurencijos tarybos </w:t>
              </w:r>
              <w:r>
                <w:rPr>
                  <w:szCs w:val="24"/>
                  <w:shd w:val="clear" w:color="auto" w:fill="FFFFFF"/>
                  <w:lang w:bidi="lt-LT"/>
                </w:rPr>
                <w:t>didžiausią darbo užmokestį gaunančio valstybės tarnautojo ar darbuotojo, dirbančio pagal darbo sutartį, darbo užmokesčio per praėjusius kalendorinius metus vidurkį.</w:t>
              </w:r>
            </w:p>
            <w:p>
              <w:pPr>
                <w:tabs>
                  <w:tab w:val="left" w:pos="1134"/>
                </w:tabs>
                <w:ind w:firstLine="567"/>
                <w:jc w:val="both"/>
                <w:rPr>
                  <w:szCs w:val="24"/>
                  <w:shd w:val="clear" w:color="auto" w:fill="FFFFFF"/>
                </w:rPr>
              </w:pPr>
              <w:r>
                <w:rPr>
                  <w:szCs w:val="24"/>
                </w:rPr>
                <w:t>Lietuvos Respublikos valstybės tarnybos įstatymas nustato V</w:t>
              </w:r>
              <w:r>
                <w:rPr>
                  <w:szCs w:val="24"/>
                  <w:shd w:val="clear" w:color="auto" w:fill="FFFFFF"/>
                </w:rPr>
                <w:t>alstybės ir savivaldybių institucijų ir įstaigų skirstymą į grupes, pagal kurį Konkurencijos taryba yra Lietuvos Respublikos Seimo, Seimo kanceliarijos ir Seimui atskaitingų institucijų, Respublikos Prezidento kanceliarijos ir Respublikos Prezidentui atskaitingų institucijų, Nacionalinės teismų administracijos, teismų, prokuratūros, savivaldybių institucijų ir įstaigų sąraše pagal grupes</w:t>
              </w:r>
              <w:r>
                <w:rPr>
                  <w:szCs w:val="24"/>
                  <w:shd w:val="clear" w:color="auto" w:fill="FFFFFF"/>
                  <w:vertAlign w:val="superscript"/>
                </w:rPr>
                <w:footnoteReference w:id="8"/>
              </w:r>
              <w:r>
                <w:rPr>
                  <w:szCs w:val="24"/>
                  <w:shd w:val="clear" w:color="auto" w:fill="FFFFFF"/>
                </w:rPr>
                <w:t xml:space="preserve"> (toliau – LRS sąrašas) ir priskirta II įstaigų grupei.</w:t>
              </w:r>
            </w:p>
            <w:p>
              <w:pPr>
                <w:tabs>
                  <w:tab w:val="left" w:pos="1276"/>
                </w:tabs>
                <w:ind w:firstLine="567"/>
                <w:jc w:val="both"/>
                <w:rPr>
                  <w:rFonts w:eastAsia="Calibri"/>
                  <w:szCs w:val="24"/>
                </w:rPr>
              </w:pPr>
              <w:r>
                <w:rPr>
                  <w:rFonts w:eastAsia="Calibri"/>
                  <w:szCs w:val="24"/>
                </w:rPr>
                <w:t>Šiuo metu Lietuvoje neteisėtos pagalbos susigrąžinimas reglamentuojamas per siaurai ir taikomas tik paramai, skirtai iš tam tikrų šaltinių, bet visa apimančios neteisėtos pagalbos susigražinimo sistemos nėra sukurta. Neteisėtos pagalbos, kuri suteikta iš Europos Sąjungos lėšų, susigrąžinimą reglamentuoja Lietuvos Respublikos Vyriausybės 2005 m. gegužės 30 d. nutarimas Nr. 590 „Dėl Finansinės paramos ir bendrojo finansavimo lėšų grąžinimo į Lietuvos Respublikos valstybės biudžetą taisyklių patvirtinimo“, Lietuvos Respublikos Vyriausybės 2009 m. balandžio 8 d. nutarimas Nr. 275 „Dėl Grąžintinų lėšų, susidariusių įgyvendinant Europos žuvininkystės fondo priemones, administravimo taisyklių patvirtinimo“ ir Lietuvos Respublikos Vyriausybės 2008 m. vasario 13 d. nutarimas Nr. 137 „Dėl Grąžintinų lėšų, susidariusių įgyvendinant Europos Sąjungos žemės ūkio fondų priemones, administravimo taisyklių patvirtinimo“. Iš nacionalinių lėšų suteiktos pagalbos susigrąžinimą reglamentuoja tik Lietuvos Respublikos žemės ūkio ministro 2011 m. spalio 13 d. įsakymas Nr. 3D-750 „Dėl Grąžintinų lėšų, susidariusių įgyvendinant valstybės pagalbos žemės ūkiui, maisto ūkiui, žuvininkystei ir kaimo plėtrai ir kitas iš valstybės biudžeto lėšų finansuojamas priemones, administravimo taisyklių patvirtinimo“ – juo nustatyta tvarka taikoma tik Lietuvos Respublikos žemės ūkio ministerijos suteiktos neteisėtos pagalbos išieškojimui.</w:t>
              </w:r>
            </w:p>
            <w:p>
              <w:pPr>
                <w:ind w:firstLine="567"/>
                <w:jc w:val="both"/>
                <w:rPr>
                  <w:szCs w:val="24"/>
                </w:rPr>
              </w:pPr>
              <w:r>
                <w:rPr>
                  <w:szCs w:val="24"/>
                </w:rPr>
                <w:t>Šiuo metu Konkurencijos įstatymo 18 straipsnio 1 dalies 13 punktas nustato, kad Konkurencijos taryba atlieka kitas šiame ir kituose Konkurencijos tarybos veiklai taikomuose įstatymuose nustatytas funkcijas, o to paties straipsnio 2 dalies 3 punktas nustato, kad Konkurencijos taryba, atlikdama jai pavestas funkcijas, turi teisę pagal kompetenciją priimti teisės aktus.</w:t>
              </w:r>
            </w:p>
            <w:p>
              <w:pPr>
                <w:ind w:firstLine="567"/>
                <w:jc w:val="both"/>
                <w:rPr>
                  <w:szCs w:val="24"/>
                </w:rPr>
              </w:pPr>
              <w:r>
                <w:rPr>
                  <w:szCs w:val="24"/>
                </w:rPr>
                <w:t>Šiuo metu Konkurencijos tarybos administracijos struktūrą nustato Lietuvos Respublikos viešojo administravimo įstatymo 8 straipsnis.</w:t>
              </w:r>
            </w:p>
            <w:p>
              <w:pPr>
                <w:ind w:firstLine="567"/>
                <w:jc w:val="both"/>
                <w:rPr>
                  <w:szCs w:val="24"/>
                  <w:shd w:val="clear" w:color="auto" w:fill="FFFFFF"/>
                  <w:lang w:bidi="lt-LT"/>
                </w:rPr>
              </w:pPr>
              <w:r>
                <w:rPr>
                  <w:szCs w:val="24"/>
                </w:rPr>
                <w:t>Šiuo metu teismai turi išsiųsti Europos Komisijai ir Konkurencijos tarybai sprendimo, priimto byloje, kurioje buvo taikomas SESV 101 straipsnis</w:t>
              </w:r>
              <w:r>
                <w:rPr>
                  <w:szCs w:val="24"/>
                  <w:vertAlign w:val="superscript"/>
                </w:rPr>
                <w:footnoteReference w:id="9"/>
              </w:r>
              <w:r>
                <w:rPr>
                  <w:szCs w:val="24"/>
                </w:rPr>
                <w:t xml:space="preserve"> ar 102 straipsnis</w:t>
              </w:r>
              <w:r>
                <w:rPr>
                  <w:szCs w:val="24"/>
                  <w:vertAlign w:val="superscript"/>
                </w:rPr>
                <w:footnoteReference w:id="10"/>
              </w:r>
              <w:r>
                <w:rPr>
                  <w:szCs w:val="24"/>
                </w:rPr>
                <w:t>, nuorašą nedelsiant po tokio sprendimo paskelbimo.</w:t>
              </w:r>
            </w:p>
            <w:p>
              <w:pPr>
                <w:tabs>
                  <w:tab w:val="left" w:pos="1134"/>
                </w:tabs>
                <w:ind w:firstLine="567"/>
                <w:jc w:val="both"/>
                <w:rPr>
                  <w:bCs/>
                  <w:szCs w:val="24"/>
                </w:rPr>
              </w:pPr>
            </w:p>
          </w:sdtContent>
        </w:sdt>
        <w:sdt>
          <w:sdtPr>
            <w:alias w:val="4 p."/>
            <w:tag w:val="part_7937d2b069cd47379561e34303923619"/>
            <w:lock w:val="sdtLocked"/>
            <w:richText/>
          </w:sdtPr>
          <w:sdtContent>
            <w:p>
              <w:pPr>
                <w:tabs>
                  <w:tab w:val="left" w:pos="1134"/>
                </w:tabs>
                <w:ind w:left="567"/>
                <w:jc w:val="both"/>
                <w:rPr>
                  <w:rFonts w:ascii="Calibri" w:eastAsia="Calibri" w:hAnsi="Calibri"/>
                  <w:b/>
                  <w:szCs w:val="24"/>
                </w:rPr>
              </w:pPr>
              <w:sdt>
                <w:sdtPr>
                  <w:alias w:val="Numeris"/>
                  <w:tag w:val="nr_7937d2b069cd47379561e34303923619"/>
                  <w:lock w:val="sdtLocked"/>
                  <w:richText/>
                </w:sdtPr>
                <w:sdtContent>
                  <w:r>
                    <w:rPr>
                      <w:rFonts w:ascii="Calibri" w:eastAsia="Calibri" w:hAnsi="Calibri"/>
                      <w:b/>
                      <w:szCs w:val="24"/>
                    </w:rPr>
                    <w:t>4</w:t>
                  </w:r>
                </w:sdtContent>
              </w:sdt>
              <w:r>
                <w:rPr>
                  <w:rFonts w:ascii="Calibri" w:eastAsia="Calibri" w:hAnsi="Calibri"/>
                  <w:b/>
                  <w:szCs w:val="24"/>
                </w:rPr>
                <w:t xml:space="preserve">. Siūlomos naujos teisinio reguliavimo nuostatos ir kokių teigiamų rezultatų laukiama </w:t>
              </w:r>
            </w:p>
            <w:p>
              <w:pPr>
                <w:ind w:firstLine="567"/>
                <w:jc w:val="both"/>
                <w:rPr>
                  <w:szCs w:val="24"/>
                </w:rPr>
              </w:pPr>
              <w:r>
                <w:rPr>
                  <w:szCs w:val="24"/>
                </w:rPr>
                <w:t xml:space="preserve">Konkurencijos tarybos pirmininkui ir nariams tenka tiesioginė atsakomybė už prižiūrimas sritis, sudėtingų ir ekonomines pasekmes rinkai turinčių sprendimų priėmimą. Dėl to Konkurencijos tarybos pirmininko ir narių darbo užmokesčio apskaičiavimo mechanizmas turėtų būti toks, kad užtikrintų pakankamą atlyginimą už atitinkamo sudėtingumo ir didelės atsakomybės darbą, pritraukiant į pareigas itin aukštos kvalifikacijos asmenis. Konkurencijos tarybos pirmininkui ir nariams siūloma nustatyti darbo užmokesčių dydžius taip, kaip yra nustatyta Valstybinės energetikos reguliavimo tarybos (toliau – VERT) pirmininkui ir jos nariams bei Ryšių reguliavimo tarnybos (toliau – RRT) kolegialaus organo pirmininkui ir nariams, t. y. siejant su šalies ūkio darbuotojų </w:t>
              </w:r>
              <w:r>
                <w:rPr>
                  <w:color w:val="000000"/>
                  <w:szCs w:val="24"/>
                </w:rPr>
                <w:t>vidutiniu mėnesiniu darbo užmokesčiu</w:t>
              </w:r>
              <w:r>
                <w:rPr>
                  <w:szCs w:val="24"/>
                </w:rPr>
                <w:t xml:space="preserve"> šalyje. Konkurencijos taryba yra rinkos priežiūros institucija, kaip ir VERT ar RRT, atsižvelgiant į tai ir siekiant nuoseklaus teisinio reguliavimo, visų šių rinkos priežiūros institucijų kolegialių organų narių darbo užmokesčių nustatymo tvarka turėtų būti analogiška.</w:t>
              </w:r>
            </w:p>
            <w:p>
              <w:pPr>
                <w:ind w:firstLine="567"/>
                <w:jc w:val="both"/>
                <w:rPr>
                  <w:szCs w:val="24"/>
                </w:rPr>
              </w:pPr>
              <w:r>
                <w:rPr>
                  <w:szCs w:val="24"/>
                </w:rPr>
                <w:t>LRS sąrašo pakeitimu RRT priskirta I įstaigų grupei. Lietuvos Respublikos Seimo nutarimo „Dėl Lietuvos Respublikos Seimo 2018 m. gruodžio 20 d. nutarimo Nr. XIII-1896 „Dėl Lietuvos Respublikos Seimo, Seimo kanceliarijos ir Seimui atskaitingų institucijų, Respublikos Prezidento kanceliarijos ir Respublikos Prezidentui atskaitingų institucijų, nacionalinės teismų administracijos, teismų, prokuratūros, savivaldybių institucijų ir įstaigų sąrašo pagal grupes patvirtinimo“ pakeitimo“ projektu siūloma Konkurencijos tarybą taip pat priskirti LRS sąrašo I įstaigų grupei. Tai pabrėžtų Konkurencijos tarybos, kaip nepriklausomos institucijos</w:t>
              </w:r>
              <w:r>
                <w:rPr>
                  <w:szCs w:val="24"/>
                  <w:vertAlign w:val="superscript"/>
                </w:rPr>
                <w:footnoteReference w:id="11"/>
              </w:r>
              <w:r>
                <w:rPr>
                  <w:szCs w:val="24"/>
                </w:rPr>
                <w:t xml:space="preserve">, statusą, atliekamų funkcijų ir priimamų sprendimų svarbą, </w:t>
              </w:r>
              <w:r>
                <w:rPr>
                  <w:szCs w:val="24"/>
                  <w:lang w:eastAsia="lt-LT"/>
                </w:rPr>
                <w:t xml:space="preserve">užtikrintų nuoseklų teisinį reguliavimą ir </w:t>
              </w:r>
              <w:r>
                <w:rPr>
                  <w:szCs w:val="24"/>
                </w:rPr>
                <w:t>leistų lengviau pritraukti bei išlaikyti aukštos kompetencijos ir specializuotų žinių turinčius darbuotojus.</w:t>
              </w:r>
            </w:p>
            <w:p>
              <w:pPr>
                <w:ind w:firstLine="567"/>
                <w:jc w:val="both"/>
                <w:rPr>
                  <w:szCs w:val="24"/>
                </w:rPr>
              </w:pPr>
              <w:r>
                <w:rPr>
                  <w:szCs w:val="24"/>
                </w:rPr>
                <w:t>Pritraukus į Konkurencijos tarybos pareigūnų ir darbuotojų pareigas aukštos kompetencijos bei specializuotų žinių turinčius vadovus bei ekspertus, tai prisidėtų prie veiksmingesnės konkurencijos apsaugos Lietuvoje ir didesnio Konkurencijos tarybos nepriklausomumo.</w:t>
              </w:r>
            </w:p>
            <w:p>
              <w:pPr>
                <w:ind w:firstLine="567"/>
                <w:jc w:val="both"/>
                <w:rPr>
                  <w:szCs w:val="24"/>
                </w:rPr>
              </w:pPr>
              <w:r>
                <w:rPr>
                  <w:szCs w:val="24"/>
                </w:rPr>
                <w:t>Konkurencijos taryba pagal Valstybės ir savivaldybių institucijų ir įstaigų skirstymo į grupes kriterijus, numatytus Valstybės tarnybos įstatymo 2 priede (toliau – Kriterijai), atitinka I grupės institucijoms keliamus reikalavimus:</w:t>
              </w:r>
            </w:p>
          </w:sdtContent>
        </w:sdt>
        <w:sdt>
          <w:sdtPr>
            <w:alias w:val="1 p."/>
            <w:tag w:val="part_15e7d5fc60ad4b61acd32a6ccce9bcb2"/>
            <w:lock w:val="sdtLocked"/>
            <w:richText/>
          </w:sdtPr>
          <w:sdtContent>
            <w:p>
              <w:pPr>
                <w:ind w:firstLine="567"/>
                <w:jc w:val="both"/>
                <w:rPr>
                  <w:szCs w:val="24"/>
                </w:rPr>
              </w:pPr>
              <w:sdt>
                <w:sdtPr>
                  <w:alias w:val="Numeris"/>
                  <w:tag w:val="nr_15e7d5fc60ad4b61acd32a6ccce9bcb2"/>
                  <w:lock w:val="sdtLocked"/>
                  <w:richText/>
                </w:sdtPr>
                <w:sdtContent>
                  <w:r>
                    <w:rPr>
                      <w:szCs w:val="24"/>
                    </w:rPr>
                    <w:t>1</w:t>
                  </w:r>
                </w:sdtContent>
              </w:sdt>
              <w:r>
                <w:rPr>
                  <w:szCs w:val="24"/>
                </w:rPr>
                <w:t>. Pagal kriterijų „Dalyvavimas formuojant valstybės politiką nacionalinio saugumo srityje ir jos įgyvendinimas“ Konkurencijos taryba vertintina 100 balų dėl to, kad:</w:t>
              </w:r>
            </w:p>
            <w:sdt>
              <w:sdtPr>
                <w:alias w:val="1 p. a pp."/>
                <w:tag w:val="part_eed5511162b440ba9acc46b694ff9933"/>
                <w:lock w:val="sdtLocked"/>
                <w:richText/>
              </w:sdtPr>
              <w:sdtContent>
                <w:p>
                  <w:pPr>
                    <w:ind w:firstLine="567"/>
                    <w:jc w:val="both"/>
                    <w:rPr>
                      <w:szCs w:val="24"/>
                    </w:rPr>
                  </w:pPr>
                  <w:sdt>
                    <w:sdtPr>
                      <w:alias w:val="Numeris"/>
                      <w:tag w:val="nr_eed5511162b440ba9acc46b694ff9933"/>
                      <w:lock w:val="sdtLocked"/>
                      <w:richText/>
                    </w:sdtPr>
                    <w:sdtContent>
                      <w:r>
                        <w:rPr>
                          <w:szCs w:val="24"/>
                        </w:rPr>
                        <w:t>a</w:t>
                      </w:r>
                    </w:sdtContent>
                  </w:sdt>
                  <w:r>
                    <w:rPr>
                      <w:szCs w:val="24"/>
                    </w:rPr>
                    <w:t>) Konkurencijos taryba vykdo konkurencijos priežiūrą taikydama Konkurencijos įstatymą visuose Lietuvos ūkio sektoriuose, įskaitant sektorius, kurie yra svarbūs nacionaliniam saugumui užtikrinti. Lietuvos Respublikos nacionaliniam saugumui užtikrinti svarbių objektų apsaugos įstatymo 6 straipsnyje įvardinti šie nacionaliniam saugumui užtikrinti strategiškai svarbūs ūkio sektoriai: energetikos, transporto, informacinių technologijų ir telekomunikacijų, kitų aukštųjų technologijų, finansų ir kredito, karinės įrangos. Konkurencijos įstatymo 2 straipsnio 1 dalis numato, kad Konkurencijos įstatymu draudžiama ūkio subjektams atlikti veiksmus, kurie riboja ar gali riboti konkurenciją, nesvarbu, kokio pobūdžio jų ūkinė veikla, išskyrus atvejus, kai šiame įstatyme ar kituose įstatymuose, skirtuose atskiroms ūkinės veiklos sritims, numatomos išimtys. Kituose įstatymuose tokių išimčių šiuo metu nėra numatyta, tad Konkurencijos įstatymas taikomas visuose minėtuose nacionaliniam saugumui užtikrinti strategiškai svarbiuose ūkio sektoriuose. Be to, pavyzdžiui, Lietuvos Respublikos elektroninių ryšių įstatymo 14 straipsnio 2 dalis aiškiai numato, kad konkurencijos priežiūrą elektroninių ryšių srityje pagal Konkurencijos įstatymą atlieka Konkurencijos taryba. Lietuvos Respublikos energetikos įstatymo 11 straipsnis nustato, kad Konkurencijos taryba pagal kompetenciją kontroliuoja, kaip ūkio subjektai laikosi įstatymų nustatytų reikalavimų užtikrinant sąžiningą konkurenciją energetikos sektoriuje. Konkurencijos taryba yra ir praktiškai taikiusi Konkurencijos įstatymą įmonių, veikiančių minėtuose nacionaliniam saugumui užtikrinti strategiškai svarbiuose ūkio sektoriuose</w:t>
                  </w:r>
                  <w:r>
                    <w:rPr>
                      <w:szCs w:val="24"/>
                      <w:vertAlign w:val="superscript"/>
                    </w:rPr>
                    <w:footnoteReference w:id="12"/>
                  </w:r>
                  <w:r>
                    <w:rPr>
                      <w:szCs w:val="24"/>
                    </w:rPr>
                    <w:t>;</w:t>
                  </w:r>
                </w:p>
              </w:sdtContent>
            </w:sdt>
            <w:sdt>
              <w:sdtPr>
                <w:alias w:val="1 p. b pp."/>
                <w:tag w:val="part_0c9f8785648d4ec3bec77696cf848286"/>
                <w:lock w:val="sdtLocked"/>
                <w:richText/>
              </w:sdtPr>
              <w:sdtContent>
                <w:p>
                  <w:pPr>
                    <w:ind w:firstLine="567"/>
                    <w:jc w:val="both"/>
                    <w:rPr>
                      <w:szCs w:val="24"/>
                    </w:rPr>
                  </w:pPr>
                  <w:sdt>
                    <w:sdtPr>
                      <w:alias w:val="Numeris"/>
                      <w:tag w:val="nr_0c9f8785648d4ec3bec77696cf848286"/>
                      <w:lock w:val="sdtLocked"/>
                      <w:richText/>
                    </w:sdtPr>
                    <w:sdtContent>
                      <w:r>
                        <w:rPr>
                          <w:szCs w:val="24"/>
                        </w:rPr>
                        <w:t>b</w:t>
                      </w:r>
                    </w:sdtContent>
                  </w:sdt>
                  <w:r>
                    <w:rPr>
                      <w:szCs w:val="24"/>
                    </w:rPr>
                    <w:t>) Konkurencijos įstatymas taikomas visų ūkinę veiklą vykdančių subjektų atžvilgiu, nepriklausomai nuo jų ūkinės veiklos pobūdžio. Todėl Konkurencijos taryba taiko Konkurencijos įstatymą taip pat ir tų įmonių atžvilgiu, kurios įtrauktos į nacionaliniam saugumui užtikrinti svarbių įmonių sąrašus</w:t>
                  </w:r>
                  <w:r>
                    <w:rPr>
                      <w:szCs w:val="24"/>
                      <w:vertAlign w:val="superscript"/>
                    </w:rPr>
                    <w:footnoteReference w:id="13"/>
                  </w:r>
                  <w:r>
                    <w:rPr>
                      <w:szCs w:val="24"/>
                    </w:rPr>
                    <w:t>. Pavyzdžiui, akcinė bendrovė Lietuvos paštas yra įtraukta į Antros kategorijos nacionaliniam saugumui užtikrinti svarbių įmonių sąrašą. Šios įmonės atžvilgiu Konkurencijos taryba vykdė Konkurencijos įstatymo įtariamo pažeidimo tyrimą bei priėmė sprendimą</w:t>
                  </w:r>
                  <w:r>
                    <w:rPr>
                      <w:szCs w:val="24"/>
                      <w:vertAlign w:val="superscript"/>
                    </w:rPr>
                    <w:footnoteReference w:id="14"/>
                  </w:r>
                  <w:r>
                    <w:rPr>
                      <w:szCs w:val="24"/>
                    </w:rPr>
                    <w:t>, kuriuo buvo patvirtinti šios įmonės įsipareigojimai laikant, kad jie tinkamai pašalina įtariamą Konkurencijos įstatymo pažeidimą. Konkurencijos taryba taip pat yra du kartus paskyrusi baudas akcinei bendrovei Lietuvos paštui už Konkurencijos įstatymo pažeidimus</w:t>
                  </w:r>
                  <w:r>
                    <w:rPr>
                      <w:szCs w:val="24"/>
                      <w:vertAlign w:val="superscript"/>
                    </w:rPr>
                    <w:footnoteReference w:id="15"/>
                  </w:r>
                  <w:r>
                    <w:rPr>
                      <w:szCs w:val="24"/>
                    </w:rPr>
                    <w:t>. Be to, pavyzdžiui, įmonė, valdanti tarptautinius Vilniaus, Kauno ir Palangos oro uostus, yra įtraukta į Pirmos kategorijos nacionaliniam saugumui užtikrinti svarbių įmonių sąrašą. Valstybės įmonės Tarptautinio Vilniaus oro uosto atžvilgiu Konkurencijos taryba yra priėmusi net keturis sprendimus</w:t>
                  </w:r>
                  <w:r>
                    <w:rPr>
                      <w:szCs w:val="24"/>
                      <w:vertAlign w:val="superscript"/>
                    </w:rPr>
                    <w:footnoteReference w:id="16"/>
                  </w:r>
                  <w:r>
                    <w:rPr>
                      <w:szCs w:val="24"/>
                    </w:rPr>
                    <w:t>, kuriais konstatavo šios įmonės padarytus Konkurencijos įstatymo pažeidimus ir trimis atvejais paskyrė baudas, o vienu atveju nuo baudos įmonę atleido;</w:t>
                  </w:r>
                </w:p>
              </w:sdtContent>
            </w:sdt>
            <w:sdt>
              <w:sdtPr>
                <w:alias w:val="1 p. c pp."/>
                <w:tag w:val="part_0326f64d3f7c49348e84cf64773b5e95"/>
                <w:lock w:val="sdtLocked"/>
                <w:richText/>
              </w:sdtPr>
              <w:sdtContent>
                <w:p>
                  <w:pPr>
                    <w:ind w:firstLine="567"/>
                    <w:jc w:val="both"/>
                    <w:rPr>
                      <w:szCs w:val="24"/>
                    </w:rPr>
                  </w:pPr>
                  <w:sdt>
                    <w:sdtPr>
                      <w:alias w:val="Numeris"/>
                      <w:tag w:val="nr_0326f64d3f7c49348e84cf64773b5e95"/>
                      <w:lock w:val="sdtLocked"/>
                      <w:richText/>
                    </w:sdtPr>
                    <w:sdtContent>
                      <w:r>
                        <w:rPr>
                          <w:szCs w:val="24"/>
                        </w:rPr>
                        <w:t>c</w:t>
                      </w:r>
                    </w:sdtContent>
                  </w:sdt>
                  <w:r>
                    <w:rPr>
                      <w:szCs w:val="24"/>
                    </w:rPr>
                    <w:t>) Konkurencijos taryba turi įgaliojimus tirti viešojo administravimo subjektų sprendimus ir skirti baudas viešojo administravimo subjektams, kai jie pažeidžia Konkurencijos įstatymo 4 straipsnį, draudžiantį viešojo administravimo subjektams riboti konkurenciją. Konkurencijos įstatymo 4 straipsnis taikomas visų viešojo administravimo subjektų atžvilgiu, įskaitant ir tuos, kurie formuoja ir įgyvendina valstybės politiką nacionalinio saugumo srityje. Pavyzdžiui, Konkurencijos taryba yra tyrusi Valstybinės kainų ir energetikos kontrolės komisijos</w:t>
                  </w:r>
                  <w:r>
                    <w:rPr>
                      <w:szCs w:val="24"/>
                      <w:vertAlign w:val="superscript"/>
                    </w:rPr>
                    <w:footnoteReference w:id="17"/>
                  </w:r>
                  <w:r>
                    <w:rPr>
                      <w:szCs w:val="24"/>
                    </w:rPr>
                    <w:t xml:space="preserve"> priimtus sprendimus</w:t>
                  </w:r>
                  <w:r>
                    <w:rPr>
                      <w:szCs w:val="24"/>
                      <w:vertAlign w:val="superscript"/>
                    </w:rPr>
                    <w:footnoteReference w:id="18"/>
                  </w:r>
                  <w:r>
                    <w:rPr>
                      <w:szCs w:val="24"/>
                    </w:rPr>
                    <w:t xml:space="preserve">. </w:t>
                  </w:r>
                </w:p>
              </w:sdtContent>
            </w:sdt>
          </w:sdtContent>
        </w:sdt>
        <w:sdt>
          <w:sdtPr>
            <w:alias w:val="2 p."/>
            <w:tag w:val="part_40907fbb07c74d858f1fd52e2d3989f2"/>
            <w:lock w:val="sdtLocked"/>
            <w:richText/>
          </w:sdtPr>
          <w:sdtContent>
            <w:p>
              <w:pPr>
                <w:ind w:firstLine="567"/>
                <w:jc w:val="both"/>
                <w:rPr>
                  <w:szCs w:val="24"/>
                </w:rPr>
              </w:pPr>
              <w:sdt>
                <w:sdtPr>
                  <w:alias w:val="Numeris"/>
                  <w:tag w:val="nr_40907fbb07c74d858f1fd52e2d3989f2"/>
                  <w:lock w:val="sdtLocked"/>
                  <w:richText/>
                </w:sdtPr>
                <w:sdtContent>
                  <w:r>
                    <w:rPr>
                      <w:szCs w:val="24"/>
                    </w:rPr>
                    <w:t>2</w:t>
                  </w:r>
                </w:sdtContent>
              </w:sdt>
              <w:r>
                <w:rPr>
                  <w:szCs w:val="24"/>
                </w:rPr>
                <w:t xml:space="preserve">. Pagal kriterijų „Valstybės ar savivaldybių institucijos ar įstaigos veiklos ir sprendimų galiojimo ribos“ Konkurencijos taryba taip pat vertintina 100 balų, nes Konkurencijos įstatymas ir Mažmeninės prekybos įmonių nesąžiningų veiksmų draudimo įstatymas, kurių priežiūrą vykdo Konkurencijos taryba, taikomi visoje Lietuvos Respublikos teritorijoje. </w:t>
              </w:r>
            </w:p>
            <w:p>
              <w:pPr>
                <w:tabs>
                  <w:tab w:val="left" w:pos="709"/>
                </w:tabs>
                <w:ind w:firstLine="567"/>
                <w:jc w:val="both"/>
                <w:rPr>
                  <w:szCs w:val="24"/>
                </w:rPr>
              </w:pPr>
              <w:r>
                <w:rPr>
                  <w:szCs w:val="24"/>
                </w:rPr>
                <w:t>Taigi, vadovaujantis Kriterijų 4 punktu, Konkurencijos tarybą įvertinus 200 balų, ji turi būti priskirta LRS sąrašo I grupei.</w:t>
              </w:r>
            </w:p>
            <w:p>
              <w:pPr>
                <w:tabs>
                  <w:tab w:val="left" w:pos="709"/>
                </w:tabs>
                <w:ind w:firstLine="567"/>
                <w:jc w:val="both"/>
                <w:rPr>
                  <w:szCs w:val="24"/>
                </w:rPr>
              </w:pPr>
              <w:r>
                <w:rPr>
                  <w:bCs/>
                  <w:szCs w:val="24"/>
                </w:rPr>
                <w:t>Konkurencijos įstatymo pakeitimo</w:t>
              </w:r>
              <w:r>
                <w:rPr>
                  <w:bCs/>
                  <w:szCs w:val="24"/>
                  <w:lang w:eastAsia="lt-LT"/>
                </w:rPr>
                <w:t xml:space="preserve"> projektu </w:t>
              </w:r>
              <w:r>
                <w:rPr>
                  <w:szCs w:val="24"/>
                </w:rPr>
                <w:t xml:space="preserve">siūlomais pakeitimais dėl pagalbos būtų nustatomos pagalbos teikėjams kylančios pareigos, kurios apimtų ir neteisėtos pagalbos išieškojimo inicijavimą. Atsižvelgiant į problemas, susijusias su pagalbos teisėtumo kontrole savivaldybėse, </w:t>
              </w:r>
              <w:r>
                <w:rPr>
                  <w:bCs/>
                  <w:szCs w:val="24"/>
                </w:rPr>
                <w:t>Konkurencijos įstatymo pakeitimo</w:t>
              </w:r>
              <w:r>
                <w:rPr>
                  <w:bCs/>
                  <w:szCs w:val="24"/>
                  <w:lang w:eastAsia="lt-LT"/>
                </w:rPr>
                <w:t xml:space="preserve"> projektu</w:t>
              </w:r>
              <w:r>
                <w:rPr>
                  <w:szCs w:val="24"/>
                </w:rPr>
                <w:t xml:space="preserve"> numatoma visų pagalbos teikėjų pareiga pagalbos priemones derinti su Konkurencijos taryba Vyriausybės nustatyta tvarka</w:t>
              </w:r>
              <w:r>
                <w:rPr>
                  <w:szCs w:val="24"/>
                  <w:vertAlign w:val="superscript"/>
                </w:rPr>
                <w:footnoteReference w:id="19"/>
              </w:r>
              <w:r>
                <w:rPr>
                  <w:szCs w:val="24"/>
                </w:rPr>
                <w:t>, tokiu būdu mažinant neteisėtos pagalbos suteikimo tikimybę savivaldybių lygmenyje.</w:t>
              </w:r>
            </w:p>
            <w:p>
              <w:pPr>
                <w:tabs>
                  <w:tab w:val="left" w:pos="709"/>
                </w:tabs>
                <w:ind w:firstLine="567"/>
                <w:jc w:val="both"/>
                <w:rPr>
                  <w:szCs w:val="24"/>
                </w:rPr>
              </w:pPr>
              <w:r>
                <w:rPr>
                  <w:szCs w:val="24"/>
                </w:rPr>
                <w:t>Jeigu pagalbos teikėjas nustato, kad teikiant pagalba buvo pažeistos Europos Sąjungos pagalbos taisyklės, arba Europos Komisija pripažįsta pagalbos teikėjo suteiktą pagalbą neteisėta siūloma numatyti pareigą tokią pagalbą suteikusiam pagalbos teikėjui priimti sprendimą dėl neteisėtos pagalbos grąžinimo. Pagalbos gavėjui per nustatytą terminą negrąžinus lėšų, siūloma numatyti kad Valstybinė mokesčių inspekcija prie Lietuvos Respublikos finansų ministerijos (toliau – VMI) priimtų sprendimą dėl priverstinio lėšų išieškojimo į valstybės biudžetą</w:t>
              </w:r>
              <w:r>
                <w:rPr>
                  <w:szCs w:val="24"/>
                  <w:vertAlign w:val="superscript"/>
                </w:rPr>
                <w:footnoteReference w:id="20"/>
              </w:r>
              <w:r>
                <w:rPr>
                  <w:szCs w:val="24"/>
                </w:rPr>
                <w:t xml:space="preserve">. </w:t>
              </w:r>
              <w:r>
                <w:rPr>
                  <w:color w:val="222222"/>
                  <w:szCs w:val="24"/>
                  <w:lang w:eastAsia="lt-LT"/>
                </w:rPr>
                <w:t xml:space="preserve">Skirtingai nuo kitoms į valstybės biudžetą išieškomoms skoloms taikomų terminų, tuo atveju, kai yra priimtas Europos Komisijos sprendimas dėl neteisėtos pagalbos susigrąžinimo, jis turi būti įvykdytas per tame sprendime nustatytą terminą t. y. per 4 mėnesius. </w:t>
              </w:r>
            </w:p>
            <w:p>
              <w:pPr>
                <w:ind w:firstLine="567"/>
                <w:jc w:val="both"/>
                <w:rPr>
                  <w:rFonts w:eastAsia="Calibri"/>
                  <w:color w:val="FF0000"/>
                  <w:szCs w:val="24"/>
                </w:rPr>
              </w:pPr>
              <w:r>
                <w:rPr>
                  <w:rFonts w:eastAsia="Calibri"/>
                  <w:szCs w:val="24"/>
                </w:rPr>
                <w:t>Neteisėtos pagalbos, kuri buvo suteikta iš Europos Sąjungos fondų paramos ir bendrojo finansavimo lėšų, išieškojime VMI nedalyvautų, kadangi už tokios neteisėtos pagalbos išieškojimą yra atsakingos kitos institucijos, nurodytos atitinkamuose Vyriausybės nutarimuose</w:t>
              </w:r>
              <w:r>
                <w:rPr>
                  <w:rFonts w:eastAsia="Calibri"/>
                  <w:szCs w:val="24"/>
                  <w:vertAlign w:val="superscript"/>
                </w:rPr>
                <w:footnoteReference w:id="21"/>
              </w:r>
              <w:r>
                <w:rPr>
                  <w:rFonts w:eastAsia="Calibri"/>
                  <w:szCs w:val="24"/>
                </w:rPr>
                <w:t>.</w:t>
              </w:r>
            </w:p>
            <w:p>
              <w:pPr>
                <w:tabs>
                  <w:tab w:val="left" w:pos="1134"/>
                </w:tabs>
                <w:ind w:firstLine="567"/>
                <w:jc w:val="both"/>
                <w:rPr>
                  <w:rFonts w:ascii="Calibri" w:eastAsia="Calibri" w:hAnsi="Calibri"/>
                  <w:bCs/>
                  <w:szCs w:val="24"/>
                </w:rPr>
              </w:pPr>
              <w:r>
                <w:rPr>
                  <w:rFonts w:ascii="Calibri" w:eastAsia="Calibri" w:hAnsi="Calibri"/>
                  <w:bCs/>
                  <w:szCs w:val="24"/>
                </w:rPr>
                <w:t>Siūlomais Konkurencijos įstatymo pakeitimo projekto pakeitimais dėl asmens duomenų, pirma, Konkurencijos įstatyme bus tiesiogiai (</w:t>
              </w:r>
              <w:r>
                <w:rPr>
                  <w:rFonts w:ascii="Calibri" w:eastAsia="Calibri" w:hAnsi="Calibri"/>
                  <w:bCs/>
                  <w:i/>
                  <w:iCs/>
                  <w:szCs w:val="24"/>
                </w:rPr>
                <w:t>expressis verbis</w:t>
              </w:r>
              <w:r>
                <w:rPr>
                  <w:rFonts w:ascii="Calibri" w:eastAsia="Calibri" w:hAnsi="Calibri"/>
                  <w:bCs/>
                  <w:szCs w:val="24"/>
                </w:rPr>
                <w:t>) įtvirtinta Konkurencijos tarybos kompetencija ir įgaliojimai reglamentuoti asmens duomenų apsaugos užtikrinimo Konkurencijos taryboje teisinius aspektus. Antra, patvirtinus Konkurencijos tarybos kompetenciją šioje srityje, bus įgyvendintas LVAT sprendimas, užtikrintas teisinis aiškumas ir saugumas duomenų subjektams ir kitiems asmenims dėl Konkurencijos taryboje tvarkomų asmens duomenų reglamentavimo teisinio pagrindo, Konkurencijos tarybos teisės reglamentuoti asmens duomenų apsaugos sritį, Konkurencijos tarybos ir duomenų subjektų teisių bei pareigų apimties ir jų įgyvendinimo.</w:t>
              </w:r>
            </w:p>
            <w:p>
              <w:pPr>
                <w:ind w:firstLine="567"/>
                <w:jc w:val="both"/>
                <w:rPr>
                  <w:szCs w:val="24"/>
                </w:rPr>
              </w:pPr>
              <w:r>
                <w:rPr>
                  <w:szCs w:val="24"/>
                </w:rPr>
                <w:t>Siekiant užtikrinti Konkurencijos tarybos nepriklausomumą bei savarankiškumą, numatytą Europos Sąjungos ir Lietuvos teisės aktuose</w:t>
              </w:r>
              <w:r>
                <w:rPr>
                  <w:szCs w:val="24"/>
                  <w:vertAlign w:val="superscript"/>
                </w:rPr>
                <w:footnoteReference w:id="22"/>
              </w:r>
              <w:r>
                <w:rPr>
                  <w:szCs w:val="24"/>
                </w:rPr>
                <w:t>, ir stiprinti jos, kaip kompetencijų centro vaidmenį, būtina sudaryti galimybes Konkurencijos tarybai ir jos vadovui formuoti veiklos poreikius ir esamus išteklius atitinkančią struktūrą, užtikrinti galimybes operatyviai ją keisti, keičiantis veiklos poreikiams ir (ar) prioritetams, laikantis nustatytų asignavimų ribinių dydžių. Viešojo administravimo įstatymo nuostatos šiuo metu tokių galimybių nesuteikia.</w:t>
              </w:r>
            </w:p>
            <w:p>
              <w:pPr>
                <w:ind w:firstLine="567"/>
                <w:jc w:val="both"/>
                <w:rPr>
                  <w:szCs w:val="24"/>
                </w:rPr>
              </w:pPr>
              <w:r>
                <w:rPr>
                  <w:szCs w:val="24"/>
                </w:rPr>
                <w:t>Kai kuriais atvejais bendrosios kompetencijos teismai nagrinėdami ginčus dėl žalos atlyginimo už konkurencijos teisės pažeidimus ir kitus privačius ginčus netaiko SESV 101 ar 102 straipsnio, o taiko vien Konkurencijos įstatymo 5 straipsnį</w:t>
              </w:r>
              <w:r>
                <w:rPr>
                  <w:szCs w:val="24"/>
                  <w:vertAlign w:val="superscript"/>
                </w:rPr>
                <w:footnoteReference w:id="23"/>
              </w:r>
              <w:r>
                <w:rPr>
                  <w:szCs w:val="24"/>
                </w:rPr>
                <w:t xml:space="preserve"> arba 7 straipsnį</w:t>
              </w:r>
              <w:r>
                <w:rPr>
                  <w:szCs w:val="24"/>
                  <w:vertAlign w:val="superscript"/>
                </w:rPr>
                <w:footnoteReference w:id="24"/>
              </w:r>
              <w:r>
                <w:rPr>
                  <w:szCs w:val="24"/>
                </w:rPr>
                <w:t xml:space="preserve"> (kai ūkio subjektų elgesys negali paveikti Europos Sąjungos valstybių narių tarpusavio prekybos). Taip pat teismai gali bylose dėl žalos atlyginimo taikyti Konkurencijos įstatymo 4 straipsnį</w:t>
              </w:r>
              <w:r>
                <w:rPr>
                  <w:szCs w:val="24"/>
                  <w:vertAlign w:val="superscript"/>
                </w:rPr>
                <w:footnoteReference w:id="25"/>
              </w:r>
              <w:r>
                <w:rPr>
                  <w:szCs w:val="24"/>
                </w:rPr>
                <w:t xml:space="preserve"> ir 6 straipsnį</w:t>
              </w:r>
              <w:r>
                <w:rPr>
                  <w:szCs w:val="24"/>
                  <w:vertAlign w:val="superscript"/>
                </w:rPr>
                <w:footnoteReference w:id="26"/>
              </w:r>
              <w:r>
                <w:rPr>
                  <w:szCs w:val="24"/>
                </w:rPr>
                <w:t>. Tais atvejais, kai taikomas vien Konkurencijos įstatymas, Konkurencijos taryba negauna iš teismų atitinkamų sprendimų ir dėl to gali laiku nesužinoti apie reikšmingus teismų išaiškinimus atitinkamose bylose, o tai gali neigiamai paveikti Konkurencijos tarybos vykdomą Konkurencijos įstatymo priežiūrą. Todėl būtina užtikrinti, kad Konkurencijos taryba būtų informuojama ne tik apie atvejus, kai Lietuvos teismai taiko konkurencijos pažeidimų draudimus nustatančias SEVS nuostatas, bet ir kai taikomas vien Konkurencijos įstatymas</w:t>
              </w:r>
              <w:r>
                <w:rPr>
                  <w:szCs w:val="24"/>
                  <w:vertAlign w:val="superscript"/>
                </w:rPr>
                <w:footnoteReference w:id="27"/>
              </w:r>
              <w:r>
                <w:rPr>
                  <w:szCs w:val="24"/>
                </w:rPr>
                <w:t>.</w:t>
              </w:r>
            </w:p>
            <w:p>
              <w:pPr>
                <w:ind w:firstLine="567"/>
                <w:jc w:val="both"/>
                <w:rPr>
                  <w:bCs/>
                  <w:szCs w:val="24"/>
                  <w:lang w:eastAsia="lt-LT"/>
                </w:rPr>
              </w:pPr>
              <w:r>
                <w:rPr>
                  <w:bCs/>
                  <w:szCs w:val="24"/>
                </w:rPr>
                <w:t>Konkurencijos įstatymo pakeitimo</w:t>
              </w:r>
              <w:r>
                <w:rPr>
                  <w:bCs/>
                  <w:szCs w:val="24"/>
                  <w:lang w:eastAsia="lt-LT"/>
                </w:rPr>
                <w:t xml:space="preserve"> projektu įgyvendinama </w:t>
              </w:r>
              <w:r>
                <w:rPr>
                  <w:iCs/>
                  <w:szCs w:val="24"/>
                </w:rPr>
                <w:t xml:space="preserve">Reglamento </w:t>
              </w:r>
              <w:fldSimple w:instr="HYPERLINK http://eur-lex.europa.eu/legal-content/LIT/TXT/?uri=CELEX:31925R2022&amp;locale=lt \t _blank">
                <w:r>
                  <w:rPr>
                    <w:iCs/>
                    <w:szCs w:val="24"/>
                    <w:u w:val="single"/>
                    <w:color w:val="0000FF" w:themeColor="hyperlink"/>
                  </w:rPr>
                  <w:t>(ES) 2022/1925</w:t>
                </w:r>
              </w:fldSimple>
              <w:r>
                <w:rPr>
                  <w:iCs/>
                  <w:szCs w:val="24"/>
                </w:rPr>
                <w:t xml:space="preserve"> 1 straipsnio 6 dalis ir 23 straipsnio 8 ir 9 dalys, </w:t>
              </w:r>
              <w:r>
                <w:rPr>
                  <w:szCs w:val="24"/>
                </w:rPr>
                <w:t>taip pat tikslinamos Konkurencijos tarybos pirmininko funkcijos ir nebevartojama sąvoka „ūkiniai metai“ keičiama į „finansiniai metai“.</w:t>
              </w:r>
            </w:p>
            <w:p>
              <w:pPr>
                <w:jc w:val="both"/>
                <w:rPr>
                  <w:bCs/>
                  <w:szCs w:val="24"/>
                </w:rPr>
              </w:pPr>
            </w:p>
          </w:sdtContent>
        </w:sdt>
        <w:sdt>
          <w:sdtPr>
            <w:alias w:val="5 p."/>
            <w:tag w:val="part_6d9827cb063b48779ac8fabe3f0d08c9"/>
            <w:lock w:val="sdtLocked"/>
            <w:richText/>
          </w:sdtPr>
          <w:sdtContent>
            <w:p>
              <w:pPr>
                <w:tabs>
                  <w:tab w:val="left" w:pos="1134"/>
                </w:tabs>
                <w:ind w:firstLine="720"/>
                <w:jc w:val="both"/>
                <w:rPr>
                  <w:rFonts w:ascii="Calibri" w:eastAsia="Calibri" w:hAnsi="Calibri"/>
                  <w:b/>
                  <w:szCs w:val="24"/>
                </w:rPr>
              </w:pPr>
              <w:sdt>
                <w:sdtPr>
                  <w:alias w:val="Numeris"/>
                  <w:tag w:val="nr_6d9827cb063b48779ac8fabe3f0d08c9"/>
                  <w:lock w:val="sdtLocked"/>
                  <w:richText/>
                </w:sdtPr>
                <w:sdtContent>
                  <w:r>
                    <w:rPr>
                      <w:rFonts w:ascii="Calibri" w:eastAsia="Calibri" w:hAnsi="Calibri"/>
                      <w:b/>
                      <w:szCs w:val="24"/>
                    </w:rPr>
                    <w:t>5</w:t>
                  </w:r>
                </w:sdtContent>
              </w:sdt>
              <w:r>
                <w:rPr>
                  <w:rFonts w:ascii="Calibri" w:eastAsia="Calibri" w:hAnsi="Calibri"/>
                  <w:b/>
                  <w:szCs w:val="24"/>
                </w:rPr>
                <w:t>. Numatomo teisinio reguliavimo poveikio vertinimo rezultatai, galimos neigiamos priimtų įstatymų pasekmės ir kokių priemonių reikėtų imtis, kad tokių pasekmių būtų išvengta</w:t>
              </w:r>
            </w:p>
            <w:p>
              <w:pPr>
                <w:ind w:firstLine="720"/>
                <w:jc w:val="both"/>
                <w:rPr>
                  <w:szCs w:val="24"/>
                </w:rPr>
              </w:pPr>
              <w:r>
                <w:rPr>
                  <w:szCs w:val="24"/>
                </w:rPr>
                <w:t>Projektai sudarytų palankesnes sąlygas pritraukti į Konkurencijos tarybos pareigūnų ir darbuotojų pareigas aukštos kompetencijos bei specializuotų žinių turinčius vadovus bei ekspertus, tai prisidėtų prie veiksmingesnės konkurencijos apsaugos Lietuvoje ir didesnio Konkurencijos tarybos nepriklausomumo.</w:t>
              </w:r>
            </w:p>
            <w:p>
              <w:pPr>
                <w:ind w:firstLine="720"/>
                <w:jc w:val="both"/>
                <w:rPr>
                  <w:szCs w:val="24"/>
                </w:rPr>
              </w:pPr>
              <w:r>
                <w:rPr>
                  <w:szCs w:val="24"/>
                </w:rPr>
                <w:t xml:space="preserve">Siūlomos </w:t>
              </w:r>
              <w:r>
                <w:rPr>
                  <w:bCs/>
                  <w:szCs w:val="24"/>
                </w:rPr>
                <w:t>Konkurencijos įstatymo pakeitimo</w:t>
              </w:r>
              <w:r>
                <w:rPr>
                  <w:bCs/>
                  <w:szCs w:val="24"/>
                  <w:lang w:eastAsia="lt-LT"/>
                </w:rPr>
                <w:t xml:space="preserve"> </w:t>
              </w:r>
              <w:r>
                <w:rPr>
                  <w:szCs w:val="24"/>
                </w:rPr>
                <w:t xml:space="preserve">projekto nuostatos dėl pagalbos  sudarys sąlygas atkurti iki neteisėtos pagalbos išmokėjimo Europos Sąjungos vidaus rinkoje buvusią padėtį, pašalinant konkurencijos iškraipymą, atsiradusį dėl neteisėtai pagalbos gavėjo įgyto pranašumo. Aiškios pagalbos teikėjų pareigos leistų užtikrinti pagalbos teisėtumą, kadangi visi pagalbos teikėjai privalėtų pagalbos priemonių projektus derinti su Konkurencijos taryba. Tikėtina, kad dėl to sumažėtų neteisėtos pagalbos suteikimo atvejų savivaldybių lygmenyje, kadangi joms taip pat atsirastų minėta pareiga. Taip pat dėl siūlomų pakeitimų padidėtų tikimybė, kad neteisėta pagalba būtų išieškota Europos Sąjungos teisės aktuose nustatytais terminais ir Lietuvai nebus pritaikytos SESV 260 straipsnyje nustatytos sankcijos.</w:t>
              </w:r>
            </w:p>
            <w:p>
              <w:pPr>
                <w:ind w:firstLine="720"/>
                <w:jc w:val="both"/>
                <w:rPr>
                  <w:szCs w:val="24"/>
                </w:rPr>
              </w:pPr>
              <w:r>
                <w:rPr>
                  <w:szCs w:val="24"/>
                </w:rPr>
                <w:t xml:space="preserve">Be to, siūlomas </w:t>
              </w:r>
              <w:r>
                <w:rPr>
                  <w:bCs/>
                  <w:szCs w:val="24"/>
                </w:rPr>
                <w:t>Konkurencijos įstatymo pakeitimo</w:t>
              </w:r>
              <w:r>
                <w:rPr>
                  <w:bCs/>
                  <w:szCs w:val="24"/>
                  <w:lang w:eastAsia="lt-LT"/>
                </w:rPr>
                <w:t xml:space="preserve"> </w:t>
              </w:r>
              <w:r>
                <w:rPr>
                  <w:szCs w:val="24"/>
                </w:rPr>
                <w:t>projektas sudarytų sąlygas patvirtinti Konkurencijos tarybos kompetenciją ir įgaliojimų apimtį asmens duomenų apsaugos srityje, užtikrintų teisinį aiškumą ir saugumą tiek duomenų subjektams dėl asmens duomenų apsaugos teisinių aspektų reguliavimo, tiek ir Konkurencijos tarybai dėl jos veiklos teisėtumo ir apimties šioje srityje.</w:t>
              </w:r>
            </w:p>
            <w:p>
              <w:pPr>
                <w:ind w:firstLine="720"/>
                <w:jc w:val="both"/>
                <w:rPr>
                  <w:bCs/>
                  <w:szCs w:val="24"/>
                </w:rPr>
              </w:pPr>
            </w:p>
          </w:sdtContent>
        </w:sdt>
        <w:sdt>
          <w:sdtPr>
            <w:alias w:val="6 p."/>
            <w:tag w:val="part_5024a34457e046978355ab455f0b694d"/>
            <w:lock w:val="sdtLocked"/>
            <w:richText/>
          </w:sdtPr>
          <w:sdtContent>
            <w:p>
              <w:pPr>
                <w:ind w:firstLine="720"/>
                <w:jc w:val="both"/>
                <w:rPr>
                  <w:b/>
                  <w:bCs/>
                  <w:szCs w:val="24"/>
                </w:rPr>
              </w:pPr>
              <w:sdt>
                <w:sdtPr>
                  <w:alias w:val="Numeris"/>
                  <w:tag w:val="nr_5024a34457e046978355ab455f0b694d"/>
                  <w:lock w:val="sdtLocked"/>
                  <w:richText/>
                </w:sdtPr>
                <w:sdtContent>
                  <w:r>
                    <w:rPr>
                      <w:rFonts w:eastAsia="Calibri"/>
                      <w:b/>
                      <w:bCs/>
                      <w:szCs w:val="24"/>
                    </w:rPr>
                    <w:t>6</w:t>
                  </w:r>
                </w:sdtContent>
              </w:sdt>
              <w:r>
                <w:rPr>
                  <w:rFonts w:eastAsia="Calibri"/>
                  <w:b/>
                  <w:bCs/>
                  <w:szCs w:val="24"/>
                </w:rPr>
                <w:t xml:space="preserve">. </w:t>
              </w:r>
              <w:r>
                <w:rPr>
                  <w:b/>
                  <w:bCs/>
                  <w:szCs w:val="24"/>
                </w:rPr>
                <w:t>Galima priimtų įstatymų įtaka kriminogeninei situacijai, korupcijai</w:t>
              </w:r>
            </w:p>
            <w:p>
              <w:pPr>
                <w:ind w:firstLine="720"/>
                <w:jc w:val="both"/>
                <w:rPr>
                  <w:rFonts w:eastAsia="Calibri"/>
                  <w:szCs w:val="24"/>
                </w:rPr>
              </w:pPr>
              <w:r>
                <w:rPr>
                  <w:szCs w:val="24"/>
                </w:rPr>
                <w:t>Priimti Projektai neigiamos įtakos kriminogeninei situacijai ir korupcijai neturės.</w:t>
              </w:r>
            </w:p>
            <w:p>
              <w:pPr>
                <w:ind w:firstLine="720"/>
                <w:jc w:val="both"/>
                <w:rPr>
                  <w:b/>
                  <w:szCs w:val="24"/>
                </w:rPr>
              </w:pPr>
            </w:p>
          </w:sdtContent>
        </w:sdt>
        <w:sdt>
          <w:sdtPr>
            <w:alias w:val="7 p."/>
            <w:tag w:val="part_7a8eb5a744f84fa48e4a893b829fc53e"/>
            <w:lock w:val="sdtLocked"/>
            <w:richText/>
          </w:sdtPr>
          <w:sdtContent>
            <w:p>
              <w:pPr>
                <w:tabs>
                  <w:tab w:val="left" w:pos="1134"/>
                </w:tabs>
                <w:ind w:firstLine="720"/>
                <w:jc w:val="both"/>
                <w:rPr>
                  <w:rFonts w:ascii="Calibri" w:eastAsia="Calibri" w:hAnsi="Calibri"/>
                  <w:b/>
                  <w:bCs/>
                  <w:szCs w:val="24"/>
                </w:rPr>
              </w:pPr>
              <w:sdt>
                <w:sdtPr>
                  <w:alias w:val="Numeris"/>
                  <w:tag w:val="nr_7a8eb5a744f84fa48e4a893b829fc53e"/>
                  <w:lock w:val="sdtLocked"/>
                  <w:richText/>
                </w:sdtPr>
                <w:sdtContent>
                  <w:r>
                    <w:rPr>
                      <w:rFonts w:ascii="Calibri" w:eastAsia="Calibri" w:hAnsi="Calibri"/>
                      <w:b/>
                      <w:bCs/>
                      <w:szCs w:val="24"/>
                    </w:rPr>
                    <w:t>7</w:t>
                  </w:r>
                </w:sdtContent>
              </w:sdt>
              <w:r>
                <w:rPr>
                  <w:rFonts w:ascii="Calibri" w:eastAsia="Calibri" w:hAnsi="Calibri"/>
                  <w:b/>
                  <w:bCs/>
                  <w:szCs w:val="24"/>
                </w:rPr>
                <w:t>. Galima priimtų įstatymų įtaka verslo sąlygoms ir jo plėtrai</w:t>
              </w:r>
            </w:p>
            <w:p>
              <w:pPr>
                <w:tabs>
                  <w:tab w:val="left" w:pos="1134"/>
                </w:tabs>
                <w:ind w:firstLine="720"/>
                <w:jc w:val="both"/>
                <w:rPr>
                  <w:rFonts w:ascii="Calibri" w:eastAsia="Calibri" w:hAnsi="Calibri"/>
                  <w:b/>
                  <w:bCs/>
                  <w:szCs w:val="24"/>
                </w:rPr>
              </w:pPr>
              <w:r>
                <w:rPr>
                  <w:rFonts w:ascii="Calibri" w:eastAsia="Calibri" w:hAnsi="Calibri"/>
                  <w:szCs w:val="24"/>
                </w:rPr>
                <w:t>Projektai turės teigiamos įtakos verslui, kadangi veiksmingiau bus taikomos konkurencijos ir pagalbos teisės taisyklės ir taip bus užtikrinta veiksmingesnė konkurencija rinkose.</w:t>
              </w:r>
            </w:p>
            <w:p>
              <w:pPr>
                <w:tabs>
                  <w:tab w:val="left" w:pos="1134"/>
                </w:tabs>
                <w:ind w:firstLine="720"/>
                <w:jc w:val="both"/>
                <w:rPr>
                  <w:szCs w:val="24"/>
                </w:rPr>
              </w:pPr>
            </w:p>
          </w:sdtContent>
        </w:sdt>
        <w:sdt>
          <w:sdtPr>
            <w:alias w:val="8 p."/>
            <w:tag w:val="part_9b9665e53c584a18a9143143ff9c1167"/>
            <w:lock w:val="sdtLocked"/>
            <w:richText/>
          </w:sdtPr>
          <w:sdtContent>
            <w:p>
              <w:pPr>
                <w:tabs>
                  <w:tab w:val="left" w:pos="1134"/>
                </w:tabs>
                <w:ind w:left="720"/>
                <w:jc w:val="both"/>
                <w:rPr>
                  <w:rFonts w:ascii="Calibri" w:eastAsia="Calibri" w:hAnsi="Calibri"/>
                  <w:b/>
                  <w:bCs/>
                  <w:szCs w:val="24"/>
                </w:rPr>
              </w:pPr>
              <w:sdt>
                <w:sdtPr>
                  <w:alias w:val="Numeris"/>
                  <w:tag w:val="nr_9b9665e53c584a18a9143143ff9c1167"/>
                  <w:lock w:val="sdtLocked"/>
                  <w:richText/>
                </w:sdtPr>
                <w:sdtContent>
                  <w:r>
                    <w:rPr>
                      <w:rFonts w:ascii="Calibri" w:eastAsia="Calibri" w:hAnsi="Calibri"/>
                      <w:b/>
                      <w:bCs/>
                      <w:szCs w:val="24"/>
                    </w:rPr>
                    <w:t>8</w:t>
                  </w:r>
                </w:sdtContent>
              </w:sdt>
              <w:r>
                <w:rPr>
                  <w:rFonts w:ascii="Calibri" w:eastAsia="Calibri" w:hAnsi="Calibri"/>
                  <w:b/>
                  <w:bCs/>
                  <w:szCs w:val="24"/>
                </w:rPr>
                <w:t>. Ar įstatymų projektai neprieštarauja strateginio lygmens planavimo dokumentams</w:t>
              </w:r>
            </w:p>
            <w:p>
              <w:pPr>
                <w:tabs>
                  <w:tab w:val="left" w:pos="567"/>
                </w:tabs>
                <w:ind w:firstLine="720"/>
                <w:jc w:val="both"/>
                <w:rPr>
                  <w:szCs w:val="24"/>
                </w:rPr>
              </w:pPr>
              <w:r>
                <w:rPr>
                  <w:szCs w:val="24"/>
                </w:rPr>
                <w:t>Projektai neprieštarauja strateginio lygmens planavimo dokumentams.</w:t>
              </w:r>
            </w:p>
            <w:p>
              <w:pPr>
                <w:tabs>
                  <w:tab w:val="left" w:pos="1134"/>
                </w:tabs>
                <w:ind w:firstLine="720"/>
                <w:jc w:val="both"/>
                <w:rPr>
                  <w:szCs w:val="24"/>
                </w:rPr>
              </w:pPr>
            </w:p>
          </w:sdtContent>
        </w:sdt>
        <w:sdt>
          <w:sdtPr>
            <w:alias w:val="9 p."/>
            <w:tag w:val="part_770f0857633a4f4f9617ddb37a0bc951"/>
            <w:lock w:val="sdtLocked"/>
            <w:richText/>
          </w:sdtPr>
          <w:sdtContent>
            <w:p>
              <w:pPr>
                <w:tabs>
                  <w:tab w:val="left" w:pos="1134"/>
                </w:tabs>
                <w:ind w:firstLine="720"/>
                <w:jc w:val="both"/>
                <w:rPr>
                  <w:rFonts w:ascii="Calibri" w:eastAsia="Calibri" w:hAnsi="Calibri"/>
                  <w:b/>
                  <w:szCs w:val="24"/>
                </w:rPr>
              </w:pPr>
              <w:sdt>
                <w:sdtPr>
                  <w:alias w:val="Numeris"/>
                  <w:tag w:val="nr_770f0857633a4f4f9617ddb37a0bc951"/>
                  <w:lock w:val="sdtLocked"/>
                  <w:richText/>
                </w:sdtPr>
                <w:sdtContent>
                  <w:r>
                    <w:rPr>
                      <w:rFonts w:ascii="Calibri" w:eastAsia="Calibri" w:hAnsi="Calibri"/>
                      <w:b/>
                      <w:bCs/>
                      <w:szCs w:val="24"/>
                    </w:rPr>
                    <w:t>9</w:t>
                  </w:r>
                </w:sdtContent>
              </w:sdt>
              <w:r>
                <w:rPr>
                  <w:rFonts w:ascii="Calibri" w:eastAsia="Calibri" w:hAnsi="Calibri"/>
                  <w:b/>
                  <w:bCs/>
                  <w:szCs w:val="24"/>
                </w:rPr>
                <w:t>. Įstatymų inkorporavimas į teisinę sistemą, įstatymai, kuriuos būtina priimti, galiojantys įstatymai, kuriuos reikia pakeisti ar pripažinti netekusiais galios</w:t>
              </w:r>
            </w:p>
            <w:p>
              <w:pPr>
                <w:tabs>
                  <w:tab w:val="left" w:pos="1134"/>
                </w:tabs>
                <w:ind w:firstLine="720"/>
                <w:jc w:val="both"/>
                <w:rPr>
                  <w:szCs w:val="24"/>
                </w:rPr>
              </w:pPr>
              <w:r>
                <w:rPr>
                  <w:szCs w:val="24"/>
                </w:rPr>
                <w:t>Priimtiems projektams inkorporuoti į teisinę sistemą kitų įstatymų priimti, galiojančių įstatymų pakeisti ar panaikinti nereikės.</w:t>
              </w:r>
            </w:p>
            <w:p>
              <w:pPr>
                <w:tabs>
                  <w:tab w:val="left" w:pos="1134"/>
                </w:tabs>
                <w:ind w:firstLine="720"/>
                <w:jc w:val="both"/>
                <w:rPr>
                  <w:szCs w:val="24"/>
                </w:rPr>
              </w:pPr>
            </w:p>
          </w:sdtContent>
        </w:sdt>
        <w:sdt>
          <w:sdtPr>
            <w:alias w:val="10 p."/>
            <w:tag w:val="part_13b739b928694bf59e1256ddf656f2a3"/>
            <w:lock w:val="sdtLocked"/>
            <w:richText/>
          </w:sdtPr>
          <w:sdtContent>
            <w:p>
              <w:pPr>
                <w:tabs>
                  <w:tab w:val="left" w:pos="1134"/>
                </w:tabs>
                <w:ind w:firstLine="720"/>
                <w:jc w:val="both"/>
                <w:rPr>
                  <w:rFonts w:ascii="Calibri" w:eastAsia="Calibri" w:hAnsi="Calibri"/>
                  <w:szCs w:val="24"/>
                </w:rPr>
              </w:pPr>
              <w:sdt>
                <w:sdtPr>
                  <w:alias w:val="Numeris"/>
                  <w:tag w:val="nr_13b739b928694bf59e1256ddf656f2a3"/>
                  <w:lock w:val="sdtLocked"/>
                  <w:richText/>
                </w:sdtPr>
                <w:sdtContent>
                  <w:r>
                    <w:rPr>
                      <w:rFonts w:ascii="Calibri" w:eastAsia="Calibri" w:hAnsi="Calibri"/>
                      <w:b/>
                      <w:bCs/>
                      <w:szCs w:val="24"/>
                    </w:rPr>
                    <w:t>10</w:t>
                  </w:r>
                </w:sdtContent>
              </w:sdt>
              <w:r>
                <w:rPr>
                  <w:rFonts w:ascii="Calibri" w:eastAsia="Calibri" w:hAnsi="Calibri"/>
                  <w:b/>
                  <w:bCs/>
                  <w:szCs w:val="24"/>
                </w:rPr>
                <w:t>. Įstatymų projektų atitiktis Lietuvos Respublikos valstybinės kalbos įstatymo, Lietuvos Respublikos teisėkūros pagrindų įstatymo reikalavimams, o įstatymų projektų sąvokų ir jas įvardijančių terminų įvertinimas Lietuvos Respublikos terminų banko įstatymo ir jo įgyvendinamųjų teisės aktų nustatyta tvarka</w:t>
              </w:r>
            </w:p>
            <w:p>
              <w:pPr>
                <w:tabs>
                  <w:tab w:val="left" w:pos="1134"/>
                </w:tabs>
                <w:ind w:firstLine="720"/>
                <w:jc w:val="both"/>
                <w:rPr>
                  <w:szCs w:val="24"/>
                </w:rPr>
              </w:pPr>
              <w:r>
                <w:rPr>
                  <w:szCs w:val="24"/>
                </w:rPr>
                <w:t>Projektai atitinka Lietuvos Respublikos valstybinės kalbos įstatymo, Lietuvos Respublikos teisėkūros pagrindų įstatymo reikalavimus, nenustato naujų sąvokų.</w:t>
              </w:r>
            </w:p>
            <w:p>
              <w:pPr>
                <w:tabs>
                  <w:tab w:val="left" w:pos="1134"/>
                </w:tabs>
                <w:ind w:firstLine="720"/>
                <w:jc w:val="both"/>
                <w:rPr>
                  <w:szCs w:val="24"/>
                </w:rPr>
              </w:pPr>
            </w:p>
          </w:sdtContent>
        </w:sdt>
        <w:sdt>
          <w:sdtPr>
            <w:alias w:val="11 p."/>
            <w:tag w:val="part_2ca3b3dca0df445cb24dadf37c8cd6c2"/>
            <w:lock w:val="sdtLocked"/>
            <w:richText/>
          </w:sdtPr>
          <w:sdtContent>
            <w:p>
              <w:pPr>
                <w:tabs>
                  <w:tab w:val="left" w:pos="1134"/>
                </w:tabs>
                <w:ind w:firstLine="720"/>
                <w:jc w:val="both"/>
                <w:rPr>
                  <w:rFonts w:ascii="Calibri" w:eastAsia="Calibri" w:hAnsi="Calibri"/>
                  <w:b/>
                  <w:szCs w:val="24"/>
                </w:rPr>
              </w:pPr>
              <w:sdt>
                <w:sdtPr>
                  <w:alias w:val="Numeris"/>
                  <w:tag w:val="nr_2ca3b3dca0df445cb24dadf37c8cd6c2"/>
                  <w:lock w:val="sdtLocked"/>
                  <w:richText/>
                </w:sdtPr>
                <w:sdtContent>
                  <w:r>
                    <w:rPr>
                      <w:rFonts w:ascii="Calibri" w:eastAsia="Calibri" w:hAnsi="Calibri"/>
                      <w:b/>
                      <w:bCs/>
                      <w:szCs w:val="24"/>
                    </w:rPr>
                    <w:t>11</w:t>
                  </w:r>
                </w:sdtContent>
              </w:sdt>
              <w:r>
                <w:rPr>
                  <w:rFonts w:ascii="Calibri" w:eastAsia="Calibri" w:hAnsi="Calibri"/>
                  <w:b/>
                  <w:bCs/>
                  <w:szCs w:val="24"/>
                </w:rPr>
                <w:t>. Įstatymų projektų atitiktis Žmogaus teisių ir pagrindinių laisvių apsaugos konvencijos nuostatoms ir Europos Sąjungos dokumentams</w:t>
              </w:r>
            </w:p>
            <w:p>
              <w:pPr>
                <w:tabs>
                  <w:tab w:val="left" w:pos="1134"/>
                </w:tabs>
                <w:ind w:firstLine="720"/>
                <w:jc w:val="both"/>
                <w:rPr>
                  <w:rFonts w:eastAsia="Calibri"/>
                  <w:szCs w:val="24"/>
                </w:rPr>
              </w:pPr>
              <w:r>
                <w:rPr>
                  <w:rFonts w:eastAsia="Calibri"/>
                  <w:szCs w:val="24"/>
                </w:rPr>
                <w:t>Projektų nuostatos neprieštarauja Konvencijos nuostatoms ir Europos Sąjungos teisei. Projektais siekiama užtikrinti tinkamą Konvencijos 8 straipsnio įgyvendinimą nacionalinėje teisėje pagal LVAT sprendimą.</w:t>
              </w:r>
            </w:p>
            <w:p>
              <w:pPr>
                <w:tabs>
                  <w:tab w:val="left" w:pos="1134"/>
                </w:tabs>
                <w:ind w:firstLine="720"/>
                <w:jc w:val="both"/>
                <w:rPr>
                  <w:rFonts w:ascii="Calibri" w:eastAsia="Calibri" w:hAnsi="Calibri"/>
                  <w:b/>
                  <w:bCs/>
                  <w:szCs w:val="24"/>
                </w:rPr>
              </w:pPr>
            </w:p>
          </w:sdtContent>
        </w:sdt>
        <w:sdt>
          <w:sdtPr>
            <w:alias w:val="12 p."/>
            <w:tag w:val="part_7719d3b336fe41498f82d59515eaa3b9"/>
            <w:lock w:val="sdtLocked"/>
            <w:richText/>
          </w:sdtPr>
          <w:sdtContent>
            <w:p>
              <w:pPr>
                <w:tabs>
                  <w:tab w:val="left" w:pos="1134"/>
                </w:tabs>
                <w:ind w:firstLine="720"/>
                <w:jc w:val="both"/>
                <w:rPr>
                  <w:rFonts w:ascii="Calibri" w:eastAsia="Calibri" w:hAnsi="Calibri"/>
                  <w:b/>
                  <w:szCs w:val="24"/>
                  <w:lang w:eastAsia="lt-LT"/>
                </w:rPr>
              </w:pPr>
              <w:sdt>
                <w:sdtPr>
                  <w:alias w:val="Numeris"/>
                  <w:tag w:val="nr_7719d3b336fe41498f82d59515eaa3b9"/>
                  <w:lock w:val="sdtLocked"/>
                  <w:richText/>
                </w:sdtPr>
                <w:sdtContent>
                  <w:r>
                    <w:rPr>
                      <w:rFonts w:ascii="Calibri" w:eastAsia="Calibri" w:hAnsi="Calibri"/>
                      <w:b/>
                      <w:bCs/>
                      <w:szCs w:val="24"/>
                    </w:rPr>
                    <w:t>12</w:t>
                  </w:r>
                </w:sdtContent>
              </w:sdt>
              <w:r>
                <w:rPr>
                  <w:rFonts w:ascii="Calibri" w:eastAsia="Calibri" w:hAnsi="Calibri"/>
                  <w:b/>
                  <w:bCs/>
                  <w:szCs w:val="24"/>
                </w:rPr>
                <w:t>. Įstatymams įgyvendinti reikalingi įgyvendinamieji teisės aktai, šių aktų rengėjai ir parengimo terminai</w:t>
              </w:r>
            </w:p>
            <w:p>
              <w:pPr>
                <w:tabs>
                  <w:tab w:val="left" w:pos="1134"/>
                </w:tabs>
                <w:ind w:firstLine="720"/>
                <w:jc w:val="both"/>
                <w:rPr>
                  <w:rFonts w:eastAsia="Calibri"/>
                  <w:szCs w:val="24"/>
                </w:rPr>
              </w:pPr>
              <w:r>
                <w:rPr>
                  <w:rFonts w:eastAsia="Calibri"/>
                  <w:szCs w:val="24"/>
                </w:rPr>
                <w:t>Priimtam Konkurencijos įstatymo pakeitimo projektui įgyvendinti, reikės parengti įgyvendinamąjį teisės aktą, reglamentuojantį asmens duomenų apsaugos teisinius aspektus Konkurencijos taryboje.</w:t>
              </w:r>
            </w:p>
            <w:p>
              <w:pPr>
                <w:tabs>
                  <w:tab w:val="left" w:pos="1134"/>
                </w:tabs>
                <w:ind w:firstLine="567"/>
                <w:jc w:val="both"/>
                <w:rPr>
                  <w:szCs w:val="24"/>
                </w:rPr>
              </w:pPr>
            </w:p>
          </w:sdtContent>
        </w:sdt>
        <w:sdt>
          <w:sdtPr>
            <w:alias w:val="13 p."/>
            <w:tag w:val="part_9213b158badf4568a78a2964a452e74e"/>
            <w:lock w:val="sdtLocked"/>
            <w:richText/>
          </w:sdtPr>
          <w:sdtContent>
            <w:p>
              <w:pPr>
                <w:tabs>
                  <w:tab w:val="left" w:pos="1134"/>
                </w:tabs>
                <w:ind w:firstLine="720"/>
                <w:jc w:val="both"/>
                <w:rPr>
                  <w:rFonts w:ascii="Calibri" w:eastAsia="Calibri" w:hAnsi="Calibri"/>
                  <w:b/>
                  <w:szCs w:val="24"/>
                </w:rPr>
              </w:pPr>
              <w:sdt>
                <w:sdtPr>
                  <w:alias w:val="Numeris"/>
                  <w:tag w:val="nr_9213b158badf4568a78a2964a452e74e"/>
                  <w:lock w:val="sdtLocked"/>
                  <w:richText/>
                </w:sdtPr>
                <w:sdtContent>
                  <w:r>
                    <w:rPr>
                      <w:rFonts w:ascii="Calibri" w:eastAsia="Calibri" w:hAnsi="Calibri"/>
                      <w:b/>
                      <w:bCs/>
                      <w:szCs w:val="24"/>
                    </w:rPr>
                    <w:t>13</w:t>
                  </w:r>
                </w:sdtContent>
              </w:sdt>
              <w:r>
                <w:rPr>
                  <w:rFonts w:ascii="Calibri" w:eastAsia="Calibri" w:hAnsi="Calibri"/>
                  <w:b/>
                  <w:bCs/>
                  <w:szCs w:val="24"/>
                </w:rPr>
                <w:t>. Valstybės, savivaldybių biudžetų ir kitų valstybės įsteigtų fondų lėšos, kurių prireiks įstatymams įgyvendinti, ar bus galima sutaupyti (pateikiami prognozuojami rodikliai einamaisiais ir artimiausiais 3 biudžetiniais metais)</w:t>
              </w:r>
            </w:p>
            <w:p>
              <w:pPr>
                <w:ind w:firstLine="720"/>
                <w:jc w:val="both"/>
                <w:rPr>
                  <w:rFonts w:eastAsia="Calibri"/>
                  <w:szCs w:val="24"/>
                </w:rPr>
              </w:pPr>
              <w:r>
                <w:rPr>
                  <w:rFonts w:eastAsia="Calibri"/>
                  <w:szCs w:val="24"/>
                </w:rPr>
                <w:t>Papildomų lėšų poreikis atsiras pakeitus Konkurencijos tarybos valstybės pareigūnų darbo užmokesčio apskaičiavimo tvarką. Papildomi asignavimai per 1 biudžetinius metus turėtų sudaryti apie 102 600 Eur, o per 3 biudžetinius metus – 307 800 Eur</w:t>
              </w:r>
              <w:r>
                <w:rPr>
                  <w:rFonts w:eastAsia="Calibri"/>
                  <w:szCs w:val="24"/>
                  <w:vertAlign w:val="superscript"/>
                </w:rPr>
                <w:t xml:space="preserve"> </w:t>
                <w:footnoteReference w:id="28"/>
              </w:r>
              <w:r>
                <w:rPr>
                  <w:rFonts w:eastAsia="Calibri"/>
                  <w:szCs w:val="24"/>
                </w:rPr>
                <w:t>.</w:t>
              </w:r>
            </w:p>
            <w:p>
              <w:pPr>
                <w:jc w:val="both"/>
                <w:rPr>
                  <w:szCs w:val="24"/>
                </w:rPr>
              </w:pPr>
            </w:p>
          </w:sdtContent>
        </w:sdt>
        <w:sdt>
          <w:sdtPr>
            <w:alias w:val="14 p."/>
            <w:tag w:val="part_be6a5c31431141dfaaf6cc4efc08e8df"/>
            <w:lock w:val="sdtLocked"/>
            <w:richText/>
          </w:sdtPr>
          <w:sdtContent>
            <w:p>
              <w:pPr>
                <w:tabs>
                  <w:tab w:val="left" w:pos="1134"/>
                </w:tabs>
                <w:ind w:firstLine="720"/>
                <w:jc w:val="both"/>
                <w:rPr>
                  <w:rFonts w:ascii="Calibri" w:eastAsia="Calibri" w:hAnsi="Calibri"/>
                  <w:b/>
                  <w:szCs w:val="24"/>
                </w:rPr>
              </w:pPr>
              <w:sdt>
                <w:sdtPr>
                  <w:alias w:val="Numeris"/>
                  <w:tag w:val="nr_be6a5c31431141dfaaf6cc4efc08e8df"/>
                  <w:lock w:val="sdtLocked"/>
                  <w:richText/>
                </w:sdtPr>
                <w:sdtContent>
                  <w:r>
                    <w:rPr>
                      <w:rFonts w:ascii="Calibri" w:eastAsia="Calibri" w:hAnsi="Calibri"/>
                      <w:b/>
                      <w:szCs w:val="24"/>
                    </w:rPr>
                    <w:t>14</w:t>
                  </w:r>
                </w:sdtContent>
              </w:sdt>
              <w:r>
                <w:rPr>
                  <w:rFonts w:ascii="Calibri" w:eastAsia="Calibri" w:hAnsi="Calibri"/>
                  <w:b/>
                  <w:szCs w:val="24"/>
                </w:rPr>
                <w:t xml:space="preserve">. Įstatymo projekto rengimo metu gauti specialistų vertinimai ir išvados </w:t>
              </w:r>
            </w:p>
            <w:p>
              <w:pPr>
                <w:ind w:firstLine="720"/>
                <w:jc w:val="both"/>
                <w:rPr>
                  <w:rFonts w:eastAsia="Calibri"/>
                  <w:szCs w:val="24"/>
                </w:rPr>
              </w:pPr>
              <w:r>
                <w:rPr>
                  <w:rFonts w:eastAsia="Calibri"/>
                  <w:szCs w:val="24"/>
                </w:rPr>
                <w:t>Specialistų vertinimų ir išvadų negauta.</w:t>
              </w:r>
            </w:p>
            <w:p>
              <w:pPr>
                <w:ind w:firstLine="731"/>
                <w:jc w:val="both"/>
                <w:rPr>
                  <w:szCs w:val="24"/>
                </w:rPr>
              </w:pPr>
            </w:p>
          </w:sdtContent>
        </w:sdt>
        <w:sdt>
          <w:sdtPr>
            <w:alias w:val="15 p."/>
            <w:tag w:val="part_6fbf2d51cfdd4fc3b485706dffa97a8a"/>
            <w:lock w:val="sdtLocked"/>
            <w:richText/>
          </w:sdtPr>
          <w:sdtContent>
            <w:p>
              <w:pPr>
                <w:tabs>
                  <w:tab w:val="left" w:pos="1134"/>
                </w:tabs>
                <w:ind w:firstLine="720"/>
                <w:jc w:val="both"/>
                <w:rPr>
                  <w:rFonts w:ascii="Calibri" w:eastAsia="Calibri" w:hAnsi="Calibri"/>
                  <w:b/>
                  <w:szCs w:val="24"/>
                </w:rPr>
              </w:pPr>
              <w:sdt>
                <w:sdtPr>
                  <w:alias w:val="Numeris"/>
                  <w:tag w:val="nr_6fbf2d51cfdd4fc3b485706dffa97a8a"/>
                  <w:lock w:val="sdtLocked"/>
                  <w:richText/>
                </w:sdtPr>
                <w:sdtContent>
                  <w:r>
                    <w:rPr>
                      <w:rFonts w:ascii="Calibri" w:eastAsia="Calibri" w:hAnsi="Calibri"/>
                      <w:b/>
                      <w:szCs w:val="24"/>
                    </w:rPr>
                    <w:t>15</w:t>
                  </w:r>
                </w:sdtContent>
              </w:sdt>
              <w:r>
                <w:rPr>
                  <w:rFonts w:ascii="Calibri" w:eastAsia="Calibri" w:hAnsi="Calibri"/>
                  <w:b/>
                  <w:szCs w:val="24"/>
                </w:rPr>
                <w:t xml:space="preserve">. Reikšminiai žodžiai, kurių reikia šiam projektui įtraukti į kompiuterinę paieškos sistemą, įskaitant Europos žodyno „Eurovoc“ terminus, temas bei sritis </w:t>
              </w:r>
            </w:p>
            <w:p>
              <w:pPr>
                <w:ind w:firstLine="720"/>
                <w:jc w:val="both"/>
                <w:rPr>
                  <w:rFonts w:eastAsia="Calibri"/>
                  <w:szCs w:val="24"/>
                </w:rPr>
              </w:pPr>
              <w:r>
                <w:rPr>
                  <w:rFonts w:eastAsia="Calibri"/>
                  <w:szCs w:val="24"/>
                </w:rPr>
                <w:t>Reikšminiai žodžiai, kurių reikia šiam projektui įtraukti į kompiuterinę paieškos sistemą: „konkurencija“, „konkurencijos teisė“, „Konkurencijos taryba“, „valstybės pareigūnai“, „asmens duomenys“, „asmens duomenų apsauga“, „Bendrasis duomenų apsaugos reglamentas“, „valstybės pagalba“, „neteisėta valstybės pagalba“, „su Europos Sąjungos vidaus rinka nesuderinama valstybės pagalba“, „finansiniai metai“.</w:t>
              </w:r>
            </w:p>
            <w:p>
              <w:pPr>
                <w:ind w:firstLine="731"/>
                <w:jc w:val="both"/>
                <w:rPr>
                  <w:szCs w:val="24"/>
                </w:rPr>
              </w:pPr>
            </w:p>
          </w:sdtContent>
        </w:sdt>
        <w:sdt>
          <w:sdtPr>
            <w:alias w:val="16 p."/>
            <w:tag w:val="part_678346331c81483b84bf3cb2ed9b65df"/>
            <w:lock w:val="sdtLocked"/>
            <w:richText/>
          </w:sdtPr>
          <w:sdtContent>
            <w:p>
              <w:pPr>
                <w:tabs>
                  <w:tab w:val="left" w:pos="1134"/>
                </w:tabs>
                <w:ind w:firstLine="720"/>
                <w:jc w:val="both"/>
                <w:rPr>
                  <w:rFonts w:ascii="Calibri" w:eastAsia="Calibri" w:hAnsi="Calibri"/>
                  <w:b/>
                  <w:bCs/>
                  <w:szCs w:val="24"/>
                  <w:lang w:eastAsia="lt-LT"/>
                </w:rPr>
              </w:pPr>
              <w:sdt>
                <w:sdtPr>
                  <w:alias w:val="Numeris"/>
                  <w:tag w:val="nr_678346331c81483b84bf3cb2ed9b65df"/>
                  <w:lock w:val="sdtLocked"/>
                  <w:richText/>
                </w:sdtPr>
                <w:sdtContent>
                  <w:r>
                    <w:rPr>
                      <w:rFonts w:ascii="Calibri" w:eastAsia="Calibri" w:hAnsi="Calibri"/>
                      <w:b/>
                      <w:bCs/>
                      <w:szCs w:val="24"/>
                      <w:lang w:eastAsia="lt-LT"/>
                    </w:rPr>
                    <w:t>16</w:t>
                  </w:r>
                </w:sdtContent>
              </w:sdt>
              <w:r>
                <w:rPr>
                  <w:rFonts w:ascii="Calibri" w:eastAsia="Calibri" w:hAnsi="Calibri"/>
                  <w:b/>
                  <w:bCs/>
                  <w:szCs w:val="24"/>
                  <w:lang w:eastAsia="lt-LT"/>
                </w:rPr>
                <w:t>. Kiti, iniciatorių nuomone, reikalingi pagrindimai ir paaiškinimai</w:t>
              </w:r>
            </w:p>
            <w:p>
              <w:pPr>
                <w:ind w:firstLine="720"/>
                <w:jc w:val="both"/>
                <w:rPr>
                  <w:rFonts w:eastAsia="Calibri"/>
                  <w:szCs w:val="24"/>
                  <w:lang w:eastAsia="lt-LT"/>
                </w:rPr>
              </w:pPr>
              <w:r>
                <w:rPr>
                  <w:rFonts w:eastAsia="Calibri"/>
                  <w:szCs w:val="24"/>
                  <w:lang w:eastAsia="lt-LT"/>
                </w:rPr>
                <w:t>Nėra.</w:t>
              </w:r>
            </w:p>
            <w:p>
              <w:pPr>
                <w:ind w:firstLine="720"/>
                <w:jc w:val="both"/>
                <w:rPr>
                  <w:rFonts w:eastAsia="Calibri"/>
                  <w:szCs w:val="24"/>
                  <w:lang w:eastAsia="lt-LT"/>
                </w:rPr>
              </w:pPr>
            </w:p>
            <w:p>
              <w:pPr>
                <w:ind w:firstLine="720"/>
                <w:jc w:val="both"/>
                <w:rPr>
                  <w:rFonts w:eastAsia="Calibri"/>
                  <w:szCs w:val="24"/>
                  <w:lang w:eastAsia="lt-LT"/>
                </w:rPr>
              </w:pPr>
            </w:p>
            <w:p>
              <w:pPr>
                <w:jc w:val="center"/>
                <w:rPr>
                  <w:rFonts w:eastAsia="Calibri"/>
                  <w:szCs w:val="24"/>
                  <w:lang w:eastAsia="lt-LT"/>
                </w:rPr>
              </w:pPr>
            </w:p>
          </w:sdtContent>
        </w:sdt>
        <w:sdt>
          <w:sdtPr>
            <w:alias w:val="signatura"/>
            <w:tag w:val="part_c1720830197b4f4fa510135fc98bbe7e"/>
            <w:lock w:val="sdtLocked"/>
            <w:richText/>
          </w:sdtPr>
          <w:sdtContent>
            <w:p>
              <w:pPr>
                <w:jc w:val="center"/>
                <w:rPr>
                  <w:szCs w:val="24"/>
                </w:rPr>
              </w:pPr>
              <w:r>
                <w:rPr>
                  <w:szCs w:val="24"/>
                </w:rPr>
                <w:t>______________________</w:t>
              </w:r>
            </w:p>
          </w:sdtContent>
        </w:sdt>
      </w:sdtContent>
    </w:sdt>
    <w:sectPr>
      <w:headerReference w:type="even" r:id="rId7"/>
      <w:headerReference w:type="default" r:id="rId8"/>
      <w:footerReference w:type="even" r:id="rId9"/>
      <w:footerReference w:type="default" r:id="rId10"/>
      <w:headerReference w:type="first" r:id="rId11"/>
      <w:footerReference w:type="first" r:id="rId12"/>
      <w:pgSz w:w="11907" w:h="16840" w:code="9"/>
      <w:pgMar w:top="1134" w:right="567" w:bottom="1134" w:left="1701" w:header="709" w:footer="709" w:gutter="0"/>
      <w:cols w:space="1296"/>
      <w:titlePg/>
      <w:docGrid w:linePitch="326"/>
    </w:sectPr>
  </w:body>
</w:document>
</file>

<file path=word/endnotes.xml><?xml version="1.0" encoding="utf-8"?>
<w:endnotes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pPr>
        <w:rPr>
          <w:szCs w:val="24"/>
        </w:rPr>
      </w:pPr>
      <w:r>
        <w:rPr>
          <w:szCs w:val="24"/>
        </w:rPr>
        <w:separator/>
      </w:r>
    </w:p>
  </w:endnote>
  <w:endnote w:type="continuationSeparator" w:id="0">
    <w:p>
      <w:pPr>
        <w:rPr>
          <w:szCs w:val="24"/>
        </w:rPr>
      </w:pPr>
      <w:r>
        <w:rPr>
          <w:szCs w:val="24"/>
        </w:rPr>
        <w:continuationSeparator/>
      </w:r>
    </w:p>
  </w:endnote>
  <w:endnote w:type="continuationNotice" w:id="1">
    <w:p>
      <w:pPr>
        <w:rPr>
          <w:szCs w:val="24"/>
        </w:rPr>
      </w:pPr>
    </w:p>
  </w:endnote>
</w:endnotes>
</file>

<file path=word/fontTable.xml><?xml version="1.0" encoding="utf-8"?>
<w:fonts xmlns:w="http://schemas.openxmlformats.org/wordprocessingml/2006/main" xmlns:mc="http://schemas.openxmlformats.org/markup-compatibility/2006" xmlns:r="http://schemas.openxmlformats.org/officeDocument/2006/relationships"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BA"/>
    <w:family w:val="swiss"/>
    <w:pitch w:val="variable"/>
    <w:sig w:usb0="E0002AFF" w:usb1="C0007843" w:usb2="00000009" w:usb3="00000000" w:csb0="000001FF" w:csb1="00000000"/>
  </w:font>
</w:fonts>
</file>

<file path=word/footer1.xml><?xml version="1.0" encoding="utf-8"?>
<w:ft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rPr>
        <w:szCs w:val="24"/>
      </w:rPr>
    </w:pPr>
  </w:p>
</w:ftr>
</file>

<file path=word/footer2.xml><?xml version="1.0" encoding="utf-8"?>
<w:ft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rPr>
        <w:szCs w:val="24"/>
      </w:rPr>
    </w:pPr>
  </w:p>
</w:ftr>
</file>

<file path=word/footer3.xml><?xml version="1.0" encoding="utf-8"?>
<w:ft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rPr>
        <w:szCs w:val="24"/>
      </w:rPr>
    </w:pPr>
  </w:p>
</w:ftr>
</file>

<file path=word/footnotes.xml><?xml version="1.0" encoding="utf-8"?>
<w:footnotes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pPr>
        <w:rPr>
          <w:szCs w:val="24"/>
        </w:rPr>
      </w:pPr>
      <w:r>
        <w:rPr>
          <w:szCs w:val="24"/>
        </w:rPr>
        <w:separator/>
      </w:r>
    </w:p>
  </w:footnote>
  <w:footnote w:type="continuationSeparator" w:id="0">
    <w:p>
      <w:pPr>
        <w:rPr>
          <w:szCs w:val="24"/>
        </w:rPr>
      </w:pPr>
      <w:r>
        <w:rPr>
          <w:szCs w:val="24"/>
        </w:rPr>
        <w:continuationSeparator/>
      </w:r>
    </w:p>
  </w:footnote>
  <w:footnote w:type="continuationNotice" w:id="1">
    <w:p>
      <w:pPr>
        <w:rPr>
          <w:szCs w:val="24"/>
        </w:rPr>
      </w:pPr>
    </w:p>
  </w:footnote>
  <w:footnote w:id="2">
    <w:p>
      <w:pPr>
        <w:jc w:val="both"/>
        <w:rPr>
          <w:sz w:val="20"/>
        </w:rPr>
      </w:pPr>
      <w:r>
        <w:rPr>
          <w:sz w:val="20"/>
          <w:vertAlign w:val="superscript"/>
        </w:rPr>
        <w:footnoteRef/>
      </w:r>
      <w:r>
        <w:rPr>
          <w:sz w:val="20"/>
        </w:rPr>
        <w:t xml:space="preserve"> Direktyvos 5 straipsnio 1 dalis.</w:t>
      </w:r>
    </w:p>
  </w:footnote>
  <w:footnote w:id="3">
    <w:p>
      <w:pPr>
        <w:jc w:val="both"/>
        <w:rPr>
          <w:sz w:val="20"/>
        </w:rPr>
      </w:pPr>
      <w:r>
        <w:rPr>
          <w:sz w:val="20"/>
          <w:vertAlign w:val="superscript"/>
        </w:rPr>
        <w:footnoteRef/>
      </w:r>
      <w:r>
        <w:rPr>
          <w:sz w:val="20"/>
        </w:rPr>
        <w:t xml:space="preserve"> Sutarties dėl Europos Sąjungos veikimo 108 straipsnis ir 2015 m. liepos 13 d. Tarybos reglamento (ES) 2015/1589, nustatančio išsamias Sutarties dėl Europos Sąjungos veikimo 108 straipsnio taikymo taisykles, 16 straipsnio 3 punktas.</w:t>
      </w:r>
    </w:p>
  </w:footnote>
  <w:footnote w:id="4">
    <w:p>
      <w:pPr>
        <w:jc w:val="both"/>
        <w:rPr>
          <w:sz w:val="20"/>
        </w:rPr>
      </w:pPr>
      <w:r>
        <w:rPr>
          <w:sz w:val="20"/>
          <w:vertAlign w:val="superscript"/>
        </w:rPr>
        <w:footnoteRef/>
      </w:r>
      <w:r>
        <w:rPr>
          <w:sz w:val="20"/>
        </w:rPr>
        <w:t xml:space="preserve"> Komisijos komunikatas „Komisijos pranešimas dėl neteisėtos ir nesuderinamos valstybės pagalbos susigrąžinimo“ (2019/C 247/01) ir Komisijos Komunikatas „Komisijos pranešimas apie nacionalinių teismų atliekamą valstybės pagalbos taisyklių vykdymo užtikrinimą“ (2021/C 305/01). </w:t>
      </w:r>
    </w:p>
  </w:footnote>
  <w:footnote w:id="5">
    <w:p>
      <w:pPr>
        <w:jc w:val="both"/>
        <w:rPr>
          <w:sz w:val="20"/>
        </w:rPr>
      </w:pPr>
      <w:r>
        <w:rPr>
          <w:sz w:val="20"/>
          <w:vertAlign w:val="superscript"/>
        </w:rPr>
        <w:footnoteRef/>
      </w:r>
      <w:r>
        <w:rPr>
          <w:sz w:val="20"/>
        </w:rPr>
        <w:t xml:space="preserve"> Reglamento (ES) 2015/1589 16 straipsnio 3 punktas ir Komisijos komunikato (2019/C 247/01) 72, 158 punktai.</w:t>
      </w:r>
    </w:p>
  </w:footnote>
  <w:footnote w:id="6">
    <w:p>
      <w:pPr>
        <w:jc w:val="both"/>
        <w:rPr>
          <w:sz w:val="20"/>
        </w:rPr>
      </w:pPr>
      <w:r>
        <w:rPr>
          <w:sz w:val="20"/>
          <w:vertAlign w:val="superscript"/>
        </w:rPr>
        <w:footnoteRef/>
      </w:r>
      <w:r>
        <w:rPr>
          <w:sz w:val="20"/>
        </w:rPr>
        <w:t xml:space="preserve"> 2016 m. balandžio 27 d. Europos Parlamento ir Tarybos reglamente (ES) 2016/679 dėl fizinių asmenų apsaugos tvarkant asmens duomenis ir dėl laisvo tokių duomenų judėjimo ir kuriuo panaikinama Direktyva 95/46/EB.</w:t>
      </w:r>
    </w:p>
  </w:footnote>
  <w:footnote w:id="7">
    <w:p>
      <w:pPr>
        <w:jc w:val="both"/>
        <w:rPr>
          <w:sz w:val="20"/>
        </w:rPr>
      </w:pPr>
      <w:r>
        <w:rPr>
          <w:sz w:val="20"/>
          <w:vertAlign w:val="superscript"/>
        </w:rPr>
        <w:footnoteRef/>
      </w:r>
      <w:r>
        <w:rPr>
          <w:sz w:val="20"/>
        </w:rPr>
        <w:t xml:space="preserve"> Būtinybę užtikrinti konkurencijos institucijos nepriklausomumą numato Direktyvos 4 straipsnis ir ją įgyvendinančio Konkurencijos įstatymo 17 straipsnis.</w:t>
      </w:r>
    </w:p>
  </w:footnote>
  <w:footnote w:id="8">
    <w:p>
      <w:pPr>
        <w:jc w:val="both"/>
        <w:rPr>
          <w:sz w:val="20"/>
        </w:rPr>
      </w:pPr>
      <w:r>
        <w:rPr>
          <w:sz w:val="20"/>
          <w:vertAlign w:val="superscript"/>
        </w:rPr>
        <w:footnoteRef/>
      </w:r>
      <w:r>
        <w:rPr>
          <w:sz w:val="20"/>
        </w:rPr>
        <w:t xml:space="preserve"> </w:t>
      </w:r>
      <w:r>
        <w:rPr>
          <w:color w:val="000000"/>
          <w:sz w:val="20"/>
          <w:shd w:val="clear" w:color="auto" w:fill="FFFFFF"/>
        </w:rPr>
        <w:t>Patvirtintas Seimo 2018 m. gruodžio 20 d. nutarimu Nr. XIII-1896 „Dėl Lietuvos Respublikos Seimo, Seimo kanceliarijos ir Seimui atskaitingų institucijų, Respublikos Prezidento kanceliarijos ir Respublikos Prezidentui atskaitingų institucijų, nacionalinės teismų administracijos, teismų, prokuratūros, savivaldybių institucijų ir įstaigų sąrašo pagal grupes patvirtinimo“.</w:t>
      </w:r>
    </w:p>
  </w:footnote>
  <w:footnote w:id="9">
    <w:p>
      <w:pPr>
        <w:jc w:val="both"/>
        <w:rPr>
          <w:sz w:val="20"/>
        </w:rPr>
      </w:pPr>
      <w:r>
        <w:rPr>
          <w:sz w:val="20"/>
          <w:vertAlign w:val="superscript"/>
        </w:rPr>
        <w:footnoteRef/>
      </w:r>
      <w:r>
        <w:rPr>
          <w:sz w:val="20"/>
        </w:rPr>
        <w:t xml:space="preserve"> Europos Sąjungos lygmeniu nustato draudimą sudaryti konkurenciją ribojančius susitarimus.</w:t>
      </w:r>
    </w:p>
  </w:footnote>
  <w:footnote w:id="10">
    <w:p>
      <w:pPr>
        <w:jc w:val="both"/>
        <w:rPr>
          <w:sz w:val="20"/>
        </w:rPr>
      </w:pPr>
      <w:r>
        <w:rPr>
          <w:sz w:val="20"/>
          <w:vertAlign w:val="superscript"/>
        </w:rPr>
        <w:footnoteRef/>
      </w:r>
      <w:r>
        <w:rPr>
          <w:sz w:val="20"/>
        </w:rPr>
        <w:t xml:space="preserve"> Europos Sąjungos lygmeniu nustato draudimą piktnaudžiauti dominuojančia padėtimi.</w:t>
      </w:r>
    </w:p>
  </w:footnote>
  <w:footnote w:id="11">
    <w:p>
      <w:pPr>
        <w:jc w:val="both"/>
        <w:rPr>
          <w:sz w:val="20"/>
        </w:rPr>
      </w:pPr>
      <w:r>
        <w:rPr>
          <w:sz w:val="20"/>
          <w:vertAlign w:val="superscript"/>
        </w:rPr>
        <w:footnoteRef/>
      </w:r>
      <w:r>
        <w:rPr>
          <w:sz w:val="20"/>
        </w:rPr>
        <w:t xml:space="preserve"> Būtinybę užtikrinti konkurencijos institucijos nepriklausomumą numato tiek 2018 m. gruodžio 11 d. Europos Parlamento ir Tarybos direktyva (ES) Nr. 2019/1, kuria siekiama įgalinti valstybių narių konkurencijos institucijas, kad jos būtų veiksmingesnės vykdymo užtikrintojos, ir kuria užtikrinamas tinkamas vidaus rinkos veikimas (4 straipsnis), tiek ją įgyvendinantis Konkurencijos įstatymas (17 straipsnis).</w:t>
      </w:r>
    </w:p>
  </w:footnote>
  <w:footnote w:id="12">
    <w:p>
      <w:pPr>
        <w:jc w:val="both"/>
        <w:rPr>
          <w:sz w:val="20"/>
        </w:rPr>
      </w:pPr>
      <w:r>
        <w:rPr>
          <w:sz w:val="20"/>
          <w:vertAlign w:val="superscript"/>
        </w:rPr>
        <w:footnoteRef/>
      </w:r>
      <w:r>
        <w:rPr>
          <w:sz w:val="20"/>
        </w:rPr>
        <w:t xml:space="preserve"> Pavyzdžiui, Konkurencijos taryba buvo paskyrusi baudas keliems Lietuvoje veikiantiems bankams, kurie veikia finansų ir kredito sektoriuje (Konkurencijos tarybos 2014 m. gruodžio 4 d. nutarimas Nr. 2S-15/2014; teismas panaikino Konkurencijos tarybos bankams paskirtas baudas, bet tai nepašalina Konkurencijos tarybos galimybių taikyti konkurencijos taisykles šiame ar kituose nacionaliniam saugumui užtikrinti strategiškai svarbiuose ūkio sektoriuose).</w:t>
      </w:r>
    </w:p>
  </w:footnote>
  <w:footnote w:id="13">
    <w:p>
      <w:pPr>
        <w:jc w:val="both"/>
        <w:rPr>
          <w:sz w:val="20"/>
        </w:rPr>
      </w:pPr>
      <w:r>
        <w:rPr>
          <w:sz w:val="20"/>
          <w:vertAlign w:val="superscript"/>
        </w:rPr>
        <w:footnoteRef/>
      </w:r>
      <w:r>
        <w:rPr>
          <w:sz w:val="20"/>
        </w:rPr>
        <w:t xml:space="preserve"> Šie sąrašai įtvirtinti Lietuvos Respublikos nacionaliniam saugumui užtikrinti svarbių objektų apsaugos įstatymo 1-3 prieduose.</w:t>
      </w:r>
    </w:p>
  </w:footnote>
  <w:footnote w:id="14">
    <w:p>
      <w:pPr>
        <w:jc w:val="both"/>
        <w:rPr>
          <w:sz w:val="20"/>
        </w:rPr>
      </w:pPr>
      <w:r>
        <w:rPr>
          <w:sz w:val="20"/>
          <w:vertAlign w:val="superscript"/>
        </w:rPr>
        <w:footnoteRef/>
      </w:r>
      <w:r>
        <w:rPr>
          <w:sz w:val="20"/>
        </w:rPr>
        <w:t xml:space="preserve"> Konkurencijos tarybos 2019 m. liepos 19 d. nutarimas Nr. 1S-97 (2019). </w:t>
      </w:r>
    </w:p>
  </w:footnote>
  <w:footnote w:id="15">
    <w:p>
      <w:pPr>
        <w:jc w:val="both"/>
        <w:rPr>
          <w:sz w:val="20"/>
        </w:rPr>
      </w:pPr>
      <w:r>
        <w:rPr>
          <w:sz w:val="20"/>
          <w:vertAlign w:val="superscript"/>
        </w:rPr>
        <w:footnoteRef/>
      </w:r>
      <w:r>
        <w:rPr>
          <w:sz w:val="20"/>
        </w:rPr>
        <w:t xml:space="preserve"> Konkurencijos tarybos 2007 m. rugsėjo 27 d. nutarimas Nr. 2S-20; 2006 m. sausio 5 d. nutarimas Nr. 2S-1.</w:t>
      </w:r>
    </w:p>
  </w:footnote>
  <w:footnote w:id="16">
    <w:p>
      <w:pPr>
        <w:jc w:val="both"/>
        <w:rPr>
          <w:sz w:val="20"/>
        </w:rPr>
      </w:pPr>
      <w:r>
        <w:rPr>
          <w:sz w:val="20"/>
          <w:vertAlign w:val="superscript"/>
        </w:rPr>
        <w:footnoteRef/>
      </w:r>
      <w:r>
        <w:rPr>
          <w:sz w:val="20"/>
        </w:rPr>
        <w:t xml:space="preserve"> Konkurencijos tarybos 2010 m. sausio 21 d. nutarimas Nr. 2S-1; 2009 m. lapkričio 5 d. nutarimas Nr. 2S-24; 2008 m. lapkričio 6 d. nutarimas Nr. 2S-23; 2007 m. birželio 7 d. nutarimas Nr. 2S-14.</w:t>
      </w:r>
    </w:p>
  </w:footnote>
  <w:footnote w:id="17">
    <w:p>
      <w:pPr>
        <w:jc w:val="both"/>
        <w:rPr>
          <w:sz w:val="20"/>
        </w:rPr>
      </w:pPr>
      <w:r>
        <w:rPr>
          <w:sz w:val="20"/>
          <w:vertAlign w:val="superscript"/>
        </w:rPr>
        <w:footnoteRef/>
      </w:r>
      <w:r>
        <w:rPr>
          <w:sz w:val="20"/>
        </w:rPr>
        <w:t xml:space="preserve"> Šiuo metu – Valstybinė energetikos reguliavimo taryba. Valstybinės kainų ir energetikos kontrolės komisija reguliavo (kaip ir šiuo metu – Valstybinė energetikos reguliavimo taryba reguliuoja) nacionaliniam saugumui užtikrinti strategiškai svarbiu ūkio sektoriumi pripažintą energetikos sektorių.</w:t>
      </w:r>
    </w:p>
  </w:footnote>
  <w:footnote w:id="18">
    <w:p>
      <w:pPr>
        <w:jc w:val="both"/>
        <w:rPr>
          <w:sz w:val="20"/>
        </w:rPr>
      </w:pPr>
      <w:r>
        <w:rPr>
          <w:sz w:val="20"/>
          <w:vertAlign w:val="superscript"/>
        </w:rPr>
        <w:footnoteRef/>
      </w:r>
      <w:r>
        <w:rPr>
          <w:sz w:val="20"/>
        </w:rPr>
        <w:t xml:space="preserve"> Tyrimas buvo nutrauktas Konkurencijos tarybos 2018 m. gegužės 17 d. nutarimu Nr. 1S-64(2018).</w:t>
      </w:r>
    </w:p>
  </w:footnote>
  <w:footnote w:id="19">
    <w:p>
      <w:pPr>
        <w:jc w:val="both"/>
        <w:rPr>
          <w:sz w:val="20"/>
        </w:rPr>
      </w:pPr>
      <w:r>
        <w:rPr>
          <w:sz w:val="20"/>
          <w:vertAlign w:val="superscript"/>
        </w:rPr>
        <w:footnoteRef/>
      </w:r>
      <w:r>
        <w:rPr>
          <w:sz w:val="20"/>
        </w:rPr>
        <w:t xml:space="preserve"> Lietuvos Respublikos Vyriausybės 2004 m. rugsėjo 6 d. nutarimas Nr. 1136 „Dėl valstybės pagalbos priemonės ir nereikšmingos (</w:t>
      </w:r>
      <w:r>
        <w:rPr>
          <w:i/>
          <w:iCs/>
          <w:sz w:val="20"/>
        </w:rPr>
        <w:t>de minimis</w:t>
      </w:r>
      <w:r>
        <w:rPr>
          <w:sz w:val="20"/>
        </w:rPr>
        <w:t>) pagalbos priemonės ekspertizės atlikimo, išvadų ir rekomendacijų teikimo, pranešimų apie valstybės pagalbą ir kitos informacijos, susijusios su valstybės pagalba, pateikimo Europos Komisijai taisyklių patvirtinimo“.</w:t>
      </w:r>
    </w:p>
  </w:footnote>
  <w:footnote w:id="20">
    <w:p>
      <w:pPr>
        <w:jc w:val="both"/>
        <w:rPr>
          <w:sz w:val="20"/>
        </w:rPr>
      </w:pPr>
      <w:r>
        <w:rPr>
          <w:sz w:val="20"/>
          <w:vertAlign w:val="superscript"/>
        </w:rPr>
        <w:footnoteRef/>
      </w:r>
      <w:r>
        <w:rPr>
          <w:sz w:val="20"/>
        </w:rPr>
        <w:t xml:space="preserve"> Lietuvos Respublikos civilinio proceso kodekso 638 straipsnio 2 dalyje numatyta, kad “</w:t>
      </w:r>
      <w:r>
        <w:rPr>
          <w:i/>
          <w:iCs/>
          <w:sz w:val="20"/>
        </w:rPr>
        <w:t>kai pagal vykdomąjį dokumentą turi būti išieškoma į valstybės biudžetą, valstybei atstovauja Valstybinė mokesčių inspekcija, išskyrus atvejus, kai įstatymuose nustatyti kiti subjektai</w:t>
      </w:r>
      <w:r>
        <w:rPr>
          <w:sz w:val="20"/>
        </w:rPr>
        <w:t xml:space="preserve">“, todėl tikslinga nustatyti, kad ir neteisėtos valstybės pagalbos išieškojimą į valstybės biudžetą vykdytų VMI. Tokiu atveju, nuo to momento, kai, vadovaujantis Civilinio proceso kodekso 638 straipsnio 2 dalimi, neteisėtos pagalbos išieškojimo procesą pagal vykdomąjį dokumentą perima vykdyti Valstybinė mokesčių inspekcija prie Lietuvos Respublikos finansų ministerijos, suteikta neteisėta pagalba tampa valstybės skola, kurios išieškojimui taikoma įprasta, kaip ir kitoms į valstybės biudžetą VMI išieškomoms skoloms, tvarka (įskaitant bankroto, restruktūrizavimo, senaties  taikymo atvejus ir kt.).</w:t>
      </w:r>
    </w:p>
  </w:footnote>
  <w:footnote w:id="21">
    <w:p>
      <w:pPr>
        <w:jc w:val="both"/>
        <w:rPr>
          <w:sz w:val="20"/>
        </w:rPr>
      </w:pPr>
      <w:r>
        <w:rPr>
          <w:sz w:val="20"/>
          <w:vertAlign w:val="superscript"/>
        </w:rPr>
        <w:footnoteRef/>
      </w:r>
      <w:r>
        <w:rPr>
          <w:sz w:val="20"/>
        </w:rPr>
        <w:t xml:space="preserve"> Lietuvos Respublikos Vyriausybės 2005 m. gegužės 30 d. nutarimas Nr. 590 „Dėl Finansinės paramos ir bendrojo finansavimo lėšų grąžinimo į Lietuvos Respublikos valstybės biudžetą taisyklių patvirtinimo“; Lietuvos Respublikos Vyriausybės 2009 m. balandžio 8 d. nutarimas Nr. 275 „Dėl Grąžintinų lėšų, susidariusių įgyvendinant Europos žuvininkystės fondo priemones, administravimo taisyklių patvirtinimo“; Lietuvos Respublikos Vyriausybės 2008 m. vasario 13 d. nutarimas Nr. 137 „Dėl Grąžintinų lėšų, susidariusių įgyvendinant Europos Sąjungos žemės ūkio fondų priemones, administravimo taisyklių patvirtinimo“.</w:t>
      </w:r>
    </w:p>
  </w:footnote>
  <w:footnote w:id="22">
    <w:p>
      <w:pPr>
        <w:jc w:val="both"/>
        <w:rPr>
          <w:sz w:val="20"/>
        </w:rPr>
      </w:pPr>
      <w:r>
        <w:rPr>
          <w:sz w:val="20"/>
          <w:vertAlign w:val="superscript"/>
        </w:rPr>
        <w:footnoteRef/>
      </w:r>
      <w:r>
        <w:rPr>
          <w:sz w:val="20"/>
        </w:rPr>
        <w:t xml:space="preserve"> Būtinybę užtikrinti konkurencijos institucijos savarankiškumą ir nepriklausomumą numato 2018 m. gruodžio 11 d. Europos Parlamento ir Tarybos direktyva (ES) Nr. 2019/1, kuria siekiama įgalinti valstybių narių konkurencijos institucijas, kad jos būtų veiksmingesnės vykdymo užtikrintojos, ir kuria užtikrinamas tinkamas vidaus rinkos veikimas (4 straipsnis), ir ją įgyvendinantis Konkurencijos įstatymas (17 straipsnis).</w:t>
      </w:r>
    </w:p>
  </w:footnote>
  <w:footnote w:id="23">
    <w:p>
      <w:pPr>
        <w:jc w:val="both"/>
        <w:rPr>
          <w:sz w:val="20"/>
        </w:rPr>
      </w:pPr>
      <w:r>
        <w:rPr>
          <w:sz w:val="20"/>
          <w:vertAlign w:val="superscript"/>
        </w:rPr>
        <w:footnoteRef/>
      </w:r>
      <w:r>
        <w:rPr>
          <w:sz w:val="20"/>
        </w:rPr>
        <w:t xml:space="preserve"> Nacionaliniu lygmeniu nustato draudimą sudaryti Konkurenciją ribojančius susitarimus.</w:t>
      </w:r>
    </w:p>
  </w:footnote>
  <w:footnote w:id="24">
    <w:p>
      <w:pPr>
        <w:jc w:val="both"/>
        <w:rPr>
          <w:sz w:val="20"/>
        </w:rPr>
      </w:pPr>
      <w:r>
        <w:rPr>
          <w:sz w:val="20"/>
          <w:vertAlign w:val="superscript"/>
        </w:rPr>
        <w:footnoteRef/>
      </w:r>
      <w:r>
        <w:rPr>
          <w:sz w:val="20"/>
        </w:rPr>
        <w:t xml:space="preserve"> Nacionaliniu lygmeniu nustato draudimą piktnaudžiauti dominuojančia padėtimi. </w:t>
      </w:r>
    </w:p>
  </w:footnote>
  <w:footnote w:id="25">
    <w:p>
      <w:pPr>
        <w:jc w:val="both"/>
        <w:rPr>
          <w:sz w:val="20"/>
        </w:rPr>
      </w:pPr>
      <w:r>
        <w:rPr>
          <w:sz w:val="20"/>
          <w:vertAlign w:val="superscript"/>
        </w:rPr>
        <w:footnoteRef/>
      </w:r>
      <w:r>
        <w:rPr>
          <w:sz w:val="20"/>
        </w:rPr>
        <w:t xml:space="preserve"> Draudžia viešojo administravimo subjektams riboti konkurenciją.</w:t>
      </w:r>
    </w:p>
  </w:footnote>
  <w:footnote w:id="26">
    <w:p>
      <w:pPr>
        <w:jc w:val="both"/>
        <w:rPr>
          <w:sz w:val="20"/>
        </w:rPr>
      </w:pPr>
      <w:r>
        <w:rPr>
          <w:sz w:val="20"/>
          <w:vertAlign w:val="superscript"/>
        </w:rPr>
        <w:footnoteRef/>
      </w:r>
      <w:r>
        <w:rPr>
          <w:sz w:val="20"/>
        </w:rPr>
        <w:t xml:space="preserve"> Numato išimtis iš draudimo sudaryti konkurenciją ribojančius susitarimus.</w:t>
      </w:r>
    </w:p>
  </w:footnote>
  <w:footnote w:id="27">
    <w:p>
      <w:pPr>
        <w:jc w:val="both"/>
        <w:rPr>
          <w:sz w:val="20"/>
        </w:rPr>
      </w:pPr>
      <w:r>
        <w:rPr>
          <w:sz w:val="20"/>
          <w:vertAlign w:val="superscript"/>
        </w:rPr>
        <w:footnoteRef/>
      </w:r>
      <w:r>
        <w:rPr>
          <w:sz w:val="20"/>
        </w:rPr>
        <w:t xml:space="preserve"> Atsižvelgiant į tai, kad Konkurencijos įstatymo 21 straipsnis numato Konkurencijos tarybai pareigą saugoti ūkio subjektų komercines, profesines paslaptis ir asmens duomenis, Konkurencijos tarybai turėtų būti teikiami viso teksto teismų sprendimai, o ne jų išrašai.</w:t>
      </w:r>
    </w:p>
  </w:footnote>
  <w:footnote w:id="28">
    <w:p>
      <w:pPr>
        <w:jc w:val="both"/>
        <w:rPr>
          <w:sz w:val="20"/>
        </w:rPr>
      </w:pPr>
      <w:r>
        <w:rPr>
          <w:sz w:val="20"/>
          <w:vertAlign w:val="superscript"/>
        </w:rPr>
        <w:footnoteRef/>
      </w:r>
      <w:r>
        <w:rPr>
          <w:sz w:val="20"/>
        </w:rPr>
        <w:t xml:space="preserve"> Skaičiavimams naudotas Lietuvos Respublikos pareiginės algos (atlyginimo) bazinio dydžio įstatymo projekto (reg. Nr. 22-9945(2)) 3 straipsnio 1 dalyje nustatytas p</w:t>
      </w:r>
      <w:r>
        <w:rPr>
          <w:color w:val="000000"/>
          <w:sz w:val="20"/>
        </w:rPr>
        <w:t xml:space="preserve">areiginės algos (atlyginimo) bazinis dydis </w:t>
      </w:r>
      <w:r>
        <w:rPr>
          <w:i/>
          <w:iCs/>
          <w:color w:val="000000"/>
          <w:sz w:val="20"/>
        </w:rPr>
        <w:t>„&lt;...&gt; 2023 metams (n) ir 2024 metams (n+1) nustatomas pagal Lietuvos statistikos departamento paskelbtą praėjusių metų (n-2) vidutinį mėnesinį šalies darbo užmokestį (su individualiomis įmonėmis) ir yra 1579,4 euro&lt;...&gt;“.</w:t>
      </w:r>
    </w:p>
  </w:footnote>
</w:footnotes>
</file>

<file path=word/header1.xml><?xml version="1.0" encoding="utf-8"?>
<w:hd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rPr>
        <w:szCs w:val="24"/>
      </w:rPr>
    </w:pPr>
  </w:p>
</w:hdr>
</file>

<file path=word/header2.xml><?xml version="1.0" encoding="utf-8"?>
<w:hd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jc w:val="center"/>
      <w:rPr>
        <w:szCs w:val="24"/>
      </w:rPr>
    </w:pPr>
    <w:r>
      <w:rPr>
        <w:szCs w:val="24"/>
      </w:rPr>
      <w:fldChar w:fldCharType="begin"/>
    </w:r>
    <w:r>
      <w:rPr>
        <w:szCs w:val="24"/>
      </w:rPr>
      <w:instrText xml:space="preserve"> PAGE   \* MERGEFORMAT </w:instrText>
    </w:r>
    <w:r>
      <w:rPr>
        <w:szCs w:val="24"/>
      </w:rPr>
      <w:fldChar w:fldCharType="separate"/>
    </w:r>
    <w:r>
      <w:rPr>
        <w:szCs w:val="24"/>
      </w:rPr>
      <w:t>19</w:t>
    </w:r>
    <w:r>
      <w:rPr>
        <w:szCs w:val="24"/>
      </w:rPr>
      <w:fldChar w:fldCharType="end"/>
    </w:r>
  </w:p>
</w:hdr>
</file>

<file path=word/header3.xml><?xml version="1.0" encoding="utf-8"?>
<w:hdr xmlns:w="http://schemas.openxmlformats.org/wordprocessingml/2006/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center" w:pos="4819"/>
        <w:tab w:val="right" w:pos="9638"/>
      </w:tabs>
      <w:rPr>
        <w:szCs w:val="24"/>
      </w:rPr>
    </w:pPr>
  </w:p>
</w:hdr>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1296"/>
  <w:hyphenationZone w:val="396"/>
  <w:doNotHyphenateCaps/>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78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9790C0D8-5498-4247-9CFD-F035B25CA70C}"/>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w="http://schemas.openxmlformats.org/wordprocessingml/2006/main" xmlns:mc="http://schemas.openxmlformats.org/markup-compatibility/2006" xmlns:r="http://schemas.openxmlformats.org/officeDocument/2006/relationships" xmlns:w14="http://schemas.microsoft.com/office/word/2010/wordml" xmlns:w15="http://schemas.microsoft.com/office/word/2012/wordml" xmlns:w16se="http://schemas.microsoft.com/office/word/2015/wordml/symex" mc:Ignorable="w14 w15 w16se">
  <w:divs>
    <w:div w:id="5714816">
      <w:bodyDiv w:val="1"/>
      <w:marLeft w:val="0"/>
      <w:marRight w:val="0"/>
      <w:marTop w:val="0"/>
      <w:marBottom w:val="0"/>
      <w:divBdr>
        <w:top w:val="none" w:sz="0" w:space="0" w:color="auto"/>
        <w:left w:val="none" w:sz="0" w:space="0" w:color="auto"/>
        <w:bottom w:val="none" w:sz="0" w:space="0" w:color="auto"/>
        <w:right w:val="none" w:sz="0" w:space="0" w:color="auto"/>
      </w:divBdr>
    </w:div>
    <w:div w:id="6567457">
      <w:bodyDiv w:val="1"/>
      <w:marLeft w:val="0"/>
      <w:marRight w:val="0"/>
      <w:marTop w:val="0"/>
      <w:marBottom w:val="0"/>
      <w:divBdr>
        <w:top w:val="none" w:sz="0" w:space="0" w:color="auto"/>
        <w:left w:val="none" w:sz="0" w:space="0" w:color="auto"/>
        <w:bottom w:val="none" w:sz="0" w:space="0" w:color="auto"/>
        <w:right w:val="none" w:sz="0" w:space="0" w:color="auto"/>
      </w:divBdr>
    </w:div>
    <w:div w:id="95834572">
      <w:bodyDiv w:val="1"/>
      <w:marLeft w:val="0"/>
      <w:marRight w:val="0"/>
      <w:marTop w:val="0"/>
      <w:marBottom w:val="0"/>
      <w:divBdr>
        <w:top w:val="none" w:sz="0" w:space="0" w:color="auto"/>
        <w:left w:val="none" w:sz="0" w:space="0" w:color="auto"/>
        <w:bottom w:val="none" w:sz="0" w:space="0" w:color="auto"/>
        <w:right w:val="none" w:sz="0" w:space="0" w:color="auto"/>
      </w:divBdr>
    </w:div>
    <w:div w:id="108209648">
      <w:bodyDiv w:val="1"/>
      <w:marLeft w:val="0"/>
      <w:marRight w:val="0"/>
      <w:marTop w:val="0"/>
      <w:marBottom w:val="0"/>
      <w:divBdr>
        <w:top w:val="none" w:sz="0" w:space="0" w:color="auto"/>
        <w:left w:val="none" w:sz="0" w:space="0" w:color="auto"/>
        <w:bottom w:val="none" w:sz="0" w:space="0" w:color="auto"/>
        <w:right w:val="none" w:sz="0" w:space="0" w:color="auto"/>
      </w:divBdr>
    </w:div>
    <w:div w:id="115295713">
      <w:bodyDiv w:val="1"/>
      <w:marLeft w:val="0"/>
      <w:marRight w:val="0"/>
      <w:marTop w:val="0"/>
      <w:marBottom w:val="0"/>
      <w:divBdr>
        <w:top w:val="none" w:sz="0" w:space="0" w:color="auto"/>
        <w:left w:val="none" w:sz="0" w:space="0" w:color="auto"/>
        <w:bottom w:val="none" w:sz="0" w:space="0" w:color="auto"/>
        <w:right w:val="none" w:sz="0" w:space="0" w:color="auto"/>
      </w:divBdr>
    </w:div>
    <w:div w:id="117187803">
      <w:bodyDiv w:val="1"/>
      <w:marLeft w:val="0"/>
      <w:marRight w:val="0"/>
      <w:marTop w:val="0"/>
      <w:marBottom w:val="0"/>
      <w:divBdr>
        <w:top w:val="none" w:sz="0" w:space="0" w:color="auto"/>
        <w:left w:val="none" w:sz="0" w:space="0" w:color="auto"/>
        <w:bottom w:val="none" w:sz="0" w:space="0" w:color="auto"/>
        <w:right w:val="none" w:sz="0" w:space="0" w:color="auto"/>
      </w:divBdr>
    </w:div>
    <w:div w:id="166748096">
      <w:bodyDiv w:val="1"/>
      <w:marLeft w:val="0"/>
      <w:marRight w:val="0"/>
      <w:marTop w:val="0"/>
      <w:marBottom w:val="0"/>
      <w:divBdr>
        <w:top w:val="none" w:sz="0" w:space="0" w:color="auto"/>
        <w:left w:val="none" w:sz="0" w:space="0" w:color="auto"/>
        <w:bottom w:val="none" w:sz="0" w:space="0" w:color="auto"/>
        <w:right w:val="none" w:sz="0" w:space="0" w:color="auto"/>
      </w:divBdr>
    </w:div>
    <w:div w:id="181238271">
      <w:bodyDiv w:val="1"/>
      <w:marLeft w:val="225"/>
      <w:marRight w:val="225"/>
      <w:marTop w:val="0"/>
      <w:marBottom w:val="0"/>
      <w:divBdr>
        <w:top w:val="none" w:sz="0" w:space="0" w:color="auto"/>
        <w:left w:val="none" w:sz="0" w:space="0" w:color="auto"/>
        <w:bottom w:val="none" w:sz="0" w:space="0" w:color="auto"/>
        <w:right w:val="none" w:sz="0" w:space="0" w:color="auto"/>
      </w:divBdr>
      <w:divsChild>
        <w:div w:id="1137845090">
          <w:marLeft w:val="0"/>
          <w:marRight w:val="0"/>
          <w:marTop w:val="0"/>
          <w:marBottom w:val="0"/>
          <w:divBdr>
            <w:top w:val="none" w:sz="0" w:space="0" w:color="auto"/>
            <w:left w:val="none" w:sz="0" w:space="0" w:color="auto"/>
            <w:bottom w:val="none" w:sz="0" w:space="0" w:color="auto"/>
            <w:right w:val="none" w:sz="0" w:space="0" w:color="auto"/>
          </w:divBdr>
        </w:div>
      </w:divsChild>
    </w:div>
    <w:div w:id="191069914">
      <w:bodyDiv w:val="1"/>
      <w:marLeft w:val="0"/>
      <w:marRight w:val="0"/>
      <w:marTop w:val="0"/>
      <w:marBottom w:val="0"/>
      <w:divBdr>
        <w:top w:val="none" w:sz="0" w:space="0" w:color="auto"/>
        <w:left w:val="none" w:sz="0" w:space="0" w:color="auto"/>
        <w:bottom w:val="none" w:sz="0" w:space="0" w:color="auto"/>
        <w:right w:val="none" w:sz="0" w:space="0" w:color="auto"/>
      </w:divBdr>
      <w:divsChild>
        <w:div w:id="1379011375">
          <w:marLeft w:val="0"/>
          <w:marRight w:val="0"/>
          <w:marTop w:val="0"/>
          <w:marBottom w:val="0"/>
          <w:divBdr>
            <w:top w:val="none" w:sz="0" w:space="0" w:color="auto"/>
            <w:left w:val="none" w:sz="0" w:space="0" w:color="auto"/>
            <w:bottom w:val="none" w:sz="0" w:space="0" w:color="auto"/>
            <w:right w:val="none" w:sz="0" w:space="0" w:color="auto"/>
          </w:divBdr>
          <w:divsChild>
            <w:div w:id="1364943294">
              <w:marLeft w:val="25"/>
              <w:marRight w:val="25"/>
              <w:marTop w:val="63"/>
              <w:marBottom w:val="0"/>
              <w:divBdr>
                <w:top w:val="none" w:sz="0" w:space="0" w:color="auto"/>
                <w:left w:val="none" w:sz="0" w:space="0" w:color="auto"/>
                <w:bottom w:val="none" w:sz="0" w:space="0" w:color="auto"/>
                <w:right w:val="none" w:sz="0" w:space="0" w:color="auto"/>
              </w:divBdr>
              <w:divsChild>
                <w:div w:id="639580776">
                  <w:marLeft w:val="0"/>
                  <w:marRight w:val="0"/>
                  <w:marTop w:val="0"/>
                  <w:marBottom w:val="0"/>
                  <w:divBdr>
                    <w:top w:val="none" w:sz="0" w:space="0" w:color="auto"/>
                    <w:left w:val="none" w:sz="0" w:space="0" w:color="auto"/>
                    <w:bottom w:val="none" w:sz="0" w:space="0" w:color="auto"/>
                    <w:right w:val="none" w:sz="0" w:space="0" w:color="auto"/>
                  </w:divBdr>
                  <w:divsChild>
                    <w:div w:id="753665185">
                      <w:marLeft w:val="125"/>
                      <w:marRight w:val="0"/>
                      <w:marTop w:val="0"/>
                      <w:marBottom w:val="0"/>
                      <w:divBdr>
                        <w:top w:val="none" w:sz="0" w:space="0" w:color="auto"/>
                        <w:left w:val="none" w:sz="0" w:space="0" w:color="auto"/>
                        <w:bottom w:val="none" w:sz="0" w:space="0" w:color="auto"/>
                        <w:right w:val="none" w:sz="0" w:space="0" w:color="auto"/>
                      </w:divBdr>
                      <w:divsChild>
                        <w:div w:id="306015611">
                          <w:marLeft w:val="0"/>
                          <w:marRight w:val="0"/>
                          <w:marTop w:val="0"/>
                          <w:marBottom w:val="0"/>
                          <w:divBdr>
                            <w:top w:val="none" w:sz="0" w:space="0" w:color="auto"/>
                            <w:left w:val="none" w:sz="0" w:space="0" w:color="auto"/>
                            <w:bottom w:val="none" w:sz="0" w:space="0" w:color="auto"/>
                            <w:right w:val="none" w:sz="0" w:space="0" w:color="auto"/>
                          </w:divBdr>
                          <w:divsChild>
                            <w:div w:id="1865167028">
                              <w:marLeft w:val="0"/>
                              <w:marRight w:val="1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774380">
      <w:bodyDiv w:val="1"/>
      <w:marLeft w:val="0"/>
      <w:marRight w:val="0"/>
      <w:marTop w:val="0"/>
      <w:marBottom w:val="0"/>
      <w:divBdr>
        <w:top w:val="none" w:sz="0" w:space="0" w:color="auto"/>
        <w:left w:val="none" w:sz="0" w:space="0" w:color="auto"/>
        <w:bottom w:val="none" w:sz="0" w:space="0" w:color="auto"/>
        <w:right w:val="none" w:sz="0" w:space="0" w:color="auto"/>
      </w:divBdr>
    </w:div>
    <w:div w:id="216552271">
      <w:bodyDiv w:val="1"/>
      <w:marLeft w:val="188"/>
      <w:marRight w:val="188"/>
      <w:marTop w:val="0"/>
      <w:marBottom w:val="0"/>
      <w:divBdr>
        <w:top w:val="none" w:sz="0" w:space="0" w:color="auto"/>
        <w:left w:val="none" w:sz="0" w:space="0" w:color="auto"/>
        <w:bottom w:val="none" w:sz="0" w:space="0" w:color="auto"/>
        <w:right w:val="none" w:sz="0" w:space="0" w:color="auto"/>
      </w:divBdr>
      <w:divsChild>
        <w:div w:id="1510095576">
          <w:marLeft w:val="0"/>
          <w:marRight w:val="0"/>
          <w:marTop w:val="0"/>
          <w:marBottom w:val="0"/>
          <w:divBdr>
            <w:top w:val="none" w:sz="0" w:space="0" w:color="auto"/>
            <w:left w:val="none" w:sz="0" w:space="0" w:color="auto"/>
            <w:bottom w:val="none" w:sz="0" w:space="0" w:color="auto"/>
            <w:right w:val="none" w:sz="0" w:space="0" w:color="auto"/>
          </w:divBdr>
        </w:div>
      </w:divsChild>
    </w:div>
    <w:div w:id="262492031">
      <w:bodyDiv w:val="1"/>
      <w:marLeft w:val="0"/>
      <w:marRight w:val="0"/>
      <w:marTop w:val="0"/>
      <w:marBottom w:val="0"/>
      <w:divBdr>
        <w:top w:val="none" w:sz="0" w:space="0" w:color="auto"/>
        <w:left w:val="none" w:sz="0" w:space="0" w:color="auto"/>
        <w:bottom w:val="none" w:sz="0" w:space="0" w:color="auto"/>
        <w:right w:val="none" w:sz="0" w:space="0" w:color="auto"/>
      </w:divBdr>
    </w:div>
    <w:div w:id="325256114">
      <w:bodyDiv w:val="1"/>
      <w:marLeft w:val="0"/>
      <w:marRight w:val="0"/>
      <w:marTop w:val="0"/>
      <w:marBottom w:val="0"/>
      <w:divBdr>
        <w:top w:val="none" w:sz="0" w:space="0" w:color="auto"/>
        <w:left w:val="none" w:sz="0" w:space="0" w:color="auto"/>
        <w:bottom w:val="none" w:sz="0" w:space="0" w:color="auto"/>
        <w:right w:val="none" w:sz="0" w:space="0" w:color="auto"/>
      </w:divBdr>
      <w:divsChild>
        <w:div w:id="738796095">
          <w:marLeft w:val="0"/>
          <w:marRight w:val="0"/>
          <w:marTop w:val="0"/>
          <w:marBottom w:val="0"/>
          <w:divBdr>
            <w:top w:val="none" w:sz="0" w:space="0" w:color="auto"/>
            <w:left w:val="none" w:sz="0" w:space="0" w:color="auto"/>
            <w:bottom w:val="none" w:sz="0" w:space="0" w:color="auto"/>
            <w:right w:val="none" w:sz="0" w:space="0" w:color="auto"/>
          </w:divBdr>
        </w:div>
      </w:divsChild>
    </w:div>
    <w:div w:id="367335815">
      <w:bodyDiv w:val="1"/>
      <w:marLeft w:val="0"/>
      <w:marRight w:val="0"/>
      <w:marTop w:val="0"/>
      <w:marBottom w:val="0"/>
      <w:divBdr>
        <w:top w:val="none" w:sz="0" w:space="0" w:color="auto"/>
        <w:left w:val="none" w:sz="0" w:space="0" w:color="auto"/>
        <w:bottom w:val="none" w:sz="0" w:space="0" w:color="auto"/>
        <w:right w:val="none" w:sz="0" w:space="0" w:color="auto"/>
      </w:divBdr>
    </w:div>
    <w:div w:id="501168015">
      <w:bodyDiv w:val="1"/>
      <w:marLeft w:val="0"/>
      <w:marRight w:val="0"/>
      <w:marTop w:val="0"/>
      <w:marBottom w:val="0"/>
      <w:divBdr>
        <w:top w:val="none" w:sz="0" w:space="0" w:color="auto"/>
        <w:left w:val="none" w:sz="0" w:space="0" w:color="auto"/>
        <w:bottom w:val="none" w:sz="0" w:space="0" w:color="auto"/>
        <w:right w:val="none" w:sz="0" w:space="0" w:color="auto"/>
      </w:divBdr>
    </w:div>
    <w:div w:id="557711988">
      <w:bodyDiv w:val="1"/>
      <w:marLeft w:val="0"/>
      <w:marRight w:val="0"/>
      <w:marTop w:val="0"/>
      <w:marBottom w:val="0"/>
      <w:divBdr>
        <w:top w:val="none" w:sz="0" w:space="0" w:color="auto"/>
        <w:left w:val="none" w:sz="0" w:space="0" w:color="auto"/>
        <w:bottom w:val="none" w:sz="0" w:space="0" w:color="auto"/>
        <w:right w:val="none" w:sz="0" w:space="0" w:color="auto"/>
      </w:divBdr>
    </w:div>
    <w:div w:id="570308399">
      <w:bodyDiv w:val="1"/>
      <w:marLeft w:val="0"/>
      <w:marRight w:val="0"/>
      <w:marTop w:val="0"/>
      <w:marBottom w:val="0"/>
      <w:divBdr>
        <w:top w:val="none" w:sz="0" w:space="0" w:color="auto"/>
        <w:left w:val="none" w:sz="0" w:space="0" w:color="auto"/>
        <w:bottom w:val="none" w:sz="0" w:space="0" w:color="auto"/>
        <w:right w:val="none" w:sz="0" w:space="0" w:color="auto"/>
      </w:divBdr>
    </w:div>
    <w:div w:id="597833951">
      <w:bodyDiv w:val="1"/>
      <w:marLeft w:val="225"/>
      <w:marRight w:val="225"/>
      <w:marTop w:val="0"/>
      <w:marBottom w:val="0"/>
      <w:divBdr>
        <w:top w:val="none" w:sz="0" w:space="0" w:color="auto"/>
        <w:left w:val="none" w:sz="0" w:space="0" w:color="auto"/>
        <w:bottom w:val="none" w:sz="0" w:space="0" w:color="auto"/>
        <w:right w:val="none" w:sz="0" w:space="0" w:color="auto"/>
      </w:divBdr>
      <w:divsChild>
        <w:div w:id="1616447469">
          <w:marLeft w:val="0"/>
          <w:marRight w:val="0"/>
          <w:marTop w:val="0"/>
          <w:marBottom w:val="0"/>
          <w:divBdr>
            <w:top w:val="none" w:sz="0" w:space="0" w:color="auto"/>
            <w:left w:val="none" w:sz="0" w:space="0" w:color="auto"/>
            <w:bottom w:val="none" w:sz="0" w:space="0" w:color="auto"/>
            <w:right w:val="none" w:sz="0" w:space="0" w:color="auto"/>
          </w:divBdr>
        </w:div>
      </w:divsChild>
    </w:div>
    <w:div w:id="637150818">
      <w:bodyDiv w:val="1"/>
      <w:marLeft w:val="0"/>
      <w:marRight w:val="0"/>
      <w:marTop w:val="0"/>
      <w:marBottom w:val="0"/>
      <w:divBdr>
        <w:top w:val="none" w:sz="0" w:space="0" w:color="auto"/>
        <w:left w:val="none" w:sz="0" w:space="0" w:color="auto"/>
        <w:bottom w:val="none" w:sz="0" w:space="0" w:color="auto"/>
        <w:right w:val="none" w:sz="0" w:space="0" w:color="auto"/>
      </w:divBdr>
    </w:div>
    <w:div w:id="643201799">
      <w:bodyDiv w:val="1"/>
      <w:marLeft w:val="0"/>
      <w:marRight w:val="0"/>
      <w:marTop w:val="0"/>
      <w:marBottom w:val="0"/>
      <w:divBdr>
        <w:top w:val="none" w:sz="0" w:space="0" w:color="auto"/>
        <w:left w:val="none" w:sz="0" w:space="0" w:color="auto"/>
        <w:bottom w:val="none" w:sz="0" w:space="0" w:color="auto"/>
        <w:right w:val="none" w:sz="0" w:space="0" w:color="auto"/>
      </w:divBdr>
    </w:div>
    <w:div w:id="643319037">
      <w:bodyDiv w:val="1"/>
      <w:marLeft w:val="0"/>
      <w:marRight w:val="0"/>
      <w:marTop w:val="0"/>
      <w:marBottom w:val="0"/>
      <w:divBdr>
        <w:top w:val="none" w:sz="0" w:space="0" w:color="auto"/>
        <w:left w:val="none" w:sz="0" w:space="0" w:color="auto"/>
        <w:bottom w:val="none" w:sz="0" w:space="0" w:color="auto"/>
        <w:right w:val="none" w:sz="0" w:space="0" w:color="auto"/>
      </w:divBdr>
    </w:div>
    <w:div w:id="665859727">
      <w:bodyDiv w:val="1"/>
      <w:marLeft w:val="0"/>
      <w:marRight w:val="0"/>
      <w:marTop w:val="0"/>
      <w:marBottom w:val="0"/>
      <w:divBdr>
        <w:top w:val="none" w:sz="0" w:space="0" w:color="auto"/>
        <w:left w:val="none" w:sz="0" w:space="0" w:color="auto"/>
        <w:bottom w:val="none" w:sz="0" w:space="0" w:color="auto"/>
        <w:right w:val="none" w:sz="0" w:space="0" w:color="auto"/>
      </w:divBdr>
    </w:div>
    <w:div w:id="763576896">
      <w:bodyDiv w:val="1"/>
      <w:marLeft w:val="0"/>
      <w:marRight w:val="0"/>
      <w:marTop w:val="0"/>
      <w:marBottom w:val="0"/>
      <w:divBdr>
        <w:top w:val="none" w:sz="0" w:space="0" w:color="auto"/>
        <w:left w:val="none" w:sz="0" w:space="0" w:color="auto"/>
        <w:bottom w:val="none" w:sz="0" w:space="0" w:color="auto"/>
        <w:right w:val="none" w:sz="0" w:space="0" w:color="auto"/>
      </w:divBdr>
      <w:divsChild>
        <w:div w:id="951519709">
          <w:marLeft w:val="0"/>
          <w:marRight w:val="0"/>
          <w:marTop w:val="0"/>
          <w:marBottom w:val="0"/>
          <w:divBdr>
            <w:top w:val="none" w:sz="0" w:space="0" w:color="auto"/>
            <w:left w:val="none" w:sz="0" w:space="0" w:color="auto"/>
            <w:bottom w:val="none" w:sz="0" w:space="0" w:color="auto"/>
            <w:right w:val="none" w:sz="0" w:space="0" w:color="auto"/>
          </w:divBdr>
        </w:div>
      </w:divsChild>
    </w:div>
    <w:div w:id="921061510">
      <w:bodyDiv w:val="1"/>
      <w:marLeft w:val="0"/>
      <w:marRight w:val="0"/>
      <w:marTop w:val="0"/>
      <w:marBottom w:val="0"/>
      <w:divBdr>
        <w:top w:val="none" w:sz="0" w:space="0" w:color="auto"/>
        <w:left w:val="none" w:sz="0" w:space="0" w:color="auto"/>
        <w:bottom w:val="none" w:sz="0" w:space="0" w:color="auto"/>
        <w:right w:val="none" w:sz="0" w:space="0" w:color="auto"/>
      </w:divBdr>
    </w:div>
    <w:div w:id="984623265">
      <w:bodyDiv w:val="1"/>
      <w:marLeft w:val="0"/>
      <w:marRight w:val="0"/>
      <w:marTop w:val="0"/>
      <w:marBottom w:val="0"/>
      <w:divBdr>
        <w:top w:val="none" w:sz="0" w:space="0" w:color="auto"/>
        <w:left w:val="none" w:sz="0" w:space="0" w:color="auto"/>
        <w:bottom w:val="none" w:sz="0" w:space="0" w:color="auto"/>
        <w:right w:val="none" w:sz="0" w:space="0" w:color="auto"/>
      </w:divBdr>
    </w:div>
    <w:div w:id="991060846">
      <w:bodyDiv w:val="1"/>
      <w:marLeft w:val="0"/>
      <w:marRight w:val="0"/>
      <w:marTop w:val="0"/>
      <w:marBottom w:val="0"/>
      <w:divBdr>
        <w:top w:val="none" w:sz="0" w:space="0" w:color="auto"/>
        <w:left w:val="none" w:sz="0" w:space="0" w:color="auto"/>
        <w:bottom w:val="none" w:sz="0" w:space="0" w:color="auto"/>
        <w:right w:val="none" w:sz="0" w:space="0" w:color="auto"/>
      </w:divBdr>
    </w:div>
    <w:div w:id="996693189">
      <w:bodyDiv w:val="1"/>
      <w:marLeft w:val="0"/>
      <w:marRight w:val="0"/>
      <w:marTop w:val="0"/>
      <w:marBottom w:val="0"/>
      <w:divBdr>
        <w:top w:val="none" w:sz="0" w:space="0" w:color="auto"/>
        <w:left w:val="none" w:sz="0" w:space="0" w:color="auto"/>
        <w:bottom w:val="none" w:sz="0" w:space="0" w:color="auto"/>
        <w:right w:val="none" w:sz="0" w:space="0" w:color="auto"/>
      </w:divBdr>
    </w:div>
    <w:div w:id="1012337931">
      <w:bodyDiv w:val="1"/>
      <w:marLeft w:val="0"/>
      <w:marRight w:val="0"/>
      <w:marTop w:val="0"/>
      <w:marBottom w:val="0"/>
      <w:divBdr>
        <w:top w:val="none" w:sz="0" w:space="0" w:color="auto"/>
        <w:left w:val="none" w:sz="0" w:space="0" w:color="auto"/>
        <w:bottom w:val="none" w:sz="0" w:space="0" w:color="auto"/>
        <w:right w:val="none" w:sz="0" w:space="0" w:color="auto"/>
      </w:divBdr>
    </w:div>
    <w:div w:id="1026828081">
      <w:bodyDiv w:val="1"/>
      <w:marLeft w:val="0"/>
      <w:marRight w:val="0"/>
      <w:marTop w:val="0"/>
      <w:marBottom w:val="0"/>
      <w:divBdr>
        <w:top w:val="none" w:sz="0" w:space="0" w:color="auto"/>
        <w:left w:val="none" w:sz="0" w:space="0" w:color="auto"/>
        <w:bottom w:val="none" w:sz="0" w:space="0" w:color="auto"/>
        <w:right w:val="none" w:sz="0" w:space="0" w:color="auto"/>
      </w:divBdr>
    </w:div>
    <w:div w:id="1087263707">
      <w:bodyDiv w:val="1"/>
      <w:marLeft w:val="225"/>
      <w:marRight w:val="225"/>
      <w:marTop w:val="0"/>
      <w:marBottom w:val="0"/>
      <w:divBdr>
        <w:top w:val="none" w:sz="0" w:space="0" w:color="auto"/>
        <w:left w:val="none" w:sz="0" w:space="0" w:color="auto"/>
        <w:bottom w:val="none" w:sz="0" w:space="0" w:color="auto"/>
        <w:right w:val="none" w:sz="0" w:space="0" w:color="auto"/>
      </w:divBdr>
      <w:divsChild>
        <w:div w:id="875312734">
          <w:marLeft w:val="0"/>
          <w:marRight w:val="0"/>
          <w:marTop w:val="0"/>
          <w:marBottom w:val="0"/>
          <w:divBdr>
            <w:top w:val="none" w:sz="0" w:space="0" w:color="auto"/>
            <w:left w:val="none" w:sz="0" w:space="0" w:color="auto"/>
            <w:bottom w:val="none" w:sz="0" w:space="0" w:color="auto"/>
            <w:right w:val="none" w:sz="0" w:space="0" w:color="auto"/>
          </w:divBdr>
        </w:div>
      </w:divsChild>
    </w:div>
    <w:div w:id="1093433634">
      <w:bodyDiv w:val="1"/>
      <w:marLeft w:val="0"/>
      <w:marRight w:val="0"/>
      <w:marTop w:val="0"/>
      <w:marBottom w:val="0"/>
      <w:divBdr>
        <w:top w:val="none" w:sz="0" w:space="0" w:color="auto"/>
        <w:left w:val="none" w:sz="0" w:space="0" w:color="auto"/>
        <w:bottom w:val="none" w:sz="0" w:space="0" w:color="auto"/>
        <w:right w:val="none" w:sz="0" w:space="0" w:color="auto"/>
      </w:divBdr>
    </w:div>
    <w:div w:id="1102991684">
      <w:bodyDiv w:val="1"/>
      <w:marLeft w:val="225"/>
      <w:marRight w:val="225"/>
      <w:marTop w:val="0"/>
      <w:marBottom w:val="0"/>
      <w:divBdr>
        <w:top w:val="none" w:sz="0" w:space="0" w:color="auto"/>
        <w:left w:val="none" w:sz="0" w:space="0" w:color="auto"/>
        <w:bottom w:val="none" w:sz="0" w:space="0" w:color="auto"/>
        <w:right w:val="none" w:sz="0" w:space="0" w:color="auto"/>
      </w:divBdr>
      <w:divsChild>
        <w:div w:id="181481804">
          <w:marLeft w:val="0"/>
          <w:marRight w:val="0"/>
          <w:marTop w:val="0"/>
          <w:marBottom w:val="0"/>
          <w:divBdr>
            <w:top w:val="none" w:sz="0" w:space="0" w:color="auto"/>
            <w:left w:val="none" w:sz="0" w:space="0" w:color="auto"/>
            <w:bottom w:val="none" w:sz="0" w:space="0" w:color="auto"/>
            <w:right w:val="none" w:sz="0" w:space="0" w:color="auto"/>
          </w:divBdr>
        </w:div>
      </w:divsChild>
    </w:div>
    <w:div w:id="1114790463">
      <w:bodyDiv w:val="1"/>
      <w:marLeft w:val="0"/>
      <w:marRight w:val="0"/>
      <w:marTop w:val="0"/>
      <w:marBottom w:val="0"/>
      <w:divBdr>
        <w:top w:val="none" w:sz="0" w:space="0" w:color="auto"/>
        <w:left w:val="none" w:sz="0" w:space="0" w:color="auto"/>
        <w:bottom w:val="none" w:sz="0" w:space="0" w:color="auto"/>
        <w:right w:val="none" w:sz="0" w:space="0" w:color="auto"/>
      </w:divBdr>
    </w:div>
    <w:div w:id="1121610755">
      <w:bodyDiv w:val="1"/>
      <w:marLeft w:val="0"/>
      <w:marRight w:val="0"/>
      <w:marTop w:val="0"/>
      <w:marBottom w:val="0"/>
      <w:divBdr>
        <w:top w:val="none" w:sz="0" w:space="0" w:color="auto"/>
        <w:left w:val="none" w:sz="0" w:space="0" w:color="auto"/>
        <w:bottom w:val="none" w:sz="0" w:space="0" w:color="auto"/>
        <w:right w:val="none" w:sz="0" w:space="0" w:color="auto"/>
      </w:divBdr>
    </w:div>
    <w:div w:id="1186746114">
      <w:bodyDiv w:val="1"/>
      <w:marLeft w:val="0"/>
      <w:marRight w:val="0"/>
      <w:marTop w:val="0"/>
      <w:marBottom w:val="0"/>
      <w:divBdr>
        <w:top w:val="none" w:sz="0" w:space="0" w:color="auto"/>
        <w:left w:val="none" w:sz="0" w:space="0" w:color="auto"/>
        <w:bottom w:val="none" w:sz="0" w:space="0" w:color="auto"/>
        <w:right w:val="none" w:sz="0" w:space="0" w:color="auto"/>
      </w:divBdr>
    </w:div>
    <w:div w:id="1323044404">
      <w:bodyDiv w:val="1"/>
      <w:marLeft w:val="0"/>
      <w:marRight w:val="0"/>
      <w:marTop w:val="0"/>
      <w:marBottom w:val="0"/>
      <w:divBdr>
        <w:top w:val="none" w:sz="0" w:space="0" w:color="auto"/>
        <w:left w:val="none" w:sz="0" w:space="0" w:color="auto"/>
        <w:bottom w:val="none" w:sz="0" w:space="0" w:color="auto"/>
        <w:right w:val="none" w:sz="0" w:space="0" w:color="auto"/>
      </w:divBdr>
    </w:div>
    <w:div w:id="1349479345">
      <w:bodyDiv w:val="1"/>
      <w:marLeft w:val="225"/>
      <w:marRight w:val="225"/>
      <w:marTop w:val="0"/>
      <w:marBottom w:val="0"/>
      <w:divBdr>
        <w:top w:val="none" w:sz="0" w:space="0" w:color="auto"/>
        <w:left w:val="none" w:sz="0" w:space="0" w:color="auto"/>
        <w:bottom w:val="none" w:sz="0" w:space="0" w:color="auto"/>
        <w:right w:val="none" w:sz="0" w:space="0" w:color="auto"/>
      </w:divBdr>
      <w:divsChild>
        <w:div w:id="955020125">
          <w:marLeft w:val="0"/>
          <w:marRight w:val="0"/>
          <w:marTop w:val="0"/>
          <w:marBottom w:val="0"/>
          <w:divBdr>
            <w:top w:val="none" w:sz="0" w:space="0" w:color="auto"/>
            <w:left w:val="none" w:sz="0" w:space="0" w:color="auto"/>
            <w:bottom w:val="none" w:sz="0" w:space="0" w:color="auto"/>
            <w:right w:val="none" w:sz="0" w:space="0" w:color="auto"/>
          </w:divBdr>
        </w:div>
      </w:divsChild>
    </w:div>
    <w:div w:id="1386222892">
      <w:bodyDiv w:val="1"/>
      <w:marLeft w:val="0"/>
      <w:marRight w:val="0"/>
      <w:marTop w:val="0"/>
      <w:marBottom w:val="0"/>
      <w:divBdr>
        <w:top w:val="none" w:sz="0" w:space="0" w:color="auto"/>
        <w:left w:val="none" w:sz="0" w:space="0" w:color="auto"/>
        <w:bottom w:val="none" w:sz="0" w:space="0" w:color="auto"/>
        <w:right w:val="none" w:sz="0" w:space="0" w:color="auto"/>
      </w:divBdr>
      <w:divsChild>
        <w:div w:id="1309479257">
          <w:marLeft w:val="0"/>
          <w:marRight w:val="0"/>
          <w:marTop w:val="0"/>
          <w:marBottom w:val="0"/>
          <w:divBdr>
            <w:top w:val="none" w:sz="0" w:space="0" w:color="auto"/>
            <w:left w:val="none" w:sz="0" w:space="0" w:color="auto"/>
            <w:bottom w:val="none" w:sz="0" w:space="0" w:color="auto"/>
            <w:right w:val="none" w:sz="0" w:space="0" w:color="auto"/>
          </w:divBdr>
        </w:div>
      </w:divsChild>
    </w:div>
    <w:div w:id="1416518091">
      <w:bodyDiv w:val="1"/>
      <w:marLeft w:val="0"/>
      <w:marRight w:val="0"/>
      <w:marTop w:val="0"/>
      <w:marBottom w:val="0"/>
      <w:divBdr>
        <w:top w:val="none" w:sz="0" w:space="0" w:color="auto"/>
        <w:left w:val="none" w:sz="0" w:space="0" w:color="auto"/>
        <w:bottom w:val="none" w:sz="0" w:space="0" w:color="auto"/>
        <w:right w:val="none" w:sz="0" w:space="0" w:color="auto"/>
      </w:divBdr>
    </w:div>
    <w:div w:id="1442257808">
      <w:bodyDiv w:val="1"/>
      <w:marLeft w:val="0"/>
      <w:marRight w:val="0"/>
      <w:marTop w:val="0"/>
      <w:marBottom w:val="0"/>
      <w:divBdr>
        <w:top w:val="none" w:sz="0" w:space="0" w:color="auto"/>
        <w:left w:val="none" w:sz="0" w:space="0" w:color="auto"/>
        <w:bottom w:val="none" w:sz="0" w:space="0" w:color="auto"/>
        <w:right w:val="none" w:sz="0" w:space="0" w:color="auto"/>
      </w:divBdr>
      <w:divsChild>
        <w:div w:id="2060939057">
          <w:marLeft w:val="0"/>
          <w:marRight w:val="0"/>
          <w:marTop w:val="0"/>
          <w:marBottom w:val="0"/>
          <w:divBdr>
            <w:top w:val="none" w:sz="0" w:space="0" w:color="auto"/>
            <w:left w:val="none" w:sz="0" w:space="0" w:color="auto"/>
            <w:bottom w:val="none" w:sz="0" w:space="0" w:color="auto"/>
            <w:right w:val="none" w:sz="0" w:space="0" w:color="auto"/>
          </w:divBdr>
        </w:div>
      </w:divsChild>
    </w:div>
    <w:div w:id="1455102556">
      <w:bodyDiv w:val="1"/>
      <w:marLeft w:val="0"/>
      <w:marRight w:val="0"/>
      <w:marTop w:val="0"/>
      <w:marBottom w:val="0"/>
      <w:divBdr>
        <w:top w:val="none" w:sz="0" w:space="0" w:color="auto"/>
        <w:left w:val="none" w:sz="0" w:space="0" w:color="auto"/>
        <w:bottom w:val="none" w:sz="0" w:space="0" w:color="auto"/>
        <w:right w:val="none" w:sz="0" w:space="0" w:color="auto"/>
      </w:divBdr>
    </w:div>
    <w:div w:id="1459638786">
      <w:bodyDiv w:val="1"/>
      <w:marLeft w:val="0"/>
      <w:marRight w:val="0"/>
      <w:marTop w:val="0"/>
      <w:marBottom w:val="0"/>
      <w:divBdr>
        <w:top w:val="none" w:sz="0" w:space="0" w:color="auto"/>
        <w:left w:val="none" w:sz="0" w:space="0" w:color="auto"/>
        <w:bottom w:val="none" w:sz="0" w:space="0" w:color="auto"/>
        <w:right w:val="none" w:sz="0" w:space="0" w:color="auto"/>
      </w:divBdr>
    </w:div>
    <w:div w:id="1533954683">
      <w:bodyDiv w:val="1"/>
      <w:marLeft w:val="0"/>
      <w:marRight w:val="0"/>
      <w:marTop w:val="0"/>
      <w:marBottom w:val="0"/>
      <w:divBdr>
        <w:top w:val="none" w:sz="0" w:space="0" w:color="auto"/>
        <w:left w:val="none" w:sz="0" w:space="0" w:color="auto"/>
        <w:bottom w:val="none" w:sz="0" w:space="0" w:color="auto"/>
        <w:right w:val="none" w:sz="0" w:space="0" w:color="auto"/>
      </w:divBdr>
    </w:div>
    <w:div w:id="1608385706">
      <w:bodyDiv w:val="1"/>
      <w:marLeft w:val="0"/>
      <w:marRight w:val="0"/>
      <w:marTop w:val="0"/>
      <w:marBottom w:val="0"/>
      <w:divBdr>
        <w:top w:val="none" w:sz="0" w:space="0" w:color="auto"/>
        <w:left w:val="none" w:sz="0" w:space="0" w:color="auto"/>
        <w:bottom w:val="none" w:sz="0" w:space="0" w:color="auto"/>
        <w:right w:val="none" w:sz="0" w:space="0" w:color="auto"/>
      </w:divBdr>
    </w:div>
    <w:div w:id="1634828026">
      <w:bodyDiv w:val="1"/>
      <w:marLeft w:val="0"/>
      <w:marRight w:val="0"/>
      <w:marTop w:val="0"/>
      <w:marBottom w:val="0"/>
      <w:divBdr>
        <w:top w:val="none" w:sz="0" w:space="0" w:color="auto"/>
        <w:left w:val="none" w:sz="0" w:space="0" w:color="auto"/>
        <w:bottom w:val="none" w:sz="0" w:space="0" w:color="auto"/>
        <w:right w:val="none" w:sz="0" w:space="0" w:color="auto"/>
      </w:divBdr>
    </w:div>
    <w:div w:id="1644890181">
      <w:bodyDiv w:val="1"/>
      <w:marLeft w:val="0"/>
      <w:marRight w:val="0"/>
      <w:marTop w:val="0"/>
      <w:marBottom w:val="0"/>
      <w:divBdr>
        <w:top w:val="none" w:sz="0" w:space="0" w:color="auto"/>
        <w:left w:val="none" w:sz="0" w:space="0" w:color="auto"/>
        <w:bottom w:val="none" w:sz="0" w:space="0" w:color="auto"/>
        <w:right w:val="none" w:sz="0" w:space="0" w:color="auto"/>
      </w:divBdr>
    </w:div>
    <w:div w:id="1673483729">
      <w:bodyDiv w:val="1"/>
      <w:marLeft w:val="0"/>
      <w:marRight w:val="0"/>
      <w:marTop w:val="0"/>
      <w:marBottom w:val="0"/>
      <w:divBdr>
        <w:top w:val="none" w:sz="0" w:space="0" w:color="auto"/>
        <w:left w:val="none" w:sz="0" w:space="0" w:color="auto"/>
        <w:bottom w:val="none" w:sz="0" w:space="0" w:color="auto"/>
        <w:right w:val="none" w:sz="0" w:space="0" w:color="auto"/>
      </w:divBdr>
    </w:div>
    <w:div w:id="1727725938">
      <w:bodyDiv w:val="1"/>
      <w:marLeft w:val="0"/>
      <w:marRight w:val="0"/>
      <w:marTop w:val="0"/>
      <w:marBottom w:val="0"/>
      <w:divBdr>
        <w:top w:val="none" w:sz="0" w:space="0" w:color="auto"/>
        <w:left w:val="none" w:sz="0" w:space="0" w:color="auto"/>
        <w:bottom w:val="none" w:sz="0" w:space="0" w:color="auto"/>
        <w:right w:val="none" w:sz="0" w:space="0" w:color="auto"/>
      </w:divBdr>
    </w:div>
    <w:div w:id="1781563032">
      <w:bodyDiv w:val="1"/>
      <w:marLeft w:val="0"/>
      <w:marRight w:val="0"/>
      <w:marTop w:val="0"/>
      <w:marBottom w:val="0"/>
      <w:divBdr>
        <w:top w:val="none" w:sz="0" w:space="0" w:color="auto"/>
        <w:left w:val="none" w:sz="0" w:space="0" w:color="auto"/>
        <w:bottom w:val="none" w:sz="0" w:space="0" w:color="auto"/>
        <w:right w:val="none" w:sz="0" w:space="0" w:color="auto"/>
      </w:divBdr>
    </w:div>
    <w:div w:id="1799646723">
      <w:bodyDiv w:val="1"/>
      <w:marLeft w:val="0"/>
      <w:marRight w:val="0"/>
      <w:marTop w:val="0"/>
      <w:marBottom w:val="0"/>
      <w:divBdr>
        <w:top w:val="none" w:sz="0" w:space="0" w:color="auto"/>
        <w:left w:val="none" w:sz="0" w:space="0" w:color="auto"/>
        <w:bottom w:val="none" w:sz="0" w:space="0" w:color="auto"/>
        <w:right w:val="none" w:sz="0" w:space="0" w:color="auto"/>
      </w:divBdr>
    </w:div>
    <w:div w:id="1832872173">
      <w:bodyDiv w:val="1"/>
      <w:marLeft w:val="0"/>
      <w:marRight w:val="0"/>
      <w:marTop w:val="0"/>
      <w:marBottom w:val="0"/>
      <w:divBdr>
        <w:top w:val="none" w:sz="0" w:space="0" w:color="auto"/>
        <w:left w:val="none" w:sz="0" w:space="0" w:color="auto"/>
        <w:bottom w:val="none" w:sz="0" w:space="0" w:color="auto"/>
        <w:right w:val="none" w:sz="0" w:space="0" w:color="auto"/>
      </w:divBdr>
    </w:div>
    <w:div w:id="1853183858">
      <w:bodyDiv w:val="1"/>
      <w:marLeft w:val="225"/>
      <w:marRight w:val="225"/>
      <w:marTop w:val="0"/>
      <w:marBottom w:val="0"/>
      <w:divBdr>
        <w:top w:val="none" w:sz="0" w:space="0" w:color="auto"/>
        <w:left w:val="none" w:sz="0" w:space="0" w:color="auto"/>
        <w:bottom w:val="none" w:sz="0" w:space="0" w:color="auto"/>
        <w:right w:val="none" w:sz="0" w:space="0" w:color="auto"/>
      </w:divBdr>
      <w:divsChild>
        <w:div w:id="1226523719">
          <w:marLeft w:val="0"/>
          <w:marRight w:val="0"/>
          <w:marTop w:val="0"/>
          <w:marBottom w:val="0"/>
          <w:divBdr>
            <w:top w:val="none" w:sz="0" w:space="0" w:color="auto"/>
            <w:left w:val="none" w:sz="0" w:space="0" w:color="auto"/>
            <w:bottom w:val="none" w:sz="0" w:space="0" w:color="auto"/>
            <w:right w:val="none" w:sz="0" w:space="0" w:color="auto"/>
          </w:divBdr>
        </w:div>
      </w:divsChild>
    </w:div>
    <w:div w:id="1854874421">
      <w:bodyDiv w:val="1"/>
      <w:marLeft w:val="225"/>
      <w:marRight w:val="225"/>
      <w:marTop w:val="0"/>
      <w:marBottom w:val="0"/>
      <w:divBdr>
        <w:top w:val="none" w:sz="0" w:space="0" w:color="auto"/>
        <w:left w:val="none" w:sz="0" w:space="0" w:color="auto"/>
        <w:bottom w:val="none" w:sz="0" w:space="0" w:color="auto"/>
        <w:right w:val="none" w:sz="0" w:space="0" w:color="auto"/>
      </w:divBdr>
      <w:divsChild>
        <w:div w:id="248544287">
          <w:marLeft w:val="0"/>
          <w:marRight w:val="0"/>
          <w:marTop w:val="0"/>
          <w:marBottom w:val="0"/>
          <w:divBdr>
            <w:top w:val="none" w:sz="0" w:space="0" w:color="auto"/>
            <w:left w:val="none" w:sz="0" w:space="0" w:color="auto"/>
            <w:bottom w:val="none" w:sz="0" w:space="0" w:color="auto"/>
            <w:right w:val="none" w:sz="0" w:space="0" w:color="auto"/>
          </w:divBdr>
        </w:div>
      </w:divsChild>
    </w:div>
    <w:div w:id="1870412538">
      <w:bodyDiv w:val="1"/>
      <w:marLeft w:val="188"/>
      <w:marRight w:val="188"/>
      <w:marTop w:val="0"/>
      <w:marBottom w:val="0"/>
      <w:divBdr>
        <w:top w:val="none" w:sz="0" w:space="0" w:color="auto"/>
        <w:left w:val="none" w:sz="0" w:space="0" w:color="auto"/>
        <w:bottom w:val="none" w:sz="0" w:space="0" w:color="auto"/>
        <w:right w:val="none" w:sz="0" w:space="0" w:color="auto"/>
      </w:divBdr>
      <w:divsChild>
        <w:div w:id="383455319">
          <w:marLeft w:val="0"/>
          <w:marRight w:val="0"/>
          <w:marTop w:val="0"/>
          <w:marBottom w:val="0"/>
          <w:divBdr>
            <w:top w:val="none" w:sz="0" w:space="0" w:color="auto"/>
            <w:left w:val="none" w:sz="0" w:space="0" w:color="auto"/>
            <w:bottom w:val="none" w:sz="0" w:space="0" w:color="auto"/>
            <w:right w:val="none" w:sz="0" w:space="0" w:color="auto"/>
          </w:divBdr>
        </w:div>
      </w:divsChild>
    </w:div>
    <w:div w:id="1886797357">
      <w:bodyDiv w:val="1"/>
      <w:marLeft w:val="0"/>
      <w:marRight w:val="0"/>
      <w:marTop w:val="0"/>
      <w:marBottom w:val="0"/>
      <w:divBdr>
        <w:top w:val="none" w:sz="0" w:space="0" w:color="auto"/>
        <w:left w:val="none" w:sz="0" w:space="0" w:color="auto"/>
        <w:bottom w:val="none" w:sz="0" w:space="0" w:color="auto"/>
        <w:right w:val="none" w:sz="0" w:space="0" w:color="auto"/>
      </w:divBdr>
      <w:divsChild>
        <w:div w:id="80298335">
          <w:marLeft w:val="0"/>
          <w:marRight w:val="0"/>
          <w:marTop w:val="0"/>
          <w:marBottom w:val="0"/>
          <w:divBdr>
            <w:top w:val="none" w:sz="0" w:space="0" w:color="auto"/>
            <w:left w:val="none" w:sz="0" w:space="0" w:color="auto"/>
            <w:bottom w:val="none" w:sz="0" w:space="0" w:color="auto"/>
            <w:right w:val="none" w:sz="0" w:space="0" w:color="auto"/>
          </w:divBdr>
          <w:divsChild>
            <w:div w:id="1126850553">
              <w:marLeft w:val="0"/>
              <w:marRight w:val="0"/>
              <w:marTop w:val="0"/>
              <w:marBottom w:val="0"/>
              <w:divBdr>
                <w:top w:val="none" w:sz="0" w:space="0" w:color="auto"/>
                <w:left w:val="none" w:sz="0" w:space="0" w:color="auto"/>
                <w:bottom w:val="none" w:sz="0" w:space="0" w:color="auto"/>
                <w:right w:val="none" w:sz="0" w:space="0" w:color="auto"/>
              </w:divBdr>
              <w:divsChild>
                <w:div w:id="125404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0088499">
      <w:bodyDiv w:val="1"/>
      <w:marLeft w:val="0"/>
      <w:marRight w:val="0"/>
      <w:marTop w:val="0"/>
      <w:marBottom w:val="0"/>
      <w:divBdr>
        <w:top w:val="none" w:sz="0" w:space="0" w:color="auto"/>
        <w:left w:val="none" w:sz="0" w:space="0" w:color="auto"/>
        <w:bottom w:val="none" w:sz="0" w:space="0" w:color="auto"/>
        <w:right w:val="none" w:sz="0" w:space="0" w:color="auto"/>
      </w:divBdr>
    </w:div>
    <w:div w:id="1900900287">
      <w:bodyDiv w:val="1"/>
      <w:marLeft w:val="0"/>
      <w:marRight w:val="0"/>
      <w:marTop w:val="0"/>
      <w:marBottom w:val="0"/>
      <w:divBdr>
        <w:top w:val="none" w:sz="0" w:space="0" w:color="auto"/>
        <w:left w:val="none" w:sz="0" w:space="0" w:color="auto"/>
        <w:bottom w:val="none" w:sz="0" w:space="0" w:color="auto"/>
        <w:right w:val="none" w:sz="0" w:space="0" w:color="auto"/>
      </w:divBdr>
    </w:div>
    <w:div w:id="1917857288">
      <w:bodyDiv w:val="1"/>
      <w:marLeft w:val="0"/>
      <w:marRight w:val="0"/>
      <w:marTop w:val="0"/>
      <w:marBottom w:val="0"/>
      <w:divBdr>
        <w:top w:val="none" w:sz="0" w:space="0" w:color="auto"/>
        <w:left w:val="none" w:sz="0" w:space="0" w:color="auto"/>
        <w:bottom w:val="none" w:sz="0" w:space="0" w:color="auto"/>
        <w:right w:val="none" w:sz="0" w:space="0" w:color="auto"/>
      </w:divBdr>
    </w:div>
    <w:div w:id="1934312549">
      <w:bodyDiv w:val="1"/>
      <w:marLeft w:val="0"/>
      <w:marRight w:val="0"/>
      <w:marTop w:val="0"/>
      <w:marBottom w:val="0"/>
      <w:divBdr>
        <w:top w:val="none" w:sz="0" w:space="0" w:color="auto"/>
        <w:left w:val="none" w:sz="0" w:space="0" w:color="auto"/>
        <w:bottom w:val="none" w:sz="0" w:space="0" w:color="auto"/>
        <w:right w:val="none" w:sz="0" w:space="0" w:color="auto"/>
      </w:divBdr>
    </w:div>
    <w:div w:id="1992754774">
      <w:bodyDiv w:val="1"/>
      <w:marLeft w:val="225"/>
      <w:marRight w:val="225"/>
      <w:marTop w:val="0"/>
      <w:marBottom w:val="0"/>
      <w:divBdr>
        <w:top w:val="none" w:sz="0" w:space="0" w:color="auto"/>
        <w:left w:val="none" w:sz="0" w:space="0" w:color="auto"/>
        <w:bottom w:val="none" w:sz="0" w:space="0" w:color="auto"/>
        <w:right w:val="none" w:sz="0" w:space="0" w:color="auto"/>
      </w:divBdr>
      <w:divsChild>
        <w:div w:id="954486709">
          <w:marLeft w:val="0"/>
          <w:marRight w:val="0"/>
          <w:marTop w:val="0"/>
          <w:marBottom w:val="0"/>
          <w:divBdr>
            <w:top w:val="none" w:sz="0" w:space="0" w:color="auto"/>
            <w:left w:val="none" w:sz="0" w:space="0" w:color="auto"/>
            <w:bottom w:val="none" w:sz="0" w:space="0" w:color="auto"/>
            <w:right w:val="none" w:sz="0" w:space="0" w:color="auto"/>
          </w:divBdr>
        </w:div>
      </w:divsChild>
    </w:div>
    <w:div w:id="1993169400">
      <w:bodyDiv w:val="1"/>
      <w:marLeft w:val="0"/>
      <w:marRight w:val="0"/>
      <w:marTop w:val="0"/>
      <w:marBottom w:val="0"/>
      <w:divBdr>
        <w:top w:val="none" w:sz="0" w:space="0" w:color="auto"/>
        <w:left w:val="none" w:sz="0" w:space="0" w:color="auto"/>
        <w:bottom w:val="none" w:sz="0" w:space="0" w:color="auto"/>
        <w:right w:val="none" w:sz="0" w:space="0" w:color="auto"/>
      </w:divBdr>
      <w:divsChild>
        <w:div w:id="998456868">
          <w:marLeft w:val="0"/>
          <w:marRight w:val="0"/>
          <w:marTop w:val="0"/>
          <w:marBottom w:val="0"/>
          <w:divBdr>
            <w:top w:val="none" w:sz="0" w:space="0" w:color="auto"/>
            <w:left w:val="none" w:sz="0" w:space="0" w:color="auto"/>
            <w:bottom w:val="none" w:sz="0" w:space="0" w:color="auto"/>
            <w:right w:val="none" w:sz="0" w:space="0" w:color="auto"/>
          </w:divBdr>
        </w:div>
      </w:divsChild>
    </w:div>
    <w:div w:id="2000494088">
      <w:bodyDiv w:val="1"/>
      <w:marLeft w:val="0"/>
      <w:marRight w:val="0"/>
      <w:marTop w:val="0"/>
      <w:marBottom w:val="0"/>
      <w:divBdr>
        <w:top w:val="none" w:sz="0" w:space="0" w:color="auto"/>
        <w:left w:val="none" w:sz="0" w:space="0" w:color="auto"/>
        <w:bottom w:val="none" w:sz="0" w:space="0" w:color="auto"/>
        <w:right w:val="none" w:sz="0" w:space="0" w:color="auto"/>
      </w:divBdr>
    </w:div>
    <w:div w:id="2019892017">
      <w:bodyDiv w:val="1"/>
      <w:marLeft w:val="0"/>
      <w:marRight w:val="0"/>
      <w:marTop w:val="0"/>
      <w:marBottom w:val="0"/>
      <w:divBdr>
        <w:top w:val="none" w:sz="0" w:space="0" w:color="auto"/>
        <w:left w:val="none" w:sz="0" w:space="0" w:color="auto"/>
        <w:bottom w:val="none" w:sz="0" w:space="0" w:color="auto"/>
        <w:right w:val="none" w:sz="0" w:space="0" w:color="auto"/>
      </w:divBdr>
    </w:div>
    <w:div w:id="2040740599">
      <w:bodyDiv w:val="1"/>
      <w:marLeft w:val="0"/>
      <w:marRight w:val="0"/>
      <w:marTop w:val="0"/>
      <w:marBottom w:val="0"/>
      <w:divBdr>
        <w:top w:val="none" w:sz="0" w:space="0" w:color="auto"/>
        <w:left w:val="none" w:sz="0" w:space="0" w:color="auto"/>
        <w:bottom w:val="none" w:sz="0" w:space="0" w:color="auto"/>
        <w:right w:val="none" w:sz="0" w:space="0" w:color="auto"/>
      </w:divBdr>
    </w:div>
    <w:div w:id="2047944841">
      <w:bodyDiv w:val="1"/>
      <w:marLeft w:val="0"/>
      <w:marRight w:val="0"/>
      <w:marTop w:val="0"/>
      <w:marBottom w:val="150"/>
      <w:divBdr>
        <w:top w:val="none" w:sz="0" w:space="0" w:color="auto"/>
        <w:left w:val="none" w:sz="0" w:space="0" w:color="auto"/>
        <w:bottom w:val="none" w:sz="0" w:space="0" w:color="auto"/>
        <w:right w:val="none" w:sz="0" w:space="0" w:color="auto"/>
      </w:divBdr>
      <w:divsChild>
        <w:div w:id="962493485">
          <w:marLeft w:val="600"/>
          <w:marRight w:val="0"/>
          <w:marTop w:val="0"/>
          <w:marBottom w:val="0"/>
          <w:divBdr>
            <w:top w:val="none" w:sz="0" w:space="0" w:color="auto"/>
            <w:left w:val="none" w:sz="0" w:space="0" w:color="auto"/>
            <w:bottom w:val="none" w:sz="0" w:space="0" w:color="auto"/>
            <w:right w:val="none" w:sz="0" w:space="0" w:color="auto"/>
          </w:divBdr>
          <w:divsChild>
            <w:div w:id="27814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Relationships xmlns="http://schemas.openxmlformats.org/package/2006/relationships">
  <Relationship Id="rId1" Type="http://schemas.openxmlformats.org/officeDocument/2006/relationships/customXml" Target="../customXml/item1.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fontTable" Target="fontTable.xml"/>
  <Relationship Id="rId14" Type="http://schemas.openxmlformats.org/officeDocument/2006/relationships/theme" Target="theme/theme1.xml"/>
  <Relationship Id="rId15" Type="http://schemas.openxmlformats.org/officeDocument/2006/relationships/customXml" Target="../customXml/item2.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otnotes" Target="footnotes.xml"/>
  <Relationship Id="rId6" Type="http://schemas.openxmlformats.org/officeDocument/2006/relationships/endnotes" Target="endnotes.xm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_rels/item2.xml.rels><?xml version="1.0" encoding="UTF-8"?>

<Relationships xmlns="http://schemas.openxmlformats.org/package/2006/relationships">
  <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arts xmlns="http://lrs.lt/TAIS/DocParts">
  <Part Type="pagrindine" DocPartId="6ac9eeb06a35441baf6cee73996068be" PartId="b54b8eb68d754e2eade9f46ebb95e5ea">
    <Part Type="punktas" Nr="1" Abbr="1 p." DocPartId="4524ae4d75e84e9e97f40f01ba1ab4ec" PartId="034ba48d8833449284f45efd7f11f015"/>
    <Part Type="punktas" Nr="2" Abbr="2 p." DocPartId="033ef0f33cae4fd7825f1364b781da1c" PartId="ca836838c85f4bf5875a4ee99096b6ec"/>
    <Part Type="punktas" Nr="3" Abbr="3 p." DocPartId="6d3bbaf9e13d405c8669abbb3179bf3b" PartId="ddbd17c53e8e41c8b2947b9498247e9a"/>
    <Part Type="punktas" Nr="4" Abbr="4 p." DocPartId="77f950af7ed4489798fc2693e09cd1ae" PartId="7937d2b069cd47379561e34303923619"/>
    <Part Type="punktas" Nr="1" Abbr="1 p." Notes="Numeris ne iš eilės. Trūksta dalių? [DocDalys]" DocPartId="6a311f3fc97949c3b2cd92628dbe10e5" PartId="15e7d5fc60ad4b61acd32a6ccce9bcb2">
      <Part Type="strPapunktis" Nr="a" Abbr="1 p. a pp." DocPartId="2ec70a3c28674253b647a05a322c1ca3" PartId="eed5511162b440ba9acc46b694ff9933"/>
      <Part Type="strPapunktis" Nr="b" Abbr="1 p. b pp." DocPartId="7cb2352fc6e846bfb112b50bc7f26b2f" PartId="0c9f8785648d4ec3bec77696cf848286"/>
      <Part Type="strPapunktis" Nr="c" Abbr="1 p. c pp." DocPartId="b0c745ab81cf46dfac60d150f34b6857" PartId="0326f64d3f7c49348e84cf64773b5e95"/>
    </Part>
    <Part Type="punktas" Nr="2" Abbr="2 p." DocPartId="9296d8b6cf544732b40b495d2cd5ea5f" PartId="40907fbb07c74d858f1fd52e2d3989f2"/>
    <Part Type="punktas" Nr="5" Abbr="5 p." Notes="Numeris ne iš eilės. Trūksta dalių? [DocDalys]" DocPartId="3a8d1d38d3c14697a922845ce331aeb3" PartId="6d9827cb063b48779ac8fabe3f0d08c9"/>
    <Part Type="punktas" Nr="6" Abbr="6 p." DocPartId="9ecf1d5596b04a7db3a6ee2a4feccfa5" PartId="5024a34457e046978355ab455f0b694d"/>
    <Part Type="punktas" Nr="7" Abbr="7 p." DocPartId="d65a1ee592624402953ee4ce799d19d9" PartId="7a8eb5a744f84fa48e4a893b829fc53e"/>
    <Part Type="punktas" Nr="8" Abbr="8 p." DocPartId="b18f39552ac8467bb53f5048fc67d639" PartId="9b9665e53c584a18a9143143ff9c1167"/>
    <Part Type="punktas" Nr="9" Abbr="9 p." DocPartId="6c152e363fae4a40a6916c87189a0bb9" PartId="770f0857633a4f4f9617ddb37a0bc951"/>
    <Part Type="punktas" Nr="10" Abbr="10 p." DocPartId="d94ae6c10b8a47f58f5a53bbc06b85b6" PartId="13b739b928694bf59e1256ddf656f2a3"/>
    <Part Type="punktas" Nr="11" Abbr="11 p." DocPartId="797a5594746b47a889b174cdce3ff1e3" PartId="2ca3b3dca0df445cb24dadf37c8cd6c2"/>
    <Part Type="punktas" Nr="12" Abbr="12 p." DocPartId="fa1199577c51493cb7bc36be77a91153" PartId="7719d3b336fe41498f82d59515eaa3b9"/>
    <Part Type="punktas" Nr="13" Abbr="13 p." DocPartId="b3920432e3eb4724bc621c62cc969022" PartId="9213b158badf4568a78a2964a452e74e"/>
    <Part Type="punktas" Nr="14" Abbr="14 p." DocPartId="53641b254a5840e59cd47c27707e8856" PartId="be6a5c31431141dfaaf6cc4efc08e8df"/>
    <Part Type="punktas" Nr="15" Abbr="15 p." DocPartId="e1972227c3704de78b65b4d6e0882eb2" PartId="6fbf2d51cfdd4fc3b485706dffa97a8a"/>
    <Part Type="punktas" Nr="16" Abbr="16 p." DocPartId="c4fc6c93bbdf4da1a51ed5ea21bb185c" PartId="678346331c81483b84bf3cb2ed9b65df"/>
    <Part Type="signatura" DocPartId="7cb46695b6964f148133074cf3d91b12" PartId="c1720830197b4f4fa510135fc98bbe7e"/>
  </Part>
</Parts>
</file>

<file path=customXml/itemProps1.xml><?xml version="1.0" encoding="utf-8"?>
<ds:datastoreItem xmlns:ds="http://schemas.openxmlformats.org/officeDocument/2006/customXml" ds:itemID="{709AF188-5EB4-4127-AD90-3D75CF2E7230}">
  <ds:schemaRefs>
    <ds:schemaRef ds:uri="http://schemas.openxmlformats.org/officeDocument/2006/bibliography"/>
  </ds:schemaRefs>
</ds:datastoreItem>
</file>

<file path=customXml/itemProps2.xml><?xml version="1.0" encoding="utf-8"?>
<ds:datastoreItem xmlns:ds="http://schemas.openxmlformats.org/officeDocument/2006/customXml" ds:itemID="{BF1E3FB3-D000-4EDD-A6A1-6CB3B3AA9701}">
  <ds:schemaRefs>
    <ds:schemaRef ds:uri="http://lrs.lt/TAIS/DocPar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3107</Words>
  <Characters>22902</Characters>
  <Application>Microsoft Office Word</Application>
  <DocSecurity>4</DocSecurity>
  <Lines>327</Lines>
  <Paragraphs>76</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LIETUVOS RESPUBLIKOS MAŽMENINĖS PREKYBOS ĮMONIŲ NESĄŽININGŲ VEIKSMŲ DRAUDIMO ĮSTATYMO PAKEITIMO ĮSTATYMO PROJEKTO</vt:lpstr>
      <vt:lpstr>LIETUVOS RESPUBLIKOS MAŽMENINĖS PREKYBOS ĮMONIŲ NESĄŽININGŲ VEIKSMŲ DRAUDIMO ĮSTATYMO PAKEITIMO ĮSTATYMO PROJEKTO</vt:lpstr>
    </vt:vector>
  </TitlesOfParts>
  <Company/>
  <LinksUpToDate>false</LinksUpToDate>
  <CharactersWithSpaces>25933</CharactersWithSpaces>
  <SharedDoc>false</SharedDoc>
  <HyperlinkBase/>
  <HyperlinksChanged>false</HyperlinksChanged>
  <AppVersion>16.0000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2022-11-29T06:28:00Z</dcterms:created>
  <dc:creator>v.stanioniene</dc:creator>
  <lastModifiedBy>adlibuser</lastModifiedBy>
  <lastPrinted>2020-01-28T10:16:00Z</lastPrinted>
  <dcterms:modified xsi:type="dcterms:W3CDTF">2022-11-29T06:28:00Z</dcterms:modified>
  <revision>2</revision>
  <dc:title>LIETUVOS RESPUBLIKOS MAŽMENINĖS PREKYBOS ĮMONIŲ NESĄŽININGŲ VEIKSMŲ DRAUDIMO ĮSTATYMO PAKEITIMO ĮSTATYMO PROJEKTO</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a401ad3-c3c3-4b29-b009-5b1524060aa8_Enabled">
    <vt:lpwstr>true</vt:lpwstr>
  </property>
  <property fmtid="{D5CDD505-2E9C-101B-9397-08002B2CF9AE}" pid="3" name="MSIP_Label_fa401ad3-c3c3-4b29-b009-5b1524060aa8_SetDate">
    <vt:lpwstr>2021-11-02T08:49:24Z</vt:lpwstr>
  </property>
  <property fmtid="{D5CDD505-2E9C-101B-9397-08002B2CF9AE}" pid="4" name="MSIP_Label_fa401ad3-c3c3-4b29-b009-5b1524060aa8_Method">
    <vt:lpwstr>Standard</vt:lpwstr>
  </property>
  <property fmtid="{D5CDD505-2E9C-101B-9397-08002B2CF9AE}" pid="5" name="MSIP_Label_fa401ad3-c3c3-4b29-b009-5b1524060aa8_Name">
    <vt:lpwstr>Vieša</vt:lpwstr>
  </property>
  <property fmtid="{D5CDD505-2E9C-101B-9397-08002B2CF9AE}" pid="6" name="MSIP_Label_fa401ad3-c3c3-4b29-b009-5b1524060aa8_SiteId">
    <vt:lpwstr>aca392c0-3934-41ec-a6fc-1be04b6ed0b9</vt:lpwstr>
  </property>
  <property fmtid="{D5CDD505-2E9C-101B-9397-08002B2CF9AE}" pid="7" name="MSIP_Label_fa401ad3-c3c3-4b29-b009-5b1524060aa8_ActionId">
    <vt:lpwstr>3bf9d583-f826-403f-aaea-07f5d0ba42fa</vt:lpwstr>
  </property>
  <property fmtid="{D5CDD505-2E9C-101B-9397-08002B2CF9AE}" pid="8" name="MSIP_Label_fa401ad3-c3c3-4b29-b009-5b1524060aa8_ContentBits">
    <vt:lpwstr>0</vt:lpwstr>
  </property>
</Properties>
</file>