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DC" w:rsidRDefault="002416C0" w:rsidP="007320DC">
      <w:pPr>
        <w:widowControl w:val="0"/>
        <w:tabs>
          <w:tab w:val="left" w:pos="5387"/>
        </w:tabs>
        <w:adjustRightInd w:val="0"/>
        <w:ind w:left="5387"/>
        <w:jc w:val="both"/>
        <w:textAlignment w:val="baseline"/>
        <w:rPr>
          <w:rFonts w:ascii="Times New Roman" w:eastAsiaTheme="minorHAnsi" w:hAnsi="Times New Roman"/>
          <w:sz w:val="24"/>
          <w:szCs w:val="24"/>
          <w:lang w:eastAsia="lt-LT"/>
        </w:rPr>
      </w:pPr>
      <w:r w:rsidRPr="00140D1A">
        <w:rPr>
          <w:rFonts w:ascii="Times New Roman" w:eastAsiaTheme="minorHAnsi" w:hAnsi="Times New Roman"/>
          <w:sz w:val="24"/>
          <w:szCs w:val="24"/>
          <w:lang w:eastAsia="lt-LT"/>
        </w:rPr>
        <w:t>Forma patvirtinta</w:t>
      </w:r>
    </w:p>
    <w:p w:rsidR="002416C0" w:rsidRPr="007320DC" w:rsidRDefault="002416C0" w:rsidP="007320DC">
      <w:pPr>
        <w:widowControl w:val="0"/>
        <w:tabs>
          <w:tab w:val="left" w:pos="5387"/>
        </w:tabs>
        <w:adjustRightInd w:val="0"/>
        <w:ind w:left="5387"/>
        <w:jc w:val="both"/>
        <w:textAlignment w:val="baseline"/>
        <w:rPr>
          <w:rFonts w:ascii="Times New Roman" w:eastAsiaTheme="minorHAnsi" w:hAnsi="Times New Roman"/>
          <w:caps/>
          <w:sz w:val="24"/>
          <w:szCs w:val="24"/>
          <w:lang w:eastAsia="lt-LT"/>
        </w:rPr>
      </w:pPr>
      <w:r w:rsidRPr="00AC36D8">
        <w:rPr>
          <w:rFonts w:ascii="Times New Roman" w:eastAsiaTheme="minorHAnsi" w:hAnsi="Times New Roman"/>
          <w:sz w:val="24"/>
          <w:szCs w:val="24"/>
          <w:lang w:eastAsia="lt-LT"/>
        </w:rPr>
        <w:t xml:space="preserve">Lietuvos Respublikos Seimo kanclerio </w:t>
      </w:r>
    </w:p>
    <w:p w:rsidR="002416C0" w:rsidRPr="00AC36D8" w:rsidRDefault="002416C0" w:rsidP="007320DC">
      <w:pPr>
        <w:widowControl w:val="0"/>
        <w:tabs>
          <w:tab w:val="left" w:pos="171"/>
        </w:tabs>
        <w:adjustRightInd w:val="0"/>
        <w:ind w:left="5387"/>
        <w:jc w:val="both"/>
        <w:textAlignment w:val="baseline"/>
        <w:rPr>
          <w:rFonts w:ascii="Times New Roman" w:eastAsiaTheme="minorHAnsi" w:hAnsi="Times New Roman"/>
          <w:sz w:val="24"/>
          <w:szCs w:val="24"/>
          <w:lang w:eastAsia="lt-LT"/>
        </w:rPr>
      </w:pPr>
      <w:r w:rsidRPr="00AC36D8">
        <w:rPr>
          <w:rFonts w:ascii="Times New Roman" w:eastAsiaTheme="minorHAnsi" w:hAnsi="Times New Roman"/>
          <w:sz w:val="24"/>
          <w:szCs w:val="24"/>
          <w:lang w:eastAsia="lt-LT"/>
        </w:rPr>
        <w:t xml:space="preserve">2016 m. sausio </w:t>
      </w:r>
      <w:r w:rsidR="0004137C">
        <w:rPr>
          <w:rFonts w:ascii="Times New Roman" w:eastAsiaTheme="minorHAnsi" w:hAnsi="Times New Roman"/>
          <w:sz w:val="24"/>
          <w:szCs w:val="24"/>
          <w:lang w:eastAsia="lt-LT"/>
        </w:rPr>
        <w:t>15</w:t>
      </w:r>
      <w:r w:rsidRPr="00AC36D8">
        <w:rPr>
          <w:rFonts w:ascii="Times New Roman" w:eastAsiaTheme="minorHAnsi" w:hAnsi="Times New Roman"/>
          <w:sz w:val="24"/>
          <w:szCs w:val="24"/>
          <w:lang w:eastAsia="lt-LT"/>
        </w:rPr>
        <w:t xml:space="preserve"> d. įsakymu </w:t>
      </w:r>
    </w:p>
    <w:p w:rsidR="002416C0" w:rsidRPr="00AC36D8" w:rsidRDefault="002416C0" w:rsidP="007320DC">
      <w:pPr>
        <w:widowControl w:val="0"/>
        <w:tabs>
          <w:tab w:val="left" w:pos="171"/>
        </w:tabs>
        <w:adjustRightInd w:val="0"/>
        <w:ind w:left="5387"/>
        <w:jc w:val="both"/>
        <w:textAlignment w:val="baseline"/>
        <w:rPr>
          <w:rFonts w:ascii="Times New Roman" w:eastAsiaTheme="minorHAnsi" w:hAnsi="Times New Roman"/>
          <w:sz w:val="24"/>
          <w:szCs w:val="24"/>
          <w:lang w:eastAsia="lt-LT"/>
        </w:rPr>
      </w:pPr>
      <w:r w:rsidRPr="00AC36D8">
        <w:rPr>
          <w:rFonts w:ascii="Times New Roman" w:eastAsiaTheme="minorHAnsi" w:hAnsi="Times New Roman"/>
          <w:sz w:val="24"/>
          <w:szCs w:val="24"/>
          <w:lang w:eastAsia="lt-LT"/>
        </w:rPr>
        <w:t>Nr. 400-ĮVK-</w:t>
      </w:r>
      <w:r w:rsidR="0004137C">
        <w:rPr>
          <w:rFonts w:ascii="Times New Roman" w:eastAsiaTheme="minorHAnsi" w:hAnsi="Times New Roman"/>
          <w:sz w:val="24"/>
          <w:szCs w:val="24"/>
          <w:lang w:eastAsia="lt-LT"/>
        </w:rPr>
        <w:t>8</w:t>
      </w:r>
    </w:p>
    <w:p w:rsidR="00A36AB3" w:rsidRPr="00BD50E4" w:rsidRDefault="00A36AB3" w:rsidP="00E17943">
      <w:pPr>
        <w:tabs>
          <w:tab w:val="left" w:pos="0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008B3" w:rsidRPr="00BD50E4" w:rsidRDefault="00F008B3" w:rsidP="00F80065">
      <w:pPr>
        <w:keepNext/>
        <w:jc w:val="center"/>
        <w:outlineLvl w:val="7"/>
        <w:rPr>
          <w:rFonts w:ascii="Times New Roman" w:hAnsi="Times New Roman"/>
          <w:b/>
          <w:sz w:val="24"/>
          <w:szCs w:val="24"/>
          <w:lang w:eastAsia="lt-LT"/>
        </w:rPr>
      </w:pPr>
    </w:p>
    <w:p w:rsidR="00F80065" w:rsidRPr="00BD50E4" w:rsidRDefault="00F80065" w:rsidP="00F80065">
      <w:pPr>
        <w:keepNext/>
        <w:jc w:val="center"/>
        <w:outlineLvl w:val="7"/>
        <w:rPr>
          <w:rFonts w:ascii="Times New Roman" w:hAnsi="Times New Roman"/>
          <w:b/>
          <w:sz w:val="24"/>
          <w:szCs w:val="24"/>
          <w:lang w:eastAsia="lt-LT"/>
        </w:rPr>
      </w:pPr>
      <w:r w:rsidRPr="00BD50E4">
        <w:rPr>
          <w:rFonts w:ascii="Times New Roman" w:hAnsi="Times New Roman"/>
          <w:b/>
          <w:sz w:val="24"/>
          <w:szCs w:val="24"/>
          <w:lang w:eastAsia="lt-LT"/>
        </w:rPr>
        <w:t xml:space="preserve">DUOMENŲ TEIKIMO TEISĖS AKTŲ INFORMACINEI SISTEMAI SUTARTIS  </w:t>
      </w:r>
    </w:p>
    <w:p w:rsidR="00F80065" w:rsidRPr="00BD50E4" w:rsidRDefault="00F80065" w:rsidP="00492C4F">
      <w:pPr>
        <w:keepNext/>
        <w:spacing w:line="360" w:lineRule="auto"/>
        <w:jc w:val="center"/>
        <w:outlineLvl w:val="7"/>
        <w:rPr>
          <w:rFonts w:ascii="Times New Roman" w:hAnsi="Times New Roman"/>
          <w:b/>
          <w:sz w:val="24"/>
          <w:szCs w:val="24"/>
          <w:lang w:eastAsia="lt-LT"/>
        </w:rPr>
      </w:pPr>
    </w:p>
    <w:p w:rsidR="00492C4F" w:rsidRPr="00492C4F" w:rsidRDefault="00492C4F" w:rsidP="00492C4F">
      <w:pPr>
        <w:keepNext/>
        <w:spacing w:line="360" w:lineRule="auto"/>
        <w:jc w:val="center"/>
        <w:outlineLvl w:val="7"/>
        <w:rPr>
          <w:rFonts w:ascii="Times New Roman" w:hAnsi="Times New Roman"/>
          <w:sz w:val="24"/>
          <w:szCs w:val="24"/>
          <w:lang w:eastAsia="lt-LT"/>
        </w:rPr>
      </w:pPr>
      <w:r w:rsidRPr="00492C4F">
        <w:rPr>
          <w:rFonts w:ascii="Times New Roman" w:hAnsi="Times New Roman"/>
          <w:sz w:val="24"/>
          <w:szCs w:val="24"/>
          <w:lang w:eastAsia="lt-LT"/>
        </w:rPr>
        <w:t>Nr. _____________</w:t>
      </w:r>
    </w:p>
    <w:p w:rsidR="00492C4F" w:rsidRPr="00492C4F" w:rsidRDefault="00492C4F" w:rsidP="00492C4F">
      <w:pPr>
        <w:keepNext/>
        <w:spacing w:line="360" w:lineRule="auto"/>
        <w:jc w:val="center"/>
        <w:outlineLvl w:val="7"/>
        <w:rPr>
          <w:rFonts w:ascii="Times New Roman" w:hAnsi="Times New Roman"/>
          <w:sz w:val="24"/>
          <w:szCs w:val="24"/>
          <w:lang w:eastAsia="lt-LT"/>
        </w:rPr>
      </w:pPr>
      <w:r w:rsidRPr="00492C4F">
        <w:rPr>
          <w:rFonts w:ascii="Times New Roman" w:hAnsi="Times New Roman"/>
          <w:sz w:val="24"/>
          <w:szCs w:val="24"/>
          <w:lang w:eastAsia="lt-LT"/>
        </w:rPr>
        <w:t xml:space="preserve">________ m. _______________ d.  </w:t>
      </w:r>
    </w:p>
    <w:p w:rsidR="00F80065" w:rsidRPr="00BD50E4" w:rsidRDefault="00492C4F" w:rsidP="00492C4F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lt-LT"/>
        </w:rPr>
      </w:pPr>
      <w:r w:rsidRPr="00492C4F">
        <w:rPr>
          <w:rFonts w:ascii="Times New Roman" w:hAnsi="Times New Roman"/>
          <w:sz w:val="24"/>
          <w:szCs w:val="24"/>
          <w:lang w:eastAsia="lt-LT"/>
        </w:rPr>
        <w:t>Vilnius</w:t>
      </w:r>
    </w:p>
    <w:p w:rsidR="00F80065" w:rsidRPr="00BD50E4" w:rsidRDefault="00F80065" w:rsidP="00492C4F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lt-LT"/>
        </w:rPr>
      </w:pPr>
    </w:p>
    <w:p w:rsidR="00603DEB" w:rsidRPr="00603DEB" w:rsidRDefault="00603DEB" w:rsidP="00603DE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eastAsia="lt-LT"/>
        </w:rPr>
      </w:pPr>
      <w:r w:rsidRPr="00603DEB">
        <w:rPr>
          <w:rFonts w:ascii="Times New Roman" w:hAnsi="Times New Roman"/>
          <w:sz w:val="24"/>
          <w:szCs w:val="24"/>
          <w:lang w:eastAsia="lt-LT"/>
        </w:rPr>
        <w:t>______________________________________________________________ (toliau – TEIKĖJAS</w:t>
      </w:r>
      <w:r w:rsidRPr="00603DEB">
        <w:rPr>
          <w:rFonts w:ascii="Times New Roman" w:hAnsi="Times New Roman"/>
          <w:caps/>
          <w:sz w:val="24"/>
          <w:szCs w:val="24"/>
          <w:lang w:eastAsia="lt-LT"/>
        </w:rPr>
        <w:t>),</w:t>
      </w:r>
      <w:r w:rsidRPr="00603DEB">
        <w:rPr>
          <w:rFonts w:ascii="Times New Roman" w:hAnsi="Times New Roman"/>
          <w:iCs/>
          <w:sz w:val="24"/>
          <w:szCs w:val="24"/>
        </w:rPr>
        <w:t xml:space="preserve"> juridinio asmens kodas _________________________, </w:t>
      </w:r>
      <w:r w:rsidRPr="00603DEB">
        <w:rPr>
          <w:rFonts w:ascii="Times New Roman" w:hAnsi="Times New Roman"/>
          <w:sz w:val="24"/>
          <w:szCs w:val="24"/>
        </w:rPr>
        <w:t>buveinės adresas: ______________________________</w:t>
      </w:r>
      <w:r w:rsidRPr="00603DEB">
        <w:rPr>
          <w:rFonts w:ascii="Times New Roman" w:hAnsi="Times New Roman"/>
          <w:sz w:val="24"/>
          <w:szCs w:val="24"/>
          <w:lang w:eastAsia="lt-LT"/>
        </w:rPr>
        <w:t xml:space="preserve">, atstovaujamas </w:t>
      </w:r>
      <w:r w:rsidRPr="00603DEB">
        <w:rPr>
          <w:rFonts w:ascii="Times New Roman" w:hAnsi="Times New Roman"/>
          <w:sz w:val="24"/>
          <w:szCs w:val="24"/>
        </w:rPr>
        <w:t>________________________________,</w:t>
      </w:r>
      <w:r w:rsidRPr="00603DEB">
        <w:rPr>
          <w:rFonts w:ascii="Times New Roman" w:hAnsi="Times New Roman"/>
          <w:sz w:val="24"/>
          <w:szCs w:val="24"/>
          <w:lang w:eastAsia="lt-LT"/>
        </w:rPr>
        <w:t xml:space="preserve"> ir Lietuvos Respublikos Seimo kanceliarija (toliau – VALDYTOJAS</w:t>
      </w:r>
      <w:r w:rsidRPr="00603DEB">
        <w:rPr>
          <w:rFonts w:ascii="Times New Roman" w:hAnsi="Times New Roman"/>
          <w:caps/>
          <w:sz w:val="24"/>
          <w:szCs w:val="24"/>
          <w:lang w:eastAsia="lt-LT"/>
        </w:rPr>
        <w:t xml:space="preserve">), </w:t>
      </w:r>
      <w:r w:rsidRPr="00603DEB">
        <w:rPr>
          <w:rFonts w:ascii="Times New Roman" w:hAnsi="Times New Roman"/>
          <w:iCs/>
          <w:sz w:val="24"/>
          <w:szCs w:val="24"/>
        </w:rPr>
        <w:t>juridinio asmens kodas</w:t>
      </w:r>
      <w:r w:rsidRPr="00603DEB">
        <w:rPr>
          <w:rFonts w:ascii="Times New Roman" w:hAnsi="Times New Roman"/>
          <w:sz w:val="24"/>
          <w:szCs w:val="24"/>
          <w:lang w:eastAsia="lt-LT"/>
        </w:rPr>
        <w:t xml:space="preserve"> 188605295, buveinės adresas: Gedimino pr. 53, Vilnius</w:t>
      </w:r>
      <w:r w:rsidRPr="00603DEB">
        <w:rPr>
          <w:rFonts w:ascii="Times New Roman" w:hAnsi="Times New Roman"/>
          <w:caps/>
          <w:sz w:val="24"/>
          <w:szCs w:val="24"/>
          <w:lang w:eastAsia="lt-LT"/>
        </w:rPr>
        <w:t xml:space="preserve">, </w:t>
      </w:r>
      <w:r w:rsidRPr="00603DEB">
        <w:rPr>
          <w:rFonts w:ascii="Times New Roman" w:hAnsi="Times New Roman"/>
          <w:sz w:val="24"/>
          <w:szCs w:val="24"/>
          <w:lang w:eastAsia="lt-LT"/>
        </w:rPr>
        <w:t xml:space="preserve">atstovaujama Dokumentų departamento Teisės aktų registro skyriaus </w:t>
      </w:r>
      <w:r w:rsidRPr="00603DEB">
        <w:rPr>
          <w:rFonts w:ascii="Times New Roman" w:hAnsi="Times New Roman"/>
          <w:sz w:val="24"/>
          <w:szCs w:val="24"/>
        </w:rPr>
        <w:t xml:space="preserve">vedėjos </w:t>
      </w:r>
      <w:r w:rsidR="00734CDE">
        <w:rPr>
          <w:rFonts w:ascii="Times New Roman" w:hAnsi="Times New Roman"/>
          <w:sz w:val="24"/>
          <w:szCs w:val="24"/>
        </w:rPr>
        <w:t>Auksės Ruebens</w:t>
      </w:r>
      <w:r w:rsidRPr="00603DEB">
        <w:rPr>
          <w:rFonts w:ascii="Times New Roman" w:hAnsi="Times New Roman"/>
          <w:sz w:val="24"/>
          <w:szCs w:val="24"/>
          <w:lang w:eastAsia="lt-LT"/>
        </w:rPr>
        <w:t>, veikiančios pagal Lietuvos Respublikos Seimo kanclerio 2016 m. sausio 15 d. įsakymu Nr. 400-ĮVK-8 „Dėl pavedimo pasirašyti sutartis“ suteiktus įgaliojimus, toliau TEIKĖJAS ir VALDYTOJAS kartu vadinami „Šalimis“, o atskirai – „Šalimi“, sudarė šią duomenų teikimo Teisės aktų informacinei sistema</w:t>
      </w:r>
      <w:r>
        <w:rPr>
          <w:rFonts w:ascii="Times New Roman" w:hAnsi="Times New Roman"/>
          <w:sz w:val="24"/>
          <w:szCs w:val="24"/>
          <w:lang w:eastAsia="lt-LT"/>
        </w:rPr>
        <w:t>i sutartį (toliau – Sutartis):</w:t>
      </w:r>
    </w:p>
    <w:p w:rsidR="00F80065" w:rsidRPr="00AC36D8" w:rsidRDefault="00F80065" w:rsidP="00F80065">
      <w:pPr>
        <w:keepNext/>
        <w:outlineLvl w:val="6"/>
        <w:rPr>
          <w:rFonts w:ascii="Times New Roman" w:hAnsi="Times New Roman"/>
          <w:sz w:val="24"/>
          <w:szCs w:val="24"/>
          <w:lang w:eastAsia="lt-LT"/>
        </w:rPr>
      </w:pPr>
    </w:p>
    <w:p w:rsidR="00F80065" w:rsidRPr="00AC36D8" w:rsidRDefault="00F80065" w:rsidP="00F80065">
      <w:pPr>
        <w:contextualSpacing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AC36D8">
        <w:rPr>
          <w:rFonts w:ascii="Times New Roman" w:hAnsi="Times New Roman"/>
          <w:b/>
          <w:sz w:val="24"/>
          <w:szCs w:val="24"/>
          <w:lang w:eastAsia="lt-LT"/>
        </w:rPr>
        <w:t>I. SUTARTIES DALYKAS</w:t>
      </w:r>
    </w:p>
    <w:p w:rsidR="00F80065" w:rsidRPr="00AC36D8" w:rsidRDefault="00F80065" w:rsidP="00F80065">
      <w:pPr>
        <w:ind w:firstLine="720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F80065" w:rsidRPr="00AC36D8" w:rsidRDefault="00F80065" w:rsidP="00AC36D8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1.1. Sutartis nustato </w:t>
      </w:r>
      <w:r w:rsidR="00694AF2" w:rsidRPr="00AC36D8">
        <w:rPr>
          <w:rFonts w:ascii="Times New Roman" w:hAnsi="Times New Roman"/>
          <w:sz w:val="24"/>
          <w:szCs w:val="24"/>
          <w:lang w:eastAsia="lt-LT"/>
        </w:rPr>
        <w:t>TEIKĖJO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ir </w:t>
      </w:r>
      <w:r w:rsidR="00694AF2" w:rsidRPr="00AC36D8">
        <w:rPr>
          <w:rFonts w:ascii="Times New Roman" w:hAnsi="Times New Roman"/>
          <w:sz w:val="24"/>
          <w:szCs w:val="24"/>
          <w:lang w:eastAsia="lt-LT"/>
        </w:rPr>
        <w:t>VALDYTOJO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santykius elektroniniu būdu teikiant ir priimant duomenis</w:t>
      </w:r>
      <w:r w:rsidRPr="00AC36D8" w:rsidDel="00AB604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AC36D8">
        <w:rPr>
          <w:rFonts w:ascii="Times New Roman" w:hAnsi="Times New Roman"/>
          <w:sz w:val="24"/>
          <w:szCs w:val="24"/>
          <w:lang w:eastAsia="lt-LT"/>
        </w:rPr>
        <w:t>Teisės aktų inform</w:t>
      </w:r>
      <w:r w:rsidR="0029120C" w:rsidRPr="00AC36D8">
        <w:rPr>
          <w:rFonts w:ascii="Times New Roman" w:hAnsi="Times New Roman"/>
          <w:sz w:val="24"/>
          <w:szCs w:val="24"/>
          <w:lang w:eastAsia="lt-LT"/>
        </w:rPr>
        <w:t>acinei sistemai (toliau – TAIS), įskaitant įstatymų ir kitų teisės aktų projektų rengimą ir derinimą elektroniniu būdu per TAIS.</w:t>
      </w:r>
    </w:p>
    <w:p w:rsidR="00F80065" w:rsidRPr="00AC36D8" w:rsidRDefault="00F80065" w:rsidP="00F80065">
      <w:pPr>
        <w:ind w:left="1800"/>
        <w:contextualSpacing/>
        <w:rPr>
          <w:rFonts w:ascii="Times New Roman" w:hAnsi="Times New Roman"/>
          <w:b/>
          <w:smallCaps/>
          <w:sz w:val="24"/>
          <w:szCs w:val="24"/>
          <w:lang w:eastAsia="lt-LT"/>
        </w:rPr>
      </w:pPr>
    </w:p>
    <w:p w:rsidR="00F80065" w:rsidRPr="00AC36D8" w:rsidRDefault="00F80065" w:rsidP="00F80065">
      <w:pPr>
        <w:contextualSpacing/>
        <w:jc w:val="center"/>
        <w:rPr>
          <w:rFonts w:ascii="Times New Roman" w:hAnsi="Times New Roman"/>
          <w:b/>
          <w:smallCaps/>
          <w:sz w:val="24"/>
          <w:szCs w:val="24"/>
          <w:lang w:eastAsia="lt-LT"/>
        </w:rPr>
      </w:pPr>
      <w:r w:rsidRPr="00AC36D8">
        <w:rPr>
          <w:rFonts w:ascii="Times New Roman" w:hAnsi="Times New Roman"/>
          <w:b/>
          <w:smallCaps/>
          <w:sz w:val="24"/>
          <w:szCs w:val="24"/>
          <w:lang w:eastAsia="lt-LT"/>
        </w:rPr>
        <w:t>II. SUTARTIES TEISINIS PAGRINDAS</w:t>
      </w:r>
    </w:p>
    <w:p w:rsidR="00F80065" w:rsidRPr="00AC36D8" w:rsidRDefault="00F80065" w:rsidP="00F80065">
      <w:pPr>
        <w:jc w:val="both"/>
        <w:outlineLvl w:val="0"/>
        <w:rPr>
          <w:rFonts w:ascii="Times New Roman" w:hAnsi="Times New Roman"/>
          <w:smallCaps/>
          <w:sz w:val="24"/>
          <w:szCs w:val="24"/>
          <w:lang w:eastAsia="lt-LT"/>
        </w:rPr>
      </w:pPr>
    </w:p>
    <w:p w:rsidR="00F80065" w:rsidRPr="00AC36D8" w:rsidRDefault="00F80065" w:rsidP="00AC36D8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>2.1.Ši Sutartis sudaryta vadovaujantis:</w:t>
      </w:r>
    </w:p>
    <w:p w:rsidR="00F80065" w:rsidRPr="00AC36D8" w:rsidRDefault="00F80065" w:rsidP="00AC36D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>2.1.1.  Lietuvos Respublikos teisėkūros pagrindų įstatymu;</w:t>
      </w:r>
    </w:p>
    <w:p w:rsidR="00F80065" w:rsidRPr="00AC36D8" w:rsidRDefault="00F80065" w:rsidP="00AC36D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>2.1.2. Lietuvos Respublikos valstybės informacinių išteklių valdymo įstatymu;</w:t>
      </w:r>
    </w:p>
    <w:p w:rsidR="00F80065" w:rsidRPr="00AC36D8" w:rsidRDefault="00F80065" w:rsidP="00AC36D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>2.1.3. Lietuvos Respublikos Vyriausybės 1994 m. rugpjūčio 11 d. nutarimu Nr.</w:t>
      </w:r>
      <w:r w:rsidR="00694AF2" w:rsidRPr="00AC36D8">
        <w:t xml:space="preserve"> </w:t>
      </w:r>
      <w:r w:rsidRPr="00AC36D8">
        <w:rPr>
          <w:rFonts w:ascii="Times New Roman" w:hAnsi="Times New Roman"/>
          <w:sz w:val="24"/>
          <w:szCs w:val="24"/>
          <w:lang w:eastAsia="lt-LT"/>
        </w:rPr>
        <w:t>728 „Dėl Lietuvos Respublikos Vyriausybės darbo reglamento patvirtinimo“;</w:t>
      </w:r>
    </w:p>
    <w:p w:rsidR="00F80065" w:rsidRPr="00AC36D8" w:rsidRDefault="00F80065" w:rsidP="00AC36D8">
      <w:pPr>
        <w:spacing w:line="36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lastRenderedPageBreak/>
        <w:t xml:space="preserve">2.1.4. Lietuvos Respublikos teisės aktų informacinės sistemos nuostatais, patvirtintais Lietuvos Respublikos </w:t>
      </w:r>
      <w:r w:rsidRPr="00AC36D8">
        <w:rPr>
          <w:rFonts w:ascii="Times New Roman" w:eastAsiaTheme="minorHAnsi" w:hAnsi="Times New Roman"/>
          <w:sz w:val="24"/>
          <w:szCs w:val="24"/>
        </w:rPr>
        <w:t xml:space="preserve">Seimo kanclerio </w:t>
      </w:r>
      <w:r w:rsidRPr="00AC36D8">
        <w:rPr>
          <w:rFonts w:ascii="Times New Roman" w:eastAsiaTheme="minorHAnsi" w:hAnsi="Times New Roman"/>
          <w:bCs/>
          <w:sz w:val="24"/>
          <w:szCs w:val="24"/>
        </w:rPr>
        <w:t>2008 m. sp</w:t>
      </w:r>
      <w:r w:rsidR="0028293D">
        <w:rPr>
          <w:rFonts w:ascii="Times New Roman" w:eastAsiaTheme="minorHAnsi" w:hAnsi="Times New Roman"/>
          <w:bCs/>
          <w:sz w:val="24"/>
          <w:szCs w:val="24"/>
        </w:rPr>
        <w:t>alio 24 d. įsakymu Nr. 400-ĮVK-</w:t>
      </w:r>
      <w:r w:rsidRPr="00AC36D8">
        <w:rPr>
          <w:rFonts w:ascii="Times New Roman" w:eastAsiaTheme="minorHAnsi" w:hAnsi="Times New Roman"/>
          <w:bCs/>
          <w:sz w:val="24"/>
          <w:szCs w:val="24"/>
        </w:rPr>
        <w:t>343 „D</w:t>
      </w:r>
      <w:r w:rsidRPr="00AC36D8">
        <w:rPr>
          <w:rFonts w:ascii="Times New Roman" w:eastAsiaTheme="minorHAnsi" w:hAnsi="Times New Roman"/>
          <w:sz w:val="24"/>
          <w:szCs w:val="24"/>
        </w:rPr>
        <w:t>ėl</w:t>
      </w:r>
      <w:r w:rsidRPr="00AC36D8">
        <w:rPr>
          <w:rFonts w:ascii="Times New Roman" w:eastAsiaTheme="minorHAnsi" w:hAnsi="Times New Roman"/>
          <w:bCs/>
          <w:sz w:val="24"/>
          <w:szCs w:val="24"/>
        </w:rPr>
        <w:t xml:space="preserve"> Teisės aktų informacinės sistemos nuostatų patvirtinimo“;</w:t>
      </w:r>
    </w:p>
    <w:p w:rsidR="0029120C" w:rsidRPr="00AC36D8" w:rsidRDefault="0029120C" w:rsidP="00AC36D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eastAsiaTheme="minorHAnsi" w:hAnsi="Times New Roman"/>
          <w:bCs/>
          <w:sz w:val="24"/>
          <w:szCs w:val="24"/>
        </w:rPr>
        <w:t>2.1.5. Teisės aktų projektų rengimo elektroniniu būdu tvarko</w:t>
      </w:r>
      <w:r w:rsidR="00492C4F">
        <w:rPr>
          <w:rFonts w:ascii="Times New Roman" w:eastAsiaTheme="minorHAnsi" w:hAnsi="Times New Roman"/>
          <w:bCs/>
          <w:sz w:val="24"/>
          <w:szCs w:val="24"/>
        </w:rPr>
        <w:t>s</w:t>
      </w:r>
      <w:r w:rsidRPr="00AC36D8">
        <w:rPr>
          <w:rFonts w:ascii="Times New Roman" w:eastAsiaTheme="minorHAnsi" w:hAnsi="Times New Roman"/>
          <w:bCs/>
          <w:sz w:val="24"/>
          <w:szCs w:val="24"/>
        </w:rPr>
        <w:t xml:space="preserve"> aprašu, patvirtintu Lietuvos Respublikos Seimo kanclerio 2013 m. gruodžio 30 d. įsakymu Nr. 400-ĮVK-389 „Dėl </w:t>
      </w:r>
      <w:r w:rsidR="00694AF2" w:rsidRPr="00AC36D8">
        <w:rPr>
          <w:rFonts w:ascii="Times New Roman" w:eastAsiaTheme="minorHAnsi" w:hAnsi="Times New Roman"/>
          <w:bCs/>
          <w:sz w:val="24"/>
          <w:szCs w:val="24"/>
        </w:rPr>
        <w:t>T</w:t>
      </w:r>
      <w:r w:rsidRPr="00AC36D8">
        <w:rPr>
          <w:rFonts w:ascii="Times New Roman" w:eastAsiaTheme="minorHAnsi" w:hAnsi="Times New Roman"/>
          <w:bCs/>
          <w:sz w:val="24"/>
          <w:szCs w:val="24"/>
        </w:rPr>
        <w:t>eisės aktų projektų rengimo elektroniniu būdu tvarkos aprašo patvirtinimo“;</w:t>
      </w:r>
    </w:p>
    <w:p w:rsidR="00F80065" w:rsidRPr="00AC36D8" w:rsidRDefault="00F80065" w:rsidP="00AC36D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>2.1.</w:t>
      </w:r>
      <w:r w:rsidR="0029120C" w:rsidRPr="00AC36D8">
        <w:rPr>
          <w:rFonts w:ascii="Times New Roman" w:hAnsi="Times New Roman"/>
          <w:sz w:val="24"/>
          <w:szCs w:val="24"/>
          <w:lang w:eastAsia="lt-LT"/>
        </w:rPr>
        <w:t>6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. kitais teisės aktais, reglamentuojančiais TAIS veiklą.  </w:t>
      </w:r>
    </w:p>
    <w:p w:rsidR="00F80065" w:rsidRPr="00BD50E4" w:rsidRDefault="00F80065" w:rsidP="00F80065">
      <w:pPr>
        <w:ind w:left="1800"/>
        <w:contextualSpacing/>
        <w:rPr>
          <w:rFonts w:ascii="Times New Roman" w:hAnsi="Times New Roman"/>
          <w:b/>
          <w:sz w:val="24"/>
          <w:szCs w:val="24"/>
          <w:lang w:eastAsia="lt-LT"/>
        </w:rPr>
      </w:pPr>
    </w:p>
    <w:p w:rsidR="00F80065" w:rsidRPr="00BD50E4" w:rsidRDefault="00F80065" w:rsidP="00F80065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BD50E4">
        <w:rPr>
          <w:rFonts w:ascii="Times New Roman" w:hAnsi="Times New Roman"/>
          <w:b/>
          <w:sz w:val="24"/>
          <w:szCs w:val="24"/>
          <w:lang w:eastAsia="lt-LT"/>
        </w:rPr>
        <w:t>III. ŠALIŲ PAREIGOS IR TEISĖS</w:t>
      </w:r>
    </w:p>
    <w:p w:rsidR="00F80065" w:rsidRPr="00BD50E4" w:rsidRDefault="00F80065" w:rsidP="00F80065">
      <w:pPr>
        <w:jc w:val="center"/>
        <w:rPr>
          <w:rFonts w:ascii="Times New Roman" w:hAnsi="Times New Roman"/>
          <w:sz w:val="24"/>
          <w:szCs w:val="24"/>
          <w:lang w:eastAsia="lt-LT"/>
        </w:rPr>
      </w:pPr>
    </w:p>
    <w:p w:rsidR="00F80065" w:rsidRPr="00AC36D8" w:rsidRDefault="00F80065" w:rsidP="00AC36D8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3.1. </w:t>
      </w:r>
      <w:r w:rsidR="00694AF2" w:rsidRPr="00BD50E4">
        <w:rPr>
          <w:rFonts w:ascii="Times New Roman" w:hAnsi="Times New Roman"/>
          <w:sz w:val="24"/>
          <w:szCs w:val="24"/>
          <w:lang w:eastAsia="lt-LT"/>
        </w:rPr>
        <w:t>TEIKĖJAS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privalo:</w:t>
      </w:r>
    </w:p>
    <w:p w:rsidR="00F80065" w:rsidRPr="00AC36D8" w:rsidRDefault="00F80065" w:rsidP="00AC36D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3.1.1. užtikrinti, kad </w:t>
      </w:r>
      <w:r w:rsidR="00694AF2" w:rsidRPr="00BD50E4">
        <w:rPr>
          <w:rFonts w:ascii="Times New Roman" w:hAnsi="Times New Roman"/>
          <w:sz w:val="24"/>
          <w:szCs w:val="24"/>
          <w:lang w:eastAsia="lt-LT"/>
        </w:rPr>
        <w:t>TEIKĖJO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darbuotojai, prieš pradėdami dirbti su TAIS, susipažintų su TAIS nuostatais, TAIS naudojimo teisėkūrai tvarka ir laikytųsi šių teisės aktų reikalavimų;</w:t>
      </w:r>
    </w:p>
    <w:p w:rsidR="00F80065" w:rsidRPr="00AC36D8" w:rsidRDefault="00F80065" w:rsidP="00AC36D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>3.1.2. paskirti ir įgalioti asmenis, atsakingus už duomenų teikimą TAIS</w:t>
      </w:r>
      <w:r w:rsidR="00694AF2">
        <w:rPr>
          <w:rFonts w:ascii="Times New Roman" w:hAnsi="Times New Roman"/>
          <w:sz w:val="24"/>
          <w:szCs w:val="24"/>
          <w:lang w:eastAsia="lt-LT"/>
        </w:rPr>
        <w:t>,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ir pateikti </w:t>
      </w:r>
      <w:r w:rsidR="00694AF2" w:rsidRPr="00BD50E4">
        <w:rPr>
          <w:rFonts w:ascii="Times New Roman" w:hAnsi="Times New Roman"/>
          <w:sz w:val="24"/>
          <w:szCs w:val="24"/>
          <w:lang w:eastAsia="lt-LT"/>
        </w:rPr>
        <w:t xml:space="preserve">VALDYTOJUI </w:t>
      </w:r>
      <w:r w:rsidRPr="00AC36D8">
        <w:rPr>
          <w:rFonts w:ascii="Times New Roman" w:hAnsi="Times New Roman"/>
          <w:sz w:val="24"/>
          <w:szCs w:val="24"/>
          <w:lang w:eastAsia="lt-LT"/>
        </w:rPr>
        <w:t>Sutarties priede nurodytos formos Asmenų, atsakingų už duomenų teikimą TAIS (toliau – TAIS naudotojai), sąrašą;</w:t>
      </w:r>
    </w:p>
    <w:p w:rsidR="00F80065" w:rsidRPr="00AC36D8" w:rsidRDefault="00F80065" w:rsidP="00AC36D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>3.1.3. užtikrinti  TAIS darbo vietų funkcionavimą;</w:t>
      </w:r>
    </w:p>
    <w:p w:rsidR="00F80065" w:rsidRPr="00AC36D8" w:rsidRDefault="00F80065" w:rsidP="00AC36D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3.1.4. prireikus atnaujinti </w:t>
      </w:r>
      <w:r w:rsidR="00694AF2" w:rsidRPr="00BD50E4">
        <w:rPr>
          <w:rFonts w:ascii="Times New Roman" w:hAnsi="Times New Roman"/>
          <w:sz w:val="24"/>
          <w:szCs w:val="24"/>
          <w:lang w:eastAsia="lt-LT"/>
        </w:rPr>
        <w:t>TEIKĖJO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TAIS naudotojų sąrašą. Pasikeitus duomenims apie </w:t>
      </w:r>
      <w:r w:rsidR="00694AF2" w:rsidRPr="00BD50E4">
        <w:rPr>
          <w:rFonts w:ascii="Times New Roman" w:hAnsi="Times New Roman"/>
          <w:sz w:val="24"/>
          <w:szCs w:val="24"/>
          <w:lang w:eastAsia="lt-LT"/>
        </w:rPr>
        <w:t>TEIKĖJO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įgaliotus asmenis, nutraukus ar sustabdžius jiems suteiktus įgaliojimus arba suteikus įgaliojimus naujiems asmenims, ne vėliau kaip per 3 darbo dienas apie tai pranešti </w:t>
      </w:r>
      <w:r w:rsidR="00694AF2" w:rsidRPr="00BD50E4">
        <w:rPr>
          <w:rFonts w:ascii="Times New Roman" w:hAnsi="Times New Roman"/>
          <w:sz w:val="24"/>
          <w:szCs w:val="24"/>
          <w:lang w:eastAsia="lt-LT"/>
        </w:rPr>
        <w:t xml:space="preserve">VALDYTOJUI 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elektroniniu paštu </w:t>
      </w:r>
      <w:hyperlink r:id="rId7" w:history="1">
        <w:r w:rsidRPr="00AC36D8">
          <w:rPr>
            <w:rFonts w:ascii="Times New Roman" w:hAnsi="Times New Roman"/>
            <w:sz w:val="24"/>
            <w:szCs w:val="24"/>
            <w:lang w:eastAsia="lt-LT"/>
          </w:rPr>
          <w:t>tais@lrs.lt</w:t>
        </w:r>
      </w:hyperlink>
      <w:r w:rsidRPr="00AC36D8">
        <w:rPr>
          <w:rFonts w:ascii="Times New Roman" w:hAnsi="Times New Roman"/>
          <w:sz w:val="24"/>
          <w:szCs w:val="24"/>
          <w:lang w:eastAsia="lt-LT"/>
        </w:rPr>
        <w:t xml:space="preserve">, pateikiant naujos redakcijos </w:t>
      </w:r>
      <w:r w:rsidR="00694AF2" w:rsidRPr="00BD50E4">
        <w:rPr>
          <w:rFonts w:ascii="Times New Roman" w:hAnsi="Times New Roman"/>
          <w:sz w:val="24"/>
          <w:szCs w:val="24"/>
          <w:lang w:eastAsia="lt-LT"/>
        </w:rPr>
        <w:t>TEIKĖJO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TAIS naudotojų sąrašą</w:t>
      </w:r>
      <w:r w:rsidR="00694AF2">
        <w:rPr>
          <w:rFonts w:ascii="Times New Roman" w:hAnsi="Times New Roman"/>
          <w:sz w:val="24"/>
          <w:szCs w:val="24"/>
          <w:lang w:eastAsia="lt-LT"/>
        </w:rPr>
        <w:t>;</w:t>
      </w:r>
    </w:p>
    <w:p w:rsidR="00F80065" w:rsidRPr="00AC36D8" w:rsidRDefault="00F80065" w:rsidP="00AC36D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3.1.5. užtikrinti </w:t>
      </w:r>
      <w:r w:rsidR="00694AF2" w:rsidRPr="00BD50E4">
        <w:rPr>
          <w:rFonts w:ascii="Times New Roman" w:hAnsi="Times New Roman"/>
          <w:sz w:val="24"/>
          <w:szCs w:val="24"/>
          <w:lang w:eastAsia="lt-LT"/>
        </w:rPr>
        <w:t>TEIKĖJO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TAIS duomenų autentiškumą, patikimumą, teisingumą, galimų klaidų ištaisymą;</w:t>
      </w:r>
    </w:p>
    <w:p w:rsidR="00F80065" w:rsidRPr="00AC36D8" w:rsidRDefault="00F80065" w:rsidP="00AC36D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3.1.6. sudaryti technologines galimybes tam įgaliojimus turintiems subjektams priimtus teisės aktus pasirašyti elektroniniu parašu; </w:t>
      </w:r>
    </w:p>
    <w:p w:rsidR="00F80065" w:rsidRPr="00AC36D8" w:rsidRDefault="00F80065" w:rsidP="00AC36D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3.1.7. informuoti </w:t>
      </w:r>
      <w:r w:rsidR="00694AF2" w:rsidRPr="00BD50E4">
        <w:rPr>
          <w:rFonts w:ascii="Times New Roman" w:hAnsi="Times New Roman"/>
          <w:sz w:val="24"/>
          <w:szCs w:val="24"/>
          <w:lang w:eastAsia="lt-LT"/>
        </w:rPr>
        <w:t>VALDYTOJĄ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apie įvykusius elektroninės informacijos saugos incidentus, susijusius su TAIS ir jų tyrimo rezultatus.</w:t>
      </w:r>
    </w:p>
    <w:p w:rsidR="00F80065" w:rsidRPr="00AC36D8" w:rsidRDefault="00F80065" w:rsidP="00AC36D8">
      <w:pPr>
        <w:tabs>
          <w:tab w:val="left" w:pos="567"/>
        </w:tabs>
        <w:spacing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3.2. </w:t>
      </w:r>
      <w:r w:rsidR="00694AF2" w:rsidRPr="00BD50E4">
        <w:rPr>
          <w:rFonts w:ascii="Times New Roman" w:hAnsi="Times New Roman"/>
          <w:sz w:val="24"/>
          <w:szCs w:val="24"/>
          <w:lang w:eastAsia="lt-LT"/>
        </w:rPr>
        <w:t>TEIKĖJO</w:t>
      </w:r>
      <w:r w:rsidR="00694AF2" w:rsidRPr="00BD50E4">
        <w:rPr>
          <w:rFonts w:ascii="Times New Roman" w:eastAsiaTheme="minorHAnsi" w:hAnsi="Times New Roman"/>
          <w:sz w:val="24"/>
          <w:szCs w:val="24"/>
        </w:rPr>
        <w:t xml:space="preserve"> </w:t>
      </w:r>
      <w:r w:rsidRPr="00AC36D8">
        <w:rPr>
          <w:rFonts w:ascii="Times New Roman" w:eastAsiaTheme="minorHAnsi" w:hAnsi="Times New Roman"/>
          <w:sz w:val="24"/>
          <w:szCs w:val="24"/>
        </w:rPr>
        <w:t>TAIS naudotojas privalo:</w:t>
      </w:r>
    </w:p>
    <w:p w:rsidR="00F80065" w:rsidRPr="00AC36D8" w:rsidRDefault="00F80065" w:rsidP="00AC36D8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3.2.1. pastebėjęs technologines TAIS veikimo problemas, nedelsdamas apie tai pranešti </w:t>
      </w:r>
      <w:r w:rsidR="00694AF2" w:rsidRPr="00BD50E4">
        <w:rPr>
          <w:rFonts w:ascii="Times New Roman" w:hAnsi="Times New Roman"/>
          <w:sz w:val="24"/>
          <w:szCs w:val="24"/>
          <w:lang w:eastAsia="lt-LT"/>
        </w:rPr>
        <w:t>VALDYTOJUI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el. pašto adresu </w:t>
      </w:r>
      <w:hyperlink r:id="rId8" w:history="1">
        <w:r w:rsidRPr="00AC36D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lt-LT"/>
          </w:rPr>
          <w:t>tais@lrs.lt</w:t>
        </w:r>
      </w:hyperlink>
      <w:r w:rsidR="003A5AA4">
        <w:rPr>
          <w:rFonts w:ascii="Times New Roman" w:hAnsi="Times New Roman"/>
          <w:sz w:val="24"/>
          <w:szCs w:val="24"/>
          <w:lang w:eastAsia="lt-LT"/>
        </w:rPr>
        <w:t xml:space="preserve">. ir (arba) telefonu (8 5) </w:t>
      </w:r>
      <w:r w:rsidRPr="00AC36D8">
        <w:rPr>
          <w:rFonts w:ascii="Times New Roman" w:hAnsi="Times New Roman"/>
          <w:sz w:val="24"/>
          <w:szCs w:val="24"/>
          <w:lang w:eastAsia="lt-LT"/>
        </w:rPr>
        <w:t>239 6999;</w:t>
      </w:r>
    </w:p>
    <w:p w:rsidR="00F80065" w:rsidRPr="00AC36D8" w:rsidRDefault="00F80065" w:rsidP="00AC36D8">
      <w:pPr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>3.2.2. atsakyti už teikiamų duomenų teisingumą ir aktualumą;</w:t>
      </w:r>
    </w:p>
    <w:p w:rsidR="00F80065" w:rsidRPr="00AC36D8" w:rsidRDefault="00F80065" w:rsidP="00AC36D8">
      <w:pPr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3.2.3. užtikrinti, kad teikiami duomenys atitiktų Lietuvos Respublikos asmens duomenų teisinės apsaugos įstatymo reikalavimus. </w:t>
      </w:r>
    </w:p>
    <w:p w:rsidR="00F80065" w:rsidRPr="00AC36D8" w:rsidRDefault="00F80065" w:rsidP="00AC36D8">
      <w:pPr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/>
          <w:caps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lastRenderedPageBreak/>
        <w:t xml:space="preserve">3.3. </w:t>
      </w:r>
      <w:r w:rsidR="00694AF2" w:rsidRPr="00BD50E4">
        <w:rPr>
          <w:rFonts w:ascii="Times New Roman" w:hAnsi="Times New Roman"/>
          <w:sz w:val="24"/>
          <w:szCs w:val="24"/>
          <w:lang w:eastAsia="lt-LT"/>
        </w:rPr>
        <w:t>VALDYTOJAS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įsipareigoja</w:t>
      </w:r>
      <w:r w:rsidRPr="00AC36D8">
        <w:rPr>
          <w:rFonts w:ascii="Times New Roman" w:hAnsi="Times New Roman"/>
          <w:caps/>
          <w:sz w:val="24"/>
          <w:szCs w:val="24"/>
          <w:lang w:eastAsia="lt-LT"/>
        </w:rPr>
        <w:t>:</w:t>
      </w:r>
    </w:p>
    <w:p w:rsidR="00F80065" w:rsidRPr="00AC36D8" w:rsidRDefault="00F80065" w:rsidP="00AC36D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3.3.1. pagal Sutarties priedo duomenis registruoti </w:t>
      </w:r>
      <w:r w:rsidR="00694AF2" w:rsidRPr="00BD50E4">
        <w:rPr>
          <w:rFonts w:ascii="Times New Roman" w:hAnsi="Times New Roman"/>
          <w:sz w:val="24"/>
          <w:szCs w:val="24"/>
          <w:lang w:eastAsia="lt-LT"/>
        </w:rPr>
        <w:t>TEIKĖJO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TAIS naudotojus;</w:t>
      </w:r>
    </w:p>
    <w:p w:rsidR="00F80065" w:rsidRPr="00AC36D8" w:rsidRDefault="00F80065" w:rsidP="00AC36D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3.3.2. suteikti </w:t>
      </w:r>
      <w:r w:rsidR="00694AF2" w:rsidRPr="00BD50E4">
        <w:rPr>
          <w:rFonts w:ascii="Times New Roman" w:hAnsi="Times New Roman"/>
          <w:sz w:val="24"/>
          <w:szCs w:val="24"/>
          <w:lang w:eastAsia="lt-LT"/>
        </w:rPr>
        <w:t>TEIKĖJO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TAIS naudotojams nuotolinę prieigą prie TAIS ir technologines galimybes elektroniniu būdu teikti TAIS duomenis;</w:t>
      </w:r>
    </w:p>
    <w:p w:rsidR="00F80065" w:rsidRPr="00AC36D8" w:rsidRDefault="00F80065" w:rsidP="00AC36D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3.3.3. sudaryti galimybę </w:t>
      </w:r>
      <w:r w:rsidR="00694AF2" w:rsidRPr="00BD50E4">
        <w:rPr>
          <w:rFonts w:ascii="Times New Roman" w:hAnsi="Times New Roman"/>
          <w:sz w:val="24"/>
          <w:szCs w:val="24"/>
          <w:lang w:eastAsia="lt-LT"/>
        </w:rPr>
        <w:t>TEIKĖJO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TAIS naudotojams tiesiogiai arba nuotoliniu būdu išmokti dirbti su TAIS, konsultuoti juos darbo su TAIS klausimais;</w:t>
      </w:r>
    </w:p>
    <w:p w:rsidR="00F80065" w:rsidRPr="00AC36D8" w:rsidRDefault="00F80065" w:rsidP="00AC36D8">
      <w:pPr>
        <w:tabs>
          <w:tab w:val="left" w:pos="993"/>
        </w:tabs>
        <w:spacing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3.3.4. </w:t>
      </w:r>
      <w:r w:rsidR="008411D3" w:rsidRPr="00BD50E4">
        <w:rPr>
          <w:rFonts w:ascii="Times New Roman" w:hAnsi="Times New Roman"/>
          <w:sz w:val="24"/>
          <w:szCs w:val="24"/>
          <w:lang w:eastAsia="lt-LT"/>
        </w:rPr>
        <w:t>TEIKĖJO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naudotojų asmens duomenis naudoti tik elektroninių duomenų teikimo TAIS tikslais;</w:t>
      </w:r>
    </w:p>
    <w:p w:rsidR="00F80065" w:rsidRPr="00AC36D8" w:rsidRDefault="00F80065" w:rsidP="00AC36D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>3.3.5. parengti ir esant pakeitimams atnaujinti dokumentus bei metodinę medžiagą, skirtą darbui su TAIS;</w:t>
      </w:r>
    </w:p>
    <w:p w:rsidR="00F80065" w:rsidRPr="00AC36D8" w:rsidRDefault="00F80065" w:rsidP="00AC36D8">
      <w:pPr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3.3.6. apie pastebėtas pateiktų duomenų klaidas nedelsdamas informuoti </w:t>
      </w:r>
      <w:r w:rsidR="008411D3" w:rsidRPr="00BD50E4">
        <w:rPr>
          <w:rFonts w:ascii="Times New Roman" w:hAnsi="Times New Roman"/>
          <w:sz w:val="24"/>
          <w:szCs w:val="24"/>
          <w:lang w:eastAsia="lt-LT"/>
        </w:rPr>
        <w:t>TEIKĖJĄ</w:t>
      </w:r>
      <w:r w:rsidRPr="00AC36D8">
        <w:rPr>
          <w:rFonts w:ascii="Times New Roman" w:hAnsi="Times New Roman"/>
          <w:sz w:val="24"/>
          <w:szCs w:val="24"/>
          <w:lang w:eastAsia="lt-LT"/>
        </w:rPr>
        <w:t>.</w:t>
      </w:r>
    </w:p>
    <w:p w:rsidR="00F80065" w:rsidRPr="00AC36D8" w:rsidRDefault="00F80065" w:rsidP="00AC36D8">
      <w:pPr>
        <w:tabs>
          <w:tab w:val="left" w:pos="0"/>
          <w:tab w:val="left" w:pos="709"/>
          <w:tab w:val="left" w:pos="851"/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caps/>
          <w:sz w:val="24"/>
          <w:szCs w:val="24"/>
          <w:lang w:eastAsia="lt-LT"/>
        </w:rPr>
        <w:t xml:space="preserve">3.4. </w:t>
      </w:r>
      <w:r w:rsidR="008411D3">
        <w:rPr>
          <w:rFonts w:ascii="Times New Roman" w:hAnsi="Times New Roman"/>
          <w:caps/>
          <w:sz w:val="24"/>
          <w:szCs w:val="24"/>
          <w:lang w:eastAsia="lt-LT"/>
        </w:rPr>
        <w:t>j</w:t>
      </w:r>
      <w:r w:rsidR="008411D3">
        <w:rPr>
          <w:rFonts w:ascii="Times New Roman" w:hAnsi="Times New Roman"/>
          <w:sz w:val="24"/>
          <w:szCs w:val="24"/>
          <w:lang w:eastAsia="lt-LT"/>
        </w:rPr>
        <w:t>eigu</w:t>
      </w:r>
      <w:r w:rsidR="008411D3">
        <w:rPr>
          <w:rFonts w:ascii="Times New Roman" w:hAnsi="Times New Roman"/>
          <w:caps/>
          <w:sz w:val="24"/>
          <w:szCs w:val="24"/>
          <w:lang w:eastAsia="lt-LT"/>
        </w:rPr>
        <w:t xml:space="preserve"> </w:t>
      </w:r>
      <w:r w:rsidR="008411D3" w:rsidRPr="00BD50E4">
        <w:rPr>
          <w:rFonts w:ascii="Times New Roman" w:hAnsi="Times New Roman"/>
          <w:sz w:val="24"/>
          <w:szCs w:val="24"/>
          <w:lang w:eastAsia="lt-LT"/>
        </w:rPr>
        <w:t>TEIKĖJ</w:t>
      </w:r>
      <w:r w:rsidR="008411D3">
        <w:rPr>
          <w:rFonts w:ascii="Times New Roman" w:hAnsi="Times New Roman"/>
          <w:sz w:val="24"/>
          <w:szCs w:val="24"/>
          <w:lang w:eastAsia="lt-LT"/>
        </w:rPr>
        <w:t>AS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nesilaik</w:t>
      </w:r>
      <w:r w:rsidR="008411D3">
        <w:rPr>
          <w:rFonts w:ascii="Times New Roman" w:hAnsi="Times New Roman"/>
          <w:sz w:val="24"/>
          <w:szCs w:val="24"/>
          <w:lang w:eastAsia="lt-LT"/>
        </w:rPr>
        <w:t>o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Sutarties </w:t>
      </w:r>
      <w:r w:rsidR="008411D3">
        <w:rPr>
          <w:rFonts w:ascii="Times New Roman" w:hAnsi="Times New Roman"/>
          <w:sz w:val="24"/>
          <w:szCs w:val="24"/>
          <w:lang w:eastAsia="lt-LT"/>
        </w:rPr>
        <w:t>šioje</w:t>
      </w:r>
      <w:r w:rsidR="008411D3" w:rsidRPr="00AC36D8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dalyje nustatytų pareigų, </w:t>
      </w:r>
      <w:r w:rsidR="008411D3" w:rsidRPr="00BD50E4">
        <w:rPr>
          <w:rFonts w:ascii="Times New Roman" w:hAnsi="Times New Roman"/>
          <w:sz w:val="24"/>
          <w:szCs w:val="24"/>
          <w:lang w:eastAsia="lt-LT"/>
        </w:rPr>
        <w:t>VALDYTOJAS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turi teisę</w:t>
      </w:r>
      <w:r w:rsidR="008411D3">
        <w:rPr>
          <w:rFonts w:ascii="Times New Roman" w:hAnsi="Times New Roman"/>
          <w:sz w:val="24"/>
          <w:szCs w:val="24"/>
          <w:lang w:eastAsia="lt-LT"/>
        </w:rPr>
        <w:t>,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be atskiro įspėjimo</w:t>
      </w:r>
      <w:r w:rsidR="008411D3">
        <w:rPr>
          <w:rFonts w:ascii="Times New Roman" w:hAnsi="Times New Roman"/>
          <w:sz w:val="24"/>
          <w:szCs w:val="24"/>
          <w:lang w:eastAsia="lt-LT"/>
        </w:rPr>
        <w:t>,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sustabdyti </w:t>
      </w:r>
      <w:r w:rsidR="008411D3" w:rsidRPr="00BD50E4">
        <w:rPr>
          <w:rFonts w:ascii="Times New Roman" w:hAnsi="Times New Roman"/>
          <w:sz w:val="24"/>
          <w:szCs w:val="24"/>
          <w:lang w:eastAsia="lt-LT"/>
        </w:rPr>
        <w:t>TEIKĖJO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8411D3">
        <w:rPr>
          <w:rFonts w:ascii="Times New Roman" w:hAnsi="Times New Roman"/>
          <w:sz w:val="24"/>
          <w:szCs w:val="24"/>
          <w:lang w:eastAsia="lt-LT"/>
        </w:rPr>
        <w:t xml:space="preserve">TAIS 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naudotojo prisijungimą prie TAIS. </w:t>
      </w:r>
    </w:p>
    <w:p w:rsidR="00F80065" w:rsidRPr="00AC36D8" w:rsidRDefault="00F80065" w:rsidP="00AC36D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caps/>
          <w:sz w:val="24"/>
          <w:szCs w:val="24"/>
          <w:lang w:eastAsia="lt-LT"/>
        </w:rPr>
        <w:t xml:space="preserve">3.5. </w:t>
      </w:r>
      <w:r w:rsidR="008411D3">
        <w:rPr>
          <w:rFonts w:ascii="Times New Roman" w:hAnsi="Times New Roman"/>
          <w:caps/>
          <w:sz w:val="24"/>
          <w:szCs w:val="24"/>
          <w:lang w:eastAsia="lt-LT"/>
        </w:rPr>
        <w:t>j</w:t>
      </w:r>
      <w:r w:rsidR="008411D3">
        <w:rPr>
          <w:rFonts w:ascii="Times New Roman" w:hAnsi="Times New Roman"/>
          <w:sz w:val="24"/>
          <w:szCs w:val="24"/>
          <w:lang w:eastAsia="lt-LT"/>
        </w:rPr>
        <w:t>eigu</w:t>
      </w:r>
      <w:r w:rsidR="008411D3">
        <w:rPr>
          <w:rFonts w:ascii="Times New Roman" w:hAnsi="Times New Roman"/>
          <w:caps/>
          <w:sz w:val="24"/>
          <w:szCs w:val="24"/>
          <w:lang w:eastAsia="lt-LT"/>
        </w:rPr>
        <w:t xml:space="preserve"> </w:t>
      </w:r>
      <w:r w:rsidR="008411D3" w:rsidRPr="00BD50E4">
        <w:rPr>
          <w:rFonts w:ascii="Times New Roman" w:hAnsi="Times New Roman"/>
          <w:sz w:val="24"/>
          <w:szCs w:val="24"/>
          <w:lang w:eastAsia="lt-LT"/>
        </w:rPr>
        <w:t>TEIKĖJO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8411D3">
        <w:rPr>
          <w:rFonts w:ascii="Times New Roman" w:hAnsi="Times New Roman"/>
          <w:sz w:val="24"/>
          <w:szCs w:val="24"/>
          <w:lang w:eastAsia="lt-LT"/>
        </w:rPr>
        <w:t xml:space="preserve">TAIS </w:t>
      </w:r>
      <w:r w:rsidR="008411D3" w:rsidRPr="00AC36D8">
        <w:rPr>
          <w:rFonts w:ascii="Times New Roman" w:hAnsi="Times New Roman"/>
          <w:sz w:val="24"/>
          <w:szCs w:val="24"/>
          <w:lang w:eastAsia="lt-LT"/>
        </w:rPr>
        <w:t>naudotoj</w:t>
      </w:r>
      <w:r w:rsidR="008411D3">
        <w:rPr>
          <w:rFonts w:ascii="Times New Roman" w:hAnsi="Times New Roman"/>
          <w:sz w:val="24"/>
          <w:szCs w:val="24"/>
          <w:lang w:eastAsia="lt-LT"/>
        </w:rPr>
        <w:t>as</w:t>
      </w:r>
      <w:r w:rsidR="008411D3" w:rsidRPr="00AC36D8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neprisijungia prie TAIS daugiau kaip 90 kalendorinių dienų, </w:t>
      </w:r>
      <w:r w:rsidR="008411D3" w:rsidRPr="00BD50E4">
        <w:rPr>
          <w:rFonts w:ascii="Times New Roman" w:hAnsi="Times New Roman"/>
          <w:sz w:val="24"/>
          <w:szCs w:val="24"/>
          <w:lang w:eastAsia="lt-LT"/>
        </w:rPr>
        <w:t>VALDYTOJAS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elektroniniu paštu įspėja </w:t>
      </w:r>
      <w:r w:rsidR="008411D3" w:rsidRPr="00BD50E4">
        <w:rPr>
          <w:rFonts w:ascii="Times New Roman" w:hAnsi="Times New Roman"/>
          <w:sz w:val="24"/>
          <w:szCs w:val="24"/>
          <w:lang w:eastAsia="lt-LT"/>
        </w:rPr>
        <w:t>TEIKĖJO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8411D3">
        <w:rPr>
          <w:rFonts w:ascii="Times New Roman" w:hAnsi="Times New Roman"/>
          <w:sz w:val="24"/>
          <w:szCs w:val="24"/>
          <w:lang w:eastAsia="lt-LT"/>
        </w:rPr>
        <w:t xml:space="preserve">TAIS </w:t>
      </w:r>
      <w:r w:rsidRPr="00AC36D8">
        <w:rPr>
          <w:rFonts w:ascii="Times New Roman" w:hAnsi="Times New Roman"/>
          <w:sz w:val="24"/>
          <w:szCs w:val="24"/>
          <w:lang w:eastAsia="lt-LT"/>
        </w:rPr>
        <w:t>naudotoją, kad</w:t>
      </w:r>
      <w:r w:rsidR="008411D3">
        <w:rPr>
          <w:rFonts w:ascii="Times New Roman" w:hAnsi="Times New Roman"/>
          <w:sz w:val="24"/>
          <w:szCs w:val="24"/>
          <w:lang w:eastAsia="lt-LT"/>
        </w:rPr>
        <w:t>,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8411D3" w:rsidRPr="00BD50E4">
        <w:rPr>
          <w:rFonts w:ascii="Times New Roman" w:hAnsi="Times New Roman"/>
          <w:sz w:val="24"/>
          <w:szCs w:val="24"/>
          <w:lang w:eastAsia="lt-LT"/>
        </w:rPr>
        <w:t>TEIKĖJO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8411D3">
        <w:rPr>
          <w:rFonts w:ascii="Times New Roman" w:hAnsi="Times New Roman"/>
          <w:sz w:val="24"/>
          <w:szCs w:val="24"/>
          <w:lang w:eastAsia="lt-LT"/>
        </w:rPr>
        <w:t xml:space="preserve">TAIS 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naudotojui neprisijungus dar 15 kalendorinių dienų, bus sustabdytas prisijungimas prie TAIS. Jeigu po įspėjimo per 15 kalendorinių dienų </w:t>
      </w:r>
      <w:r w:rsidR="008411D3" w:rsidRPr="00BD50E4">
        <w:rPr>
          <w:rFonts w:ascii="Times New Roman" w:hAnsi="Times New Roman"/>
          <w:sz w:val="24"/>
          <w:szCs w:val="24"/>
          <w:lang w:eastAsia="lt-LT"/>
        </w:rPr>
        <w:t>TEIKĖJO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8411D3">
        <w:rPr>
          <w:rFonts w:ascii="Times New Roman" w:hAnsi="Times New Roman"/>
          <w:sz w:val="24"/>
          <w:szCs w:val="24"/>
          <w:lang w:eastAsia="lt-LT"/>
        </w:rPr>
        <w:t xml:space="preserve">TAIS 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naudotojas neprisijungia prie TAIS, jam sustabdomas prisijungimas prie TAIS. Jeigu </w:t>
      </w:r>
      <w:r w:rsidR="008411D3" w:rsidRPr="00BD50E4">
        <w:rPr>
          <w:rFonts w:ascii="Times New Roman" w:hAnsi="Times New Roman"/>
          <w:sz w:val="24"/>
          <w:szCs w:val="24"/>
          <w:lang w:eastAsia="lt-LT"/>
        </w:rPr>
        <w:t>TEIKĖJO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8411D3">
        <w:rPr>
          <w:rFonts w:ascii="Times New Roman" w:hAnsi="Times New Roman"/>
          <w:sz w:val="24"/>
          <w:szCs w:val="24"/>
          <w:lang w:eastAsia="lt-LT"/>
        </w:rPr>
        <w:t xml:space="preserve">TAIS 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naudotojui sustabdomas prisijungimas prie TAIS, </w:t>
      </w:r>
      <w:r w:rsidR="008411D3" w:rsidRPr="00BD50E4">
        <w:rPr>
          <w:rFonts w:ascii="Times New Roman" w:hAnsi="Times New Roman"/>
          <w:sz w:val="24"/>
          <w:szCs w:val="24"/>
          <w:lang w:eastAsia="lt-LT"/>
        </w:rPr>
        <w:t>TEIKĖJAS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turi teisę kreiptis į </w:t>
      </w:r>
      <w:r w:rsidR="008411D3" w:rsidRPr="00BD50E4">
        <w:rPr>
          <w:rFonts w:ascii="Times New Roman" w:hAnsi="Times New Roman"/>
          <w:sz w:val="24"/>
          <w:szCs w:val="24"/>
          <w:lang w:eastAsia="lt-LT"/>
        </w:rPr>
        <w:t>VALDYTOJĄ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raštu ar elektroniniu dokumentu, kad </w:t>
      </w:r>
      <w:r w:rsidR="008411D3" w:rsidRPr="00BD50E4">
        <w:rPr>
          <w:rFonts w:ascii="Times New Roman" w:hAnsi="Times New Roman"/>
          <w:sz w:val="24"/>
          <w:szCs w:val="24"/>
          <w:lang w:eastAsia="lt-LT"/>
        </w:rPr>
        <w:t xml:space="preserve">TEIKĖJO </w:t>
      </w:r>
      <w:r w:rsidR="008411D3">
        <w:rPr>
          <w:rFonts w:ascii="Times New Roman" w:hAnsi="Times New Roman"/>
          <w:sz w:val="24"/>
          <w:szCs w:val="24"/>
          <w:lang w:eastAsia="lt-LT"/>
        </w:rPr>
        <w:t xml:space="preserve">TAIS </w:t>
      </w:r>
      <w:r w:rsidRPr="00AC36D8">
        <w:rPr>
          <w:rFonts w:ascii="Times New Roman" w:hAnsi="Times New Roman"/>
          <w:sz w:val="24"/>
          <w:szCs w:val="24"/>
          <w:lang w:eastAsia="lt-LT"/>
        </w:rPr>
        <w:t>naudotojui būtų vėl leista prisijungti prie TAIS.</w:t>
      </w:r>
    </w:p>
    <w:p w:rsidR="00F80065" w:rsidRPr="00AC36D8" w:rsidRDefault="007320DC" w:rsidP="00AC36D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3.6. </w:t>
      </w:r>
      <w:r w:rsidR="00F80065" w:rsidRPr="00AC36D8">
        <w:rPr>
          <w:rFonts w:ascii="Times New Roman" w:hAnsi="Times New Roman"/>
          <w:sz w:val="24"/>
          <w:szCs w:val="24"/>
          <w:lang w:eastAsia="lt-LT"/>
        </w:rPr>
        <w:t>Nė viena Šalis neturi teisės pavesti šią sutartį vykdyti tretiesiems asmenims.</w:t>
      </w:r>
    </w:p>
    <w:p w:rsidR="00F80065" w:rsidRPr="00AC36D8" w:rsidRDefault="00F80065" w:rsidP="00AC36D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3.7. </w:t>
      </w:r>
      <w:r w:rsidR="008411D3" w:rsidRPr="00BD50E4">
        <w:rPr>
          <w:rFonts w:ascii="Times New Roman" w:hAnsi="Times New Roman"/>
          <w:sz w:val="24"/>
          <w:szCs w:val="24"/>
          <w:lang w:eastAsia="lt-LT"/>
        </w:rPr>
        <w:t>VALDYTOJAS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pasilieka teisę keisti </w:t>
      </w:r>
      <w:r w:rsidR="008411D3" w:rsidRPr="00BD50E4">
        <w:rPr>
          <w:rFonts w:ascii="Times New Roman" w:hAnsi="Times New Roman"/>
          <w:sz w:val="24"/>
          <w:szCs w:val="24"/>
          <w:lang w:eastAsia="lt-LT"/>
        </w:rPr>
        <w:t>TEIKĖJO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naudotojo prisijungimo duomenis.</w:t>
      </w:r>
    </w:p>
    <w:p w:rsidR="00F80065" w:rsidRPr="00AC36D8" w:rsidRDefault="00F80065" w:rsidP="00F80065">
      <w:pPr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F80065" w:rsidRPr="00BD50E4" w:rsidRDefault="00F80065" w:rsidP="00F80065">
      <w:pPr>
        <w:jc w:val="center"/>
        <w:rPr>
          <w:rFonts w:ascii="Times New Roman" w:hAnsi="Times New Roman"/>
          <w:b/>
          <w:bCs/>
          <w:sz w:val="24"/>
          <w:szCs w:val="24"/>
          <w:lang w:eastAsia="lt-LT"/>
        </w:rPr>
      </w:pPr>
      <w:r w:rsidRPr="00BD50E4">
        <w:rPr>
          <w:rFonts w:ascii="Times New Roman" w:hAnsi="Times New Roman"/>
          <w:b/>
          <w:bCs/>
          <w:sz w:val="24"/>
          <w:szCs w:val="24"/>
          <w:lang w:eastAsia="lt-LT"/>
        </w:rPr>
        <w:t>IV. ŠALIŲ ATSAKOMYBĖ</w:t>
      </w:r>
    </w:p>
    <w:p w:rsidR="00F80065" w:rsidRPr="00BD50E4" w:rsidRDefault="00F80065" w:rsidP="00F80065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lt-LT"/>
        </w:rPr>
      </w:pPr>
    </w:p>
    <w:p w:rsidR="00F80065" w:rsidRPr="00AC36D8" w:rsidRDefault="00F80065" w:rsidP="00AC36D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4.1. </w:t>
      </w:r>
      <w:r w:rsidR="008411D3" w:rsidRPr="00BD50E4">
        <w:rPr>
          <w:rFonts w:ascii="Times New Roman" w:hAnsi="Times New Roman"/>
          <w:sz w:val="24"/>
          <w:szCs w:val="24"/>
          <w:lang w:eastAsia="lt-LT"/>
        </w:rPr>
        <w:t>VALDYTOJAS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neatsako už tai, kad dėl informacinių technologijų ar ryšių, nepriklausančių </w:t>
      </w:r>
      <w:r w:rsidR="008411D3" w:rsidRPr="00BD50E4">
        <w:rPr>
          <w:rFonts w:ascii="Times New Roman" w:hAnsi="Times New Roman"/>
          <w:sz w:val="24"/>
          <w:szCs w:val="24"/>
          <w:lang w:eastAsia="lt-LT"/>
        </w:rPr>
        <w:t>VALDYTOJUI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, gedimų </w:t>
      </w:r>
      <w:r w:rsidR="008411D3" w:rsidRPr="00BD50E4">
        <w:rPr>
          <w:rFonts w:ascii="Times New Roman" w:hAnsi="Times New Roman"/>
          <w:sz w:val="24"/>
          <w:szCs w:val="24"/>
          <w:lang w:eastAsia="lt-LT"/>
        </w:rPr>
        <w:t>TEIKĖJO</w:t>
      </w:r>
      <w:r w:rsidRPr="00AC36D8">
        <w:rPr>
          <w:rFonts w:ascii="Times New Roman" w:hAnsi="Times New Roman"/>
          <w:caps/>
          <w:sz w:val="24"/>
          <w:szCs w:val="24"/>
          <w:lang w:eastAsia="lt-LT"/>
        </w:rPr>
        <w:t xml:space="preserve"> </w:t>
      </w:r>
      <w:r w:rsidR="008411D3">
        <w:rPr>
          <w:rFonts w:ascii="Times New Roman" w:hAnsi="Times New Roman"/>
          <w:caps/>
          <w:sz w:val="24"/>
          <w:szCs w:val="24"/>
          <w:lang w:eastAsia="lt-LT"/>
        </w:rPr>
        <w:t xml:space="preserve">TAIS </w:t>
      </w:r>
      <w:r w:rsidRPr="00AC36D8">
        <w:rPr>
          <w:rFonts w:ascii="Times New Roman" w:hAnsi="Times New Roman"/>
          <w:sz w:val="24"/>
          <w:szCs w:val="24"/>
          <w:lang w:eastAsia="lt-LT"/>
        </w:rPr>
        <w:t>naudotojas negalės prisijungti prie TAIS arba kad dėl tokių gedimų bus prarasti ar iškraipyti duomenys jų pateikimo metu.</w:t>
      </w:r>
    </w:p>
    <w:p w:rsidR="00F80065" w:rsidRPr="00AC36D8" w:rsidRDefault="00F80065" w:rsidP="00AC36D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4.2. </w:t>
      </w:r>
      <w:r w:rsidR="008411D3" w:rsidRPr="00BD50E4">
        <w:rPr>
          <w:rFonts w:ascii="Times New Roman" w:hAnsi="Times New Roman"/>
          <w:sz w:val="24"/>
          <w:szCs w:val="24"/>
          <w:lang w:eastAsia="lt-LT"/>
        </w:rPr>
        <w:t>VALDYTOJAS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neatsako už </w:t>
      </w:r>
      <w:r w:rsidR="008411D3" w:rsidRPr="00BD50E4">
        <w:rPr>
          <w:rFonts w:ascii="Times New Roman" w:hAnsi="Times New Roman"/>
          <w:sz w:val="24"/>
          <w:szCs w:val="24"/>
          <w:lang w:eastAsia="lt-LT"/>
        </w:rPr>
        <w:t>TEIKĖJO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8411D3">
        <w:rPr>
          <w:rFonts w:ascii="Times New Roman" w:hAnsi="Times New Roman"/>
          <w:sz w:val="24"/>
          <w:szCs w:val="24"/>
          <w:lang w:eastAsia="lt-LT"/>
        </w:rPr>
        <w:t xml:space="preserve">TAIS 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naudotojo </w:t>
      </w:r>
      <w:r w:rsidR="008411D3" w:rsidRPr="00AC36D8">
        <w:rPr>
          <w:rFonts w:ascii="Times New Roman" w:hAnsi="Times New Roman"/>
          <w:sz w:val="24"/>
          <w:szCs w:val="24"/>
          <w:lang w:eastAsia="lt-LT"/>
        </w:rPr>
        <w:t>(</w:t>
      </w:r>
      <w:r w:rsidR="008411D3">
        <w:rPr>
          <w:rFonts w:ascii="Times New Roman" w:hAnsi="Times New Roman"/>
          <w:sz w:val="24"/>
          <w:szCs w:val="24"/>
          <w:lang w:eastAsia="lt-LT"/>
        </w:rPr>
        <w:t>naudotojų</w:t>
      </w:r>
      <w:r w:rsidRPr="00AC36D8">
        <w:rPr>
          <w:rFonts w:ascii="Times New Roman" w:hAnsi="Times New Roman"/>
          <w:sz w:val="24"/>
          <w:szCs w:val="24"/>
          <w:lang w:eastAsia="lt-LT"/>
        </w:rPr>
        <w:t>) pateikto teisės akto projekto, jo lydimojo dokumento ar kitų dokumentų informacijos turinį.</w:t>
      </w:r>
    </w:p>
    <w:p w:rsidR="00F80065" w:rsidRPr="00AC36D8" w:rsidRDefault="00F80065" w:rsidP="00AC36D8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4.3. </w:t>
      </w:r>
      <w:r w:rsidR="008411D3" w:rsidRPr="00AC36D8">
        <w:rPr>
          <w:rFonts w:ascii="Times New Roman" w:hAnsi="Times New Roman"/>
          <w:sz w:val="24"/>
          <w:szCs w:val="24"/>
          <w:lang w:eastAsia="lt-LT"/>
        </w:rPr>
        <w:t>N</w:t>
      </w:r>
      <w:r w:rsidR="008411D3">
        <w:rPr>
          <w:rFonts w:ascii="Times New Roman" w:hAnsi="Times New Roman"/>
          <w:sz w:val="24"/>
          <w:szCs w:val="24"/>
          <w:lang w:eastAsia="lt-LT"/>
        </w:rPr>
        <w:t>ė</w:t>
      </w:r>
      <w:r w:rsidR="008411D3" w:rsidRPr="00AC36D8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AC36D8">
        <w:rPr>
          <w:rFonts w:ascii="Times New Roman" w:hAnsi="Times New Roman"/>
          <w:sz w:val="24"/>
          <w:szCs w:val="24"/>
          <w:lang w:eastAsia="lt-LT"/>
        </w:rPr>
        <w:t>viena iš Šalių neatsako už įsipareigojimų neįvykdymą, jeigu ji įrodo, kad įsipareigojimų neįvykdė dėl nenugalimos jėgos (</w:t>
      </w:r>
      <w:r w:rsidRPr="00AC36D8">
        <w:rPr>
          <w:rFonts w:ascii="Times New Roman" w:hAnsi="Times New Roman"/>
          <w:i/>
          <w:sz w:val="24"/>
          <w:szCs w:val="24"/>
          <w:lang w:eastAsia="lt-LT"/>
        </w:rPr>
        <w:t>force majeure</w:t>
      </w:r>
      <w:r w:rsidRPr="00AC36D8">
        <w:rPr>
          <w:rFonts w:ascii="Times New Roman" w:hAnsi="Times New Roman"/>
          <w:sz w:val="24"/>
          <w:szCs w:val="24"/>
          <w:lang w:eastAsia="lt-LT"/>
        </w:rPr>
        <w:t>) aplinkybių. Įrodžius nenugalimos jėgos (</w:t>
      </w:r>
      <w:r w:rsidRPr="00AC36D8">
        <w:rPr>
          <w:rFonts w:ascii="Times New Roman" w:hAnsi="Times New Roman"/>
          <w:i/>
          <w:sz w:val="24"/>
          <w:szCs w:val="24"/>
          <w:lang w:eastAsia="lt-LT"/>
        </w:rPr>
        <w:t>force majeure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) aplinkybes, Šalys vadovaujasi Lietuvos Respublikos civilinio kodekso nuostatomis, </w:t>
      </w:r>
      <w:r w:rsidRPr="00AC36D8">
        <w:rPr>
          <w:rFonts w:ascii="Times New Roman" w:hAnsi="Times New Roman"/>
          <w:sz w:val="24"/>
          <w:szCs w:val="24"/>
          <w:lang w:eastAsia="lt-LT"/>
        </w:rPr>
        <w:lastRenderedPageBreak/>
        <w:t>Atleidimo nuo atsakomybės esant nenugalimos jėgos (</w:t>
      </w:r>
      <w:r w:rsidRPr="00AC36D8">
        <w:rPr>
          <w:rFonts w:ascii="Times New Roman" w:hAnsi="Times New Roman"/>
          <w:i/>
          <w:sz w:val="24"/>
          <w:szCs w:val="24"/>
          <w:lang w:eastAsia="lt-LT"/>
        </w:rPr>
        <w:t>force majeure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) aplinkybėms taisyklėmis, patvirtintomis Lietuvos Respublikos Vyriausybės </w:t>
      </w:r>
      <w:smartTag w:uri="urn:schemas-microsoft-com:office:smarttags" w:element="metricconverter">
        <w:smartTagPr>
          <w:attr w:name="ProductID" w:val="1996 m"/>
        </w:smartTagPr>
        <w:r w:rsidRPr="00AC36D8">
          <w:rPr>
            <w:rFonts w:ascii="Times New Roman" w:hAnsi="Times New Roman"/>
            <w:sz w:val="24"/>
            <w:szCs w:val="24"/>
            <w:lang w:eastAsia="lt-LT"/>
          </w:rPr>
          <w:t>1996 m</w:t>
        </w:r>
      </w:smartTag>
      <w:r w:rsidRPr="00AC36D8">
        <w:rPr>
          <w:rFonts w:ascii="Times New Roman" w:hAnsi="Times New Roman"/>
          <w:sz w:val="24"/>
          <w:szCs w:val="24"/>
          <w:lang w:eastAsia="lt-LT"/>
        </w:rPr>
        <w:t>. liepos 15 d. nutarimu Nr. 840, ir Nenugalimos jėgos (</w:t>
      </w:r>
      <w:r w:rsidRPr="00AC36D8">
        <w:rPr>
          <w:rFonts w:ascii="Times New Roman" w:hAnsi="Times New Roman"/>
          <w:i/>
          <w:sz w:val="24"/>
          <w:szCs w:val="24"/>
          <w:lang w:eastAsia="lt-LT"/>
        </w:rPr>
        <w:t>force majeure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) aplinkybes liudijančių pažymų išdavimo tvarka, patvirtinta Lietuvos Respublikos Vyriausybės </w:t>
      </w:r>
      <w:smartTag w:uri="urn:schemas-microsoft-com:office:smarttags" w:element="metricconverter">
        <w:smartTagPr>
          <w:attr w:name="ProductID" w:val="1997 m"/>
        </w:smartTagPr>
        <w:r w:rsidRPr="00AC36D8">
          <w:rPr>
            <w:rFonts w:ascii="Times New Roman" w:hAnsi="Times New Roman"/>
            <w:sz w:val="24"/>
            <w:szCs w:val="24"/>
            <w:lang w:eastAsia="lt-LT"/>
          </w:rPr>
          <w:t>1997 m</w:t>
        </w:r>
      </w:smartTag>
      <w:r w:rsidRPr="00AC36D8">
        <w:rPr>
          <w:rFonts w:ascii="Times New Roman" w:hAnsi="Times New Roman"/>
          <w:sz w:val="24"/>
          <w:szCs w:val="24"/>
          <w:lang w:eastAsia="lt-LT"/>
        </w:rPr>
        <w:t>. kovo 13 d. nutarimu Nr. 222.</w:t>
      </w:r>
    </w:p>
    <w:p w:rsidR="00F80065" w:rsidRPr="00BD50E4" w:rsidRDefault="00F80065" w:rsidP="00F80065">
      <w:pPr>
        <w:tabs>
          <w:tab w:val="left" w:pos="6663"/>
        </w:tabs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:rsidR="00F80065" w:rsidRPr="00BD50E4" w:rsidRDefault="00F80065" w:rsidP="00F80065">
      <w:pPr>
        <w:tabs>
          <w:tab w:val="left" w:pos="6663"/>
        </w:tabs>
        <w:jc w:val="center"/>
        <w:rPr>
          <w:rFonts w:ascii="Times New Roman" w:hAnsi="Times New Roman"/>
          <w:b/>
          <w:smallCaps/>
          <w:sz w:val="24"/>
          <w:szCs w:val="24"/>
          <w:lang w:eastAsia="lt-LT"/>
        </w:rPr>
      </w:pPr>
      <w:r w:rsidRPr="00BD50E4">
        <w:rPr>
          <w:rFonts w:ascii="Times New Roman" w:hAnsi="Times New Roman"/>
          <w:b/>
          <w:smallCaps/>
          <w:sz w:val="24"/>
          <w:szCs w:val="24"/>
          <w:lang w:eastAsia="lt-LT"/>
        </w:rPr>
        <w:t>V. GINČŲ SPRENDIMO TVARKA</w:t>
      </w:r>
    </w:p>
    <w:p w:rsidR="00F80065" w:rsidRPr="00BD50E4" w:rsidRDefault="00F80065" w:rsidP="00F80065">
      <w:pPr>
        <w:ind w:firstLine="568"/>
        <w:jc w:val="center"/>
        <w:rPr>
          <w:rFonts w:ascii="Times New Roman" w:hAnsi="Times New Roman"/>
          <w:sz w:val="24"/>
          <w:szCs w:val="24"/>
          <w:lang w:eastAsia="lt-LT"/>
        </w:rPr>
      </w:pPr>
    </w:p>
    <w:p w:rsidR="00F80065" w:rsidRPr="00AC36D8" w:rsidRDefault="00F80065" w:rsidP="00AC36D8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5.1.  Ginčai, kylantys dėl šios </w:t>
      </w:r>
      <w:r w:rsidR="00D23768">
        <w:rPr>
          <w:rFonts w:ascii="Times New Roman" w:hAnsi="Times New Roman"/>
          <w:sz w:val="24"/>
          <w:szCs w:val="24"/>
          <w:lang w:eastAsia="lt-LT"/>
        </w:rPr>
        <w:t>s</w:t>
      </w:r>
      <w:r w:rsidR="00D23768" w:rsidRPr="00AC36D8">
        <w:rPr>
          <w:rFonts w:ascii="Times New Roman" w:hAnsi="Times New Roman"/>
          <w:sz w:val="24"/>
          <w:szCs w:val="24"/>
          <w:lang w:eastAsia="lt-LT"/>
        </w:rPr>
        <w:t>utarties</w:t>
      </w:r>
      <w:r w:rsidRPr="00AC36D8">
        <w:rPr>
          <w:rFonts w:ascii="Times New Roman" w:hAnsi="Times New Roman"/>
          <w:sz w:val="24"/>
          <w:szCs w:val="24"/>
          <w:lang w:eastAsia="lt-LT"/>
        </w:rPr>
        <w:t>, sprendžiami Šalių susitarimu.</w:t>
      </w:r>
    </w:p>
    <w:p w:rsidR="00F80065" w:rsidRPr="00AC36D8" w:rsidRDefault="00F80065" w:rsidP="00AC36D8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>5.2. Nepavykus Šalims susitarti, ginčai sprendžiami Lietuvos Respublikos įstatymų nustatyta tvarka.</w:t>
      </w:r>
    </w:p>
    <w:p w:rsidR="00F80065" w:rsidRPr="00BD50E4" w:rsidRDefault="00F80065" w:rsidP="00F80065">
      <w:pPr>
        <w:tabs>
          <w:tab w:val="left" w:pos="3686"/>
        </w:tabs>
        <w:ind w:firstLine="720"/>
        <w:jc w:val="center"/>
        <w:rPr>
          <w:rFonts w:ascii="Times New Roman" w:hAnsi="Times New Roman"/>
          <w:b/>
          <w:smallCaps/>
          <w:sz w:val="24"/>
          <w:szCs w:val="24"/>
          <w:lang w:eastAsia="lt-LT"/>
        </w:rPr>
      </w:pPr>
    </w:p>
    <w:p w:rsidR="00F80065" w:rsidRPr="00BD50E4" w:rsidRDefault="00F80065" w:rsidP="00F80065">
      <w:pPr>
        <w:tabs>
          <w:tab w:val="left" w:pos="3686"/>
        </w:tabs>
        <w:jc w:val="center"/>
        <w:rPr>
          <w:rFonts w:ascii="Times New Roman" w:hAnsi="Times New Roman"/>
          <w:b/>
          <w:smallCaps/>
          <w:sz w:val="24"/>
          <w:szCs w:val="24"/>
          <w:lang w:eastAsia="lt-LT"/>
        </w:rPr>
      </w:pPr>
      <w:r w:rsidRPr="00BD50E4">
        <w:rPr>
          <w:rFonts w:ascii="Times New Roman" w:hAnsi="Times New Roman"/>
          <w:b/>
          <w:smallCaps/>
          <w:sz w:val="24"/>
          <w:szCs w:val="24"/>
          <w:lang w:eastAsia="lt-LT"/>
        </w:rPr>
        <w:t>VI. SUTARTIES GALIOJIMAS, NUTRAUKIMAS IR KEITIMAS</w:t>
      </w:r>
    </w:p>
    <w:p w:rsidR="00F80065" w:rsidRPr="00BD50E4" w:rsidRDefault="00F80065" w:rsidP="00F80065">
      <w:pPr>
        <w:rPr>
          <w:rFonts w:ascii="Times New Roman" w:hAnsi="Times New Roman"/>
          <w:sz w:val="24"/>
          <w:szCs w:val="24"/>
          <w:lang w:eastAsia="lt-LT"/>
        </w:rPr>
      </w:pPr>
    </w:p>
    <w:p w:rsidR="00F80065" w:rsidRPr="00AC36D8" w:rsidRDefault="00F80065" w:rsidP="00AC36D8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6.1. Ši </w:t>
      </w:r>
      <w:r w:rsidR="00D23768">
        <w:rPr>
          <w:rFonts w:ascii="Times New Roman" w:hAnsi="Times New Roman"/>
          <w:sz w:val="24"/>
          <w:szCs w:val="24"/>
          <w:lang w:eastAsia="lt-LT"/>
        </w:rPr>
        <w:t>s</w:t>
      </w:r>
      <w:r w:rsidR="00D23768" w:rsidRPr="00AC36D8">
        <w:rPr>
          <w:rFonts w:ascii="Times New Roman" w:hAnsi="Times New Roman"/>
          <w:sz w:val="24"/>
          <w:szCs w:val="24"/>
          <w:lang w:eastAsia="lt-LT"/>
        </w:rPr>
        <w:t xml:space="preserve">utartis 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įsigalioja jos pasirašymo dieną. Jeigu Sutartis Šalių pasirašoma ne tą pačią dieną, ji įsigalioja tą dieną, kai ją pasirašo antroji Šalis. </w:t>
      </w:r>
    </w:p>
    <w:p w:rsidR="00F80065" w:rsidRPr="00AC36D8" w:rsidRDefault="00F80065" w:rsidP="00AC36D8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6.2.  Ši </w:t>
      </w:r>
      <w:r w:rsidR="00D23768">
        <w:rPr>
          <w:rFonts w:ascii="Times New Roman" w:hAnsi="Times New Roman"/>
          <w:sz w:val="24"/>
          <w:szCs w:val="24"/>
          <w:lang w:eastAsia="lt-LT"/>
        </w:rPr>
        <w:t>s</w:t>
      </w:r>
      <w:r w:rsidR="00D23768" w:rsidRPr="00AC36D8">
        <w:rPr>
          <w:rFonts w:ascii="Times New Roman" w:hAnsi="Times New Roman"/>
          <w:sz w:val="24"/>
          <w:szCs w:val="24"/>
          <w:lang w:eastAsia="lt-LT"/>
        </w:rPr>
        <w:t xml:space="preserve">utartis </w:t>
      </w:r>
      <w:r w:rsidRPr="00AC36D8">
        <w:rPr>
          <w:rFonts w:ascii="Times New Roman" w:hAnsi="Times New Roman"/>
          <w:sz w:val="24"/>
          <w:szCs w:val="24"/>
          <w:lang w:eastAsia="lt-LT"/>
        </w:rPr>
        <w:t>neterminuota.</w:t>
      </w:r>
    </w:p>
    <w:p w:rsidR="00F80065" w:rsidRPr="00AC36D8" w:rsidRDefault="00F80065" w:rsidP="00AC36D8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6.3. </w:t>
      </w:r>
      <w:r w:rsidR="00D23768">
        <w:rPr>
          <w:rFonts w:ascii="Times New Roman" w:hAnsi="Times New Roman"/>
          <w:sz w:val="24"/>
          <w:szCs w:val="24"/>
          <w:lang w:eastAsia="lt-LT"/>
        </w:rPr>
        <w:t>Ši s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utartis netenka galios Šalių susitarimu nutraukti Sutartį arba vienos iš Šalių iniciatyva prieš 10 (dešimt) kalendorinių dienų raštu ar elektroniniu dokumentu įspėjus kitą Šalį. </w:t>
      </w:r>
    </w:p>
    <w:p w:rsidR="00F80065" w:rsidRPr="00AC36D8" w:rsidRDefault="00F80065" w:rsidP="00AC36D8">
      <w:pPr>
        <w:spacing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C36D8">
        <w:rPr>
          <w:rFonts w:ascii="Times New Roman" w:eastAsiaTheme="minorHAnsi" w:hAnsi="Times New Roman"/>
          <w:sz w:val="24"/>
          <w:szCs w:val="24"/>
        </w:rPr>
        <w:t xml:space="preserve">6.4. Šalims pakeitus ar papildžius šią </w:t>
      </w:r>
      <w:r w:rsidR="00D23768">
        <w:rPr>
          <w:rFonts w:ascii="Times New Roman" w:eastAsiaTheme="minorHAnsi" w:hAnsi="Times New Roman"/>
          <w:sz w:val="24"/>
          <w:szCs w:val="24"/>
        </w:rPr>
        <w:t>s</w:t>
      </w:r>
      <w:r w:rsidR="00D23768" w:rsidRPr="00AC36D8">
        <w:rPr>
          <w:rFonts w:ascii="Times New Roman" w:eastAsiaTheme="minorHAnsi" w:hAnsi="Times New Roman"/>
          <w:sz w:val="24"/>
          <w:szCs w:val="24"/>
        </w:rPr>
        <w:t>utartį</w:t>
      </w:r>
      <w:r w:rsidRPr="00AC36D8">
        <w:rPr>
          <w:rFonts w:ascii="Times New Roman" w:eastAsiaTheme="minorHAnsi" w:hAnsi="Times New Roman"/>
          <w:sz w:val="24"/>
          <w:szCs w:val="24"/>
        </w:rPr>
        <w:t xml:space="preserve">, Sutarties pakeitimai ir papildymai tampa neatskiriama šios </w:t>
      </w:r>
      <w:r w:rsidR="00D23768">
        <w:rPr>
          <w:rFonts w:ascii="Times New Roman" w:eastAsiaTheme="minorHAnsi" w:hAnsi="Times New Roman"/>
          <w:sz w:val="24"/>
          <w:szCs w:val="24"/>
        </w:rPr>
        <w:t>s</w:t>
      </w:r>
      <w:r w:rsidR="00D23768" w:rsidRPr="00AC36D8">
        <w:rPr>
          <w:rFonts w:ascii="Times New Roman" w:eastAsiaTheme="minorHAnsi" w:hAnsi="Times New Roman"/>
          <w:sz w:val="24"/>
          <w:szCs w:val="24"/>
        </w:rPr>
        <w:t xml:space="preserve">utarties </w:t>
      </w:r>
      <w:r w:rsidRPr="00AC36D8">
        <w:rPr>
          <w:rFonts w:ascii="Times New Roman" w:eastAsiaTheme="minorHAnsi" w:hAnsi="Times New Roman"/>
          <w:sz w:val="24"/>
          <w:szCs w:val="24"/>
        </w:rPr>
        <w:t xml:space="preserve">dalimi. Pasikeitus </w:t>
      </w:r>
      <w:r w:rsidR="00D23768" w:rsidRPr="00BD50E4">
        <w:rPr>
          <w:rFonts w:ascii="Times New Roman" w:hAnsi="Times New Roman"/>
          <w:sz w:val="24"/>
          <w:szCs w:val="24"/>
          <w:lang w:eastAsia="lt-LT"/>
        </w:rPr>
        <w:t>TEIKĖJO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TAIS naudotojų sąrašui, </w:t>
      </w:r>
      <w:r w:rsidRPr="00AC36D8">
        <w:rPr>
          <w:rFonts w:ascii="Times New Roman" w:eastAsiaTheme="minorHAnsi" w:hAnsi="Times New Roman"/>
          <w:sz w:val="24"/>
          <w:szCs w:val="24"/>
        </w:rPr>
        <w:t xml:space="preserve">susitarimas dėl Sutarties pakeitimo nesudaromas – naujos redakcijos </w:t>
      </w:r>
      <w:r w:rsidR="00D23768" w:rsidRPr="00BD50E4">
        <w:rPr>
          <w:rFonts w:ascii="Times New Roman" w:hAnsi="Times New Roman"/>
          <w:sz w:val="24"/>
          <w:szCs w:val="24"/>
          <w:lang w:eastAsia="lt-LT"/>
        </w:rPr>
        <w:t>TEIKĖJO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TAIS naudotojų sąrašą </w:t>
      </w:r>
      <w:r w:rsidRPr="00AC36D8">
        <w:rPr>
          <w:rFonts w:ascii="Times New Roman" w:eastAsiaTheme="minorHAnsi" w:hAnsi="Times New Roman"/>
          <w:sz w:val="24"/>
          <w:szCs w:val="24"/>
        </w:rPr>
        <w:t xml:space="preserve">pasirašo tik </w:t>
      </w:r>
      <w:r w:rsidR="00D23768" w:rsidRPr="00BD50E4">
        <w:rPr>
          <w:rFonts w:ascii="Times New Roman" w:eastAsiaTheme="minorHAnsi" w:hAnsi="Times New Roman"/>
          <w:sz w:val="24"/>
          <w:szCs w:val="24"/>
        </w:rPr>
        <w:t>TEIKĖJAS</w:t>
      </w:r>
      <w:r w:rsidRPr="00AC36D8">
        <w:rPr>
          <w:rFonts w:ascii="Times New Roman" w:eastAsiaTheme="minorHAnsi" w:hAnsi="Times New Roman"/>
          <w:sz w:val="24"/>
          <w:szCs w:val="24"/>
        </w:rPr>
        <w:t xml:space="preserve"> ir pateikia jį </w:t>
      </w:r>
      <w:r w:rsidR="00D23768" w:rsidRPr="00BD50E4">
        <w:rPr>
          <w:rFonts w:ascii="Times New Roman" w:eastAsiaTheme="minorHAnsi" w:hAnsi="Times New Roman"/>
          <w:sz w:val="24"/>
          <w:szCs w:val="24"/>
        </w:rPr>
        <w:t>VALDYTOJ</w:t>
      </w:r>
      <w:r w:rsidR="00D23768">
        <w:rPr>
          <w:rFonts w:ascii="Times New Roman" w:eastAsiaTheme="minorHAnsi" w:hAnsi="Times New Roman"/>
          <w:sz w:val="24"/>
          <w:szCs w:val="24"/>
        </w:rPr>
        <w:t>UI</w:t>
      </w:r>
      <w:r w:rsidRPr="00AC36D8">
        <w:rPr>
          <w:rFonts w:ascii="Times New Roman" w:eastAsiaTheme="minorHAnsi" w:hAnsi="Times New Roman"/>
          <w:sz w:val="24"/>
          <w:szCs w:val="24"/>
        </w:rPr>
        <w:t xml:space="preserve">.  </w:t>
      </w:r>
    </w:p>
    <w:p w:rsidR="00F80065" w:rsidRPr="00AC36D8" w:rsidRDefault="00F80065" w:rsidP="00AC36D8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6.5. Bet kokie pakeitimai, susiję su vienos iš Šalių teisinio statuso, pavadinimo, buveinės adreso ar kitų rekvizitų pakeitimais ar patikslinimais, pranešami kitai Šaliai raštu arba elektroniniu dokumentu per 3 (tris) darbo dienas nuo pakeitimo dienos. </w:t>
      </w:r>
    </w:p>
    <w:p w:rsidR="00F80065" w:rsidRPr="00BD50E4" w:rsidRDefault="00F80065" w:rsidP="006D2548">
      <w:pPr>
        <w:keepNext/>
        <w:outlineLvl w:val="7"/>
        <w:rPr>
          <w:rFonts w:ascii="Times New Roman" w:hAnsi="Times New Roman"/>
          <w:b/>
          <w:sz w:val="24"/>
          <w:szCs w:val="24"/>
          <w:lang w:eastAsia="lt-LT"/>
        </w:rPr>
      </w:pPr>
    </w:p>
    <w:p w:rsidR="00F80065" w:rsidRPr="00BD50E4" w:rsidRDefault="00F80065" w:rsidP="00F80065">
      <w:pPr>
        <w:keepNext/>
        <w:jc w:val="center"/>
        <w:outlineLvl w:val="7"/>
        <w:rPr>
          <w:rFonts w:ascii="Times New Roman" w:hAnsi="Times New Roman"/>
          <w:b/>
          <w:sz w:val="24"/>
          <w:szCs w:val="24"/>
          <w:lang w:eastAsia="lt-LT"/>
        </w:rPr>
      </w:pPr>
      <w:r w:rsidRPr="00BD50E4">
        <w:rPr>
          <w:rFonts w:ascii="Times New Roman" w:hAnsi="Times New Roman"/>
          <w:b/>
          <w:sz w:val="24"/>
          <w:szCs w:val="24"/>
          <w:lang w:eastAsia="lt-LT"/>
        </w:rPr>
        <w:t>VII. BAIGIAMOSIOS NUOSTATOS</w:t>
      </w:r>
    </w:p>
    <w:p w:rsidR="00F80065" w:rsidRPr="00BD50E4" w:rsidRDefault="00F80065" w:rsidP="00F80065">
      <w:pPr>
        <w:keepNext/>
        <w:jc w:val="center"/>
        <w:outlineLvl w:val="7"/>
        <w:rPr>
          <w:rFonts w:ascii="Times New Roman" w:hAnsi="Times New Roman"/>
          <w:b/>
          <w:sz w:val="24"/>
          <w:szCs w:val="24"/>
          <w:lang w:eastAsia="lt-LT"/>
        </w:rPr>
      </w:pPr>
    </w:p>
    <w:p w:rsidR="00F80065" w:rsidRPr="00AC36D8" w:rsidRDefault="00F80065" w:rsidP="00AC36D8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7.1. Sutarties priedas </w:t>
      </w:r>
      <w:r w:rsidRPr="00AC36D8">
        <w:rPr>
          <w:rFonts w:ascii="Times New Roman" w:eastAsiaTheme="minorHAnsi" w:hAnsi="Times New Roman"/>
          <w:sz w:val="24"/>
          <w:szCs w:val="24"/>
        </w:rPr>
        <w:t>,,Asmenų, atsakingų už duomenų teikimą Teisės aktų informacinei sistemai, sąrašo formos pavyzdys“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 yra neatskiriama šios </w:t>
      </w:r>
      <w:r w:rsidR="00D23768">
        <w:rPr>
          <w:rFonts w:ascii="Times New Roman" w:hAnsi="Times New Roman"/>
          <w:sz w:val="24"/>
          <w:szCs w:val="24"/>
          <w:lang w:eastAsia="lt-LT"/>
        </w:rPr>
        <w:t>s</w:t>
      </w:r>
      <w:r w:rsidR="00D23768" w:rsidRPr="00AC36D8">
        <w:rPr>
          <w:rFonts w:ascii="Times New Roman" w:hAnsi="Times New Roman"/>
          <w:sz w:val="24"/>
          <w:szCs w:val="24"/>
          <w:lang w:eastAsia="lt-LT"/>
        </w:rPr>
        <w:t xml:space="preserve">utarties </w:t>
      </w:r>
      <w:r w:rsidRPr="00AC36D8">
        <w:rPr>
          <w:rFonts w:ascii="Times New Roman" w:hAnsi="Times New Roman"/>
          <w:sz w:val="24"/>
          <w:szCs w:val="24"/>
          <w:lang w:eastAsia="lt-LT"/>
        </w:rPr>
        <w:t xml:space="preserve">dalis. </w:t>
      </w:r>
    </w:p>
    <w:p w:rsidR="00F80065" w:rsidRPr="00AC36D8" w:rsidRDefault="00F80065" w:rsidP="00AC36D8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lt-LT"/>
        </w:rPr>
      </w:pPr>
      <w:r w:rsidRPr="00AC36D8">
        <w:rPr>
          <w:rFonts w:ascii="Times New Roman" w:hAnsi="Times New Roman"/>
          <w:sz w:val="24"/>
          <w:szCs w:val="24"/>
          <w:lang w:eastAsia="lt-LT"/>
        </w:rPr>
        <w:t xml:space="preserve">7.2. Sutartis sudaryta dviem egzemplioriais, turinčiais vienodą teisinę galią, po vieną egzempliorių kiekvienai Šaliai. </w:t>
      </w:r>
    </w:p>
    <w:p w:rsidR="00D23768" w:rsidRPr="00BD50E4" w:rsidRDefault="00D23768" w:rsidP="00F80065">
      <w:pPr>
        <w:ind w:left="1800"/>
        <w:contextualSpacing/>
        <w:rPr>
          <w:rFonts w:ascii="Times New Roman" w:hAnsi="Times New Roman"/>
          <w:b/>
          <w:bCs/>
          <w:sz w:val="24"/>
          <w:szCs w:val="24"/>
          <w:lang w:eastAsia="lt-LT"/>
        </w:rPr>
      </w:pPr>
    </w:p>
    <w:p w:rsidR="00F80065" w:rsidRPr="00BD50E4" w:rsidRDefault="00F80065" w:rsidP="003A5AA4">
      <w:pPr>
        <w:keepNext/>
        <w:jc w:val="center"/>
        <w:rPr>
          <w:rFonts w:ascii="Times New Roman" w:hAnsi="Times New Roman"/>
          <w:b/>
          <w:bCs/>
          <w:sz w:val="24"/>
          <w:szCs w:val="24"/>
          <w:lang w:eastAsia="lt-LT"/>
        </w:rPr>
      </w:pPr>
      <w:r w:rsidRPr="00BD50E4">
        <w:rPr>
          <w:rFonts w:ascii="Times New Roman" w:hAnsi="Times New Roman"/>
          <w:b/>
          <w:bCs/>
          <w:sz w:val="24"/>
          <w:szCs w:val="24"/>
          <w:lang w:eastAsia="lt-LT"/>
        </w:rPr>
        <w:lastRenderedPageBreak/>
        <w:t>VIII. ŠALIŲ REKVIZITAI</w:t>
      </w:r>
    </w:p>
    <w:p w:rsidR="00F80065" w:rsidRPr="00BD50E4" w:rsidRDefault="00F80065" w:rsidP="003A5AA4">
      <w:pPr>
        <w:keepNext/>
        <w:jc w:val="center"/>
        <w:rPr>
          <w:rFonts w:ascii="Times New Roman" w:hAnsi="Times New Roman"/>
          <w:b/>
          <w:bCs/>
          <w:sz w:val="24"/>
          <w:szCs w:val="24"/>
          <w:lang w:eastAsia="lt-LT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067AE8" w:rsidRPr="00067AE8" w:rsidTr="00674981">
        <w:trPr>
          <w:trHeight w:val="2562"/>
        </w:trPr>
        <w:tc>
          <w:tcPr>
            <w:tcW w:w="5353" w:type="dxa"/>
          </w:tcPr>
          <w:p w:rsidR="00067AE8" w:rsidRPr="00067AE8" w:rsidRDefault="00067AE8" w:rsidP="00674981">
            <w:pPr>
              <w:widowControl w:val="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TEIKĖJAS</w:t>
            </w:r>
          </w:p>
          <w:p w:rsidR="00067AE8" w:rsidRPr="00067AE8" w:rsidRDefault="00067AE8" w:rsidP="00674981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067AE8" w:rsidRPr="00067AE8" w:rsidRDefault="00067AE8" w:rsidP="00674981">
            <w:pPr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__________________________________________ (</w:t>
            </w:r>
            <w:r w:rsidRPr="00067AE8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įstaigos pavadinimas</w:t>
            </w: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)</w:t>
            </w:r>
          </w:p>
          <w:p w:rsidR="00067AE8" w:rsidRPr="00067AE8" w:rsidRDefault="00067AE8" w:rsidP="00674981">
            <w:pPr>
              <w:ind w:left="4770" w:right="-760" w:hanging="477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__________________________________________ </w:t>
            </w:r>
          </w:p>
          <w:p w:rsidR="00067AE8" w:rsidRPr="00067AE8" w:rsidRDefault="00067AE8" w:rsidP="00674981">
            <w:pPr>
              <w:ind w:left="4770" w:right="-760" w:hanging="477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(</w:t>
            </w:r>
            <w:r w:rsidRPr="00067AE8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adresas</w:t>
            </w: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)</w:t>
            </w:r>
          </w:p>
          <w:p w:rsidR="00067AE8" w:rsidRPr="00067AE8" w:rsidRDefault="00067AE8" w:rsidP="00674981">
            <w:pPr>
              <w:widowControl w:val="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__________________________________________ </w:t>
            </w:r>
          </w:p>
          <w:p w:rsidR="00067AE8" w:rsidRPr="00067AE8" w:rsidRDefault="00067AE8" w:rsidP="00674981">
            <w:pPr>
              <w:widowControl w:val="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(</w:t>
            </w:r>
            <w:r w:rsidRPr="00067AE8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atsiskaitomosios sąskaitos numeris</w:t>
            </w: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)</w:t>
            </w:r>
          </w:p>
          <w:p w:rsidR="00067AE8" w:rsidRPr="00067AE8" w:rsidRDefault="00067AE8" w:rsidP="00674981">
            <w:pPr>
              <w:widowControl w:val="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__________________________________________ </w:t>
            </w:r>
          </w:p>
          <w:p w:rsidR="00067AE8" w:rsidRPr="00067AE8" w:rsidRDefault="00067AE8" w:rsidP="00674981">
            <w:pPr>
              <w:widowControl w:val="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(</w:t>
            </w:r>
            <w:r w:rsidRPr="00067AE8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juridinio asmens kodas</w:t>
            </w: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)</w:t>
            </w:r>
          </w:p>
          <w:p w:rsidR="00067AE8" w:rsidRPr="00067AE8" w:rsidRDefault="00067AE8" w:rsidP="00674981">
            <w:pPr>
              <w:widowControl w:val="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__________________________________________ </w:t>
            </w:r>
          </w:p>
          <w:p w:rsidR="00067AE8" w:rsidRPr="00067AE8" w:rsidRDefault="00067AE8" w:rsidP="00674981">
            <w:pPr>
              <w:widowControl w:val="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(</w:t>
            </w:r>
            <w:r w:rsidRPr="00067AE8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PVM mokėtojo kodas</w:t>
            </w: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)</w:t>
            </w:r>
          </w:p>
          <w:p w:rsidR="00067AE8" w:rsidRPr="00067AE8" w:rsidRDefault="00067AE8" w:rsidP="00674981">
            <w:pPr>
              <w:widowControl w:val="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__________________________________________ </w:t>
            </w:r>
          </w:p>
          <w:p w:rsidR="00067AE8" w:rsidRPr="00067AE8" w:rsidRDefault="00067AE8" w:rsidP="00674981">
            <w:pPr>
              <w:widowControl w:val="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(</w:t>
            </w:r>
            <w:r w:rsidRPr="00067AE8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el. pašto adresas</w:t>
            </w: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4536" w:type="dxa"/>
          </w:tcPr>
          <w:p w:rsidR="00067AE8" w:rsidRPr="00067AE8" w:rsidRDefault="00067AE8" w:rsidP="00674981">
            <w:pPr>
              <w:widowControl w:val="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VALDYTOJAS</w:t>
            </w:r>
          </w:p>
          <w:p w:rsidR="00067AE8" w:rsidRPr="00067AE8" w:rsidRDefault="00067AE8" w:rsidP="00674981">
            <w:pPr>
              <w:widowControl w:val="0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067AE8" w:rsidRPr="00067AE8" w:rsidRDefault="00067AE8" w:rsidP="00674981">
            <w:pPr>
              <w:ind w:left="4770" w:right="-760" w:hanging="477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Lietuvos Respublikos Seimo kanceliarija</w:t>
            </w:r>
          </w:p>
          <w:p w:rsidR="00067AE8" w:rsidRPr="00067AE8" w:rsidRDefault="00067AE8" w:rsidP="00674981">
            <w:pPr>
              <w:ind w:left="4770" w:right="-760" w:hanging="477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Gedimino pr. 53, LT-01109 Vilnius</w:t>
            </w:r>
          </w:p>
          <w:p w:rsidR="00067AE8" w:rsidRPr="00067AE8" w:rsidRDefault="00067AE8" w:rsidP="00674981">
            <w:pPr>
              <w:ind w:left="4770" w:right="-760" w:hanging="477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a. s. </w:t>
            </w:r>
            <w:r w:rsidRPr="00067AE8">
              <w:rPr>
                <w:rFonts w:ascii="Times New Roman" w:hAnsi="Times New Roman"/>
                <w:sz w:val="24"/>
                <w:szCs w:val="24"/>
              </w:rPr>
              <w:t>LT237300010002457137</w:t>
            </w:r>
          </w:p>
          <w:p w:rsidR="00067AE8" w:rsidRPr="00067AE8" w:rsidRDefault="00603DEB" w:rsidP="00674981">
            <w:pPr>
              <w:ind w:left="4770" w:right="-760" w:hanging="477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„</w:t>
            </w:r>
            <w:r w:rsidR="00067AE8"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Swedbank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“</w:t>
            </w:r>
            <w:r w:rsidR="00067AE8"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AB </w:t>
            </w:r>
          </w:p>
          <w:p w:rsidR="00067AE8" w:rsidRPr="00067AE8" w:rsidRDefault="00067AE8" w:rsidP="00674981">
            <w:pPr>
              <w:ind w:left="4770" w:right="-760" w:hanging="477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Banko kodas 73000</w:t>
            </w:r>
          </w:p>
          <w:p w:rsidR="00067AE8" w:rsidRPr="00067AE8" w:rsidRDefault="00067AE8" w:rsidP="00674981">
            <w:pPr>
              <w:ind w:left="4770" w:right="-760" w:hanging="477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Juridinio asmens kodas 188605295</w:t>
            </w:r>
          </w:p>
          <w:p w:rsidR="00067AE8" w:rsidRPr="00067AE8" w:rsidRDefault="00067AE8" w:rsidP="00674981">
            <w:pPr>
              <w:widowControl w:val="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PVM mokėtojo kodas LT886052917</w:t>
            </w:r>
          </w:p>
          <w:p w:rsidR="00067AE8" w:rsidRPr="00067AE8" w:rsidRDefault="00067AE8" w:rsidP="00674981">
            <w:pPr>
              <w:widowControl w:val="0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El. p. priim</w:t>
            </w:r>
            <w:r w:rsidRPr="00067AE8">
              <w:rPr>
                <w:rFonts w:ascii="Times New Roman" w:hAnsi="Times New Roman"/>
                <w:sz w:val="24"/>
                <w:szCs w:val="24"/>
                <w:lang w:val="en-US" w:eastAsia="lt-LT"/>
              </w:rPr>
              <w:t>@lrs.lt</w:t>
            </w:r>
          </w:p>
        </w:tc>
      </w:tr>
      <w:tr w:rsidR="00067AE8" w:rsidRPr="00067AE8" w:rsidTr="00674981">
        <w:tc>
          <w:tcPr>
            <w:tcW w:w="5353" w:type="dxa"/>
          </w:tcPr>
          <w:p w:rsidR="00067AE8" w:rsidRPr="00067AE8" w:rsidRDefault="00067AE8" w:rsidP="00674981">
            <w:pPr>
              <w:rPr>
                <w:rFonts w:ascii="Times New Roman" w:hAnsi="Times New Roman"/>
                <w:caps/>
                <w:sz w:val="24"/>
                <w:szCs w:val="24"/>
                <w:lang w:eastAsia="lt-LT"/>
              </w:rPr>
            </w:pPr>
          </w:p>
          <w:p w:rsidR="00067AE8" w:rsidRPr="00067AE8" w:rsidRDefault="00067AE8" w:rsidP="00674981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__________________________________________</w:t>
            </w:r>
          </w:p>
          <w:p w:rsidR="00067AE8" w:rsidRPr="00067AE8" w:rsidRDefault="00067AE8" w:rsidP="00674981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(</w:t>
            </w:r>
            <w:r w:rsidRPr="00067AE8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pareigos</w:t>
            </w: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)    A. V.</w:t>
            </w:r>
          </w:p>
        </w:tc>
        <w:tc>
          <w:tcPr>
            <w:tcW w:w="4536" w:type="dxa"/>
          </w:tcPr>
          <w:p w:rsidR="00603DEB" w:rsidRPr="00603DEB" w:rsidRDefault="00603DEB" w:rsidP="00603DE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603DE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Dokumentų departamento </w:t>
            </w:r>
          </w:p>
          <w:p w:rsidR="00067AE8" w:rsidRPr="00067AE8" w:rsidRDefault="00603DEB" w:rsidP="00603DE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603DEB">
              <w:rPr>
                <w:rFonts w:ascii="Times New Roman" w:hAnsi="Times New Roman"/>
                <w:sz w:val="24"/>
                <w:szCs w:val="24"/>
                <w:lang w:eastAsia="lt-LT"/>
              </w:rPr>
              <w:t>Teisės aktų registro skyriaus vedėja A. V.</w:t>
            </w:r>
          </w:p>
        </w:tc>
      </w:tr>
      <w:tr w:rsidR="00067AE8" w:rsidRPr="00067AE8" w:rsidTr="00674981">
        <w:tc>
          <w:tcPr>
            <w:tcW w:w="5353" w:type="dxa"/>
          </w:tcPr>
          <w:p w:rsidR="00067AE8" w:rsidRPr="00067AE8" w:rsidRDefault="00067AE8" w:rsidP="00674981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__________________________________________</w:t>
            </w:r>
          </w:p>
          <w:p w:rsidR="00067AE8" w:rsidRPr="00067AE8" w:rsidRDefault="00067AE8" w:rsidP="00674981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(</w:t>
            </w:r>
            <w:r w:rsidRPr="00067AE8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vardas ir pavardė</w:t>
            </w: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)</w:t>
            </w:r>
          </w:p>
          <w:p w:rsidR="00067AE8" w:rsidRPr="00067AE8" w:rsidRDefault="00067AE8" w:rsidP="00674981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067AE8" w:rsidRPr="00067AE8" w:rsidRDefault="00067AE8" w:rsidP="00674981">
            <w:pPr>
              <w:rPr>
                <w:rFonts w:ascii="Times New Roman" w:hAnsi="Times New Roman"/>
                <w:caps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_______________________</w:t>
            </w: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br/>
              <w:t>(</w:t>
            </w:r>
            <w:r w:rsidRPr="00067AE8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parašas, jeigu nebus pasirašoma elektroniniu parašu</w:t>
            </w: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4536" w:type="dxa"/>
          </w:tcPr>
          <w:p w:rsidR="00067AE8" w:rsidRPr="00067AE8" w:rsidRDefault="00734CDE" w:rsidP="00674981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Auksė Ruebens</w:t>
            </w:r>
          </w:p>
          <w:p w:rsidR="00067AE8" w:rsidRPr="00067AE8" w:rsidRDefault="00067AE8" w:rsidP="00674981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067AE8" w:rsidRPr="00067AE8" w:rsidRDefault="00067AE8" w:rsidP="00674981">
            <w:pPr>
              <w:rPr>
                <w:rFonts w:ascii="Times New Roman" w:hAnsi="Times New Roman"/>
                <w:caps/>
                <w:sz w:val="24"/>
                <w:szCs w:val="24"/>
                <w:lang w:eastAsia="lt-LT"/>
              </w:rPr>
            </w:pP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_______________________</w:t>
            </w: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br/>
              <w:t>(</w:t>
            </w:r>
            <w:r w:rsidRPr="00067AE8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parašas, jeigu nebus pasirašoma elektroniniu parašu</w:t>
            </w:r>
            <w:r w:rsidRPr="00067AE8">
              <w:rPr>
                <w:rFonts w:ascii="Times New Roman" w:hAnsi="Times New Roman"/>
                <w:sz w:val="24"/>
                <w:szCs w:val="24"/>
                <w:lang w:eastAsia="lt-LT"/>
              </w:rPr>
              <w:t>)“</w:t>
            </w:r>
          </w:p>
        </w:tc>
      </w:tr>
      <w:tr w:rsidR="00067AE8" w:rsidRPr="00067AE8" w:rsidTr="00674981">
        <w:tc>
          <w:tcPr>
            <w:tcW w:w="5353" w:type="dxa"/>
          </w:tcPr>
          <w:p w:rsidR="00067AE8" w:rsidRPr="00067AE8" w:rsidRDefault="00067AE8" w:rsidP="00674981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</w:tcPr>
          <w:p w:rsidR="00067AE8" w:rsidRPr="00067AE8" w:rsidRDefault="00067AE8" w:rsidP="00674981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</w:tbl>
    <w:p w:rsidR="00F80065" w:rsidRPr="00BD50E4" w:rsidRDefault="00F80065" w:rsidP="00F80065">
      <w:pPr>
        <w:ind w:left="284"/>
        <w:rPr>
          <w:rFonts w:ascii="Times New Roman" w:hAnsi="Times New Roman"/>
          <w:sz w:val="24"/>
          <w:szCs w:val="24"/>
          <w:lang w:eastAsia="lt-LT"/>
        </w:rPr>
      </w:pPr>
      <w:r w:rsidRPr="00BD50E4">
        <w:rPr>
          <w:rFonts w:ascii="Times New Roman" w:hAnsi="Times New Roman"/>
          <w:sz w:val="24"/>
          <w:szCs w:val="24"/>
          <w:lang w:eastAsia="lt-LT"/>
        </w:rPr>
        <w:tab/>
      </w:r>
      <w:r w:rsidRPr="00BD50E4">
        <w:rPr>
          <w:rFonts w:ascii="Times New Roman" w:hAnsi="Times New Roman"/>
          <w:sz w:val="24"/>
          <w:szCs w:val="24"/>
          <w:lang w:eastAsia="lt-LT"/>
        </w:rPr>
        <w:tab/>
      </w:r>
    </w:p>
    <w:p w:rsidR="00F80065" w:rsidRPr="00BD50E4" w:rsidRDefault="00F80065" w:rsidP="00F80065">
      <w:pPr>
        <w:spacing w:after="200"/>
        <w:rPr>
          <w:rFonts w:ascii="Times New Roman" w:hAnsi="Times New Roman"/>
          <w:sz w:val="24"/>
          <w:szCs w:val="24"/>
        </w:rPr>
        <w:sectPr w:rsidR="00F80065" w:rsidRPr="00BD50E4" w:rsidSect="00BD50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2240" w:h="15840" w:code="1"/>
          <w:pgMar w:top="1134" w:right="567" w:bottom="1134" w:left="1701" w:header="709" w:footer="709" w:gutter="0"/>
          <w:pgNumType w:start="1"/>
          <w:cols w:space="1296"/>
          <w:titlePg/>
          <w:docGrid w:linePitch="299"/>
        </w:sectPr>
      </w:pPr>
      <w:bookmarkStart w:id="0" w:name="_GoBack"/>
      <w:bookmarkEnd w:id="0"/>
    </w:p>
    <w:tbl>
      <w:tblPr>
        <w:tblpPr w:leftFromText="180" w:rightFromText="180" w:vertAnchor="text" w:horzAnchor="margin" w:tblpXSpec="right" w:tblpY="-186"/>
        <w:tblW w:w="0" w:type="auto"/>
        <w:tblLook w:val="0000" w:firstRow="0" w:lastRow="0" w:firstColumn="0" w:lastColumn="0" w:noHBand="0" w:noVBand="0"/>
      </w:tblPr>
      <w:tblGrid>
        <w:gridCol w:w="4379"/>
      </w:tblGrid>
      <w:tr w:rsidR="00F80065" w:rsidRPr="00BD50E4" w:rsidTr="00EA627D">
        <w:trPr>
          <w:trHeight w:val="651"/>
        </w:trPr>
        <w:tc>
          <w:tcPr>
            <w:tcW w:w="4379" w:type="dxa"/>
          </w:tcPr>
          <w:p w:rsidR="00F80065" w:rsidRPr="00AC36D8" w:rsidRDefault="00F80065" w:rsidP="00F80065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C36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Duomenų teikimo Teisės aktų </w:t>
            </w:r>
          </w:p>
          <w:p w:rsidR="00F80065" w:rsidRPr="00AC36D8" w:rsidRDefault="00F80065" w:rsidP="00F80065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C36D8">
              <w:rPr>
                <w:rFonts w:ascii="Times New Roman" w:hAnsi="Times New Roman"/>
                <w:sz w:val="24"/>
                <w:szCs w:val="24"/>
              </w:rPr>
              <w:t xml:space="preserve">informacinei sistemai </w:t>
            </w:r>
          </w:p>
          <w:p w:rsidR="00F80065" w:rsidRPr="00AC36D8" w:rsidRDefault="00F80065" w:rsidP="00F80065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C36D8">
              <w:rPr>
                <w:rFonts w:ascii="Times New Roman" w:hAnsi="Times New Roman"/>
                <w:sz w:val="24"/>
                <w:szCs w:val="24"/>
              </w:rPr>
              <w:t>sutarties Nr.________________________</w:t>
            </w:r>
          </w:p>
          <w:p w:rsidR="00F80065" w:rsidRPr="00BD50E4" w:rsidRDefault="00F80065" w:rsidP="00F80065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C36D8">
              <w:rPr>
                <w:rFonts w:ascii="Times New Roman" w:hAnsi="Times New Roman"/>
                <w:sz w:val="24"/>
                <w:szCs w:val="24"/>
              </w:rPr>
              <w:t>priedas</w:t>
            </w:r>
            <w:r w:rsidRPr="00BD50E4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F80065" w:rsidRPr="00BD50E4" w:rsidRDefault="00F80065" w:rsidP="00F80065">
      <w:pPr>
        <w:overflowPunct w:val="0"/>
        <w:autoSpaceDE w:val="0"/>
        <w:autoSpaceDN w:val="0"/>
        <w:adjustRightInd w:val="0"/>
        <w:ind w:firstLine="3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80065" w:rsidRPr="00BD50E4" w:rsidRDefault="00F80065" w:rsidP="00F80065">
      <w:pPr>
        <w:tabs>
          <w:tab w:val="center" w:pos="4819"/>
          <w:tab w:val="right" w:pos="9638"/>
        </w:tabs>
        <w:ind w:left="3402"/>
        <w:jc w:val="center"/>
        <w:rPr>
          <w:rFonts w:ascii="Times New Roman" w:eastAsiaTheme="minorHAnsi" w:hAnsi="Times New Roman"/>
          <w:sz w:val="24"/>
          <w:szCs w:val="24"/>
        </w:rPr>
      </w:pPr>
    </w:p>
    <w:p w:rsidR="00F80065" w:rsidRPr="00BD50E4" w:rsidRDefault="00F80065" w:rsidP="00F80065">
      <w:pPr>
        <w:tabs>
          <w:tab w:val="left" w:pos="3969"/>
        </w:tabs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F80065" w:rsidRPr="00BD50E4" w:rsidRDefault="00F80065" w:rsidP="00F80065">
      <w:pPr>
        <w:tabs>
          <w:tab w:val="left" w:pos="3969"/>
        </w:tabs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80065" w:rsidRPr="00BD50E4" w:rsidRDefault="00F80065" w:rsidP="00067AE8">
      <w:pPr>
        <w:tabs>
          <w:tab w:val="left" w:pos="3969"/>
        </w:tabs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50E4">
        <w:rPr>
          <w:rFonts w:ascii="Times New Roman" w:eastAsiaTheme="minorHAnsi" w:hAnsi="Times New Roman"/>
          <w:b/>
          <w:sz w:val="24"/>
          <w:szCs w:val="24"/>
        </w:rPr>
        <w:t>(</w:t>
      </w:r>
      <w:r w:rsidRPr="00BD50E4">
        <w:rPr>
          <w:rFonts w:ascii="Times New Roman" w:hAnsi="Times New Roman"/>
          <w:b/>
          <w:sz w:val="24"/>
          <w:szCs w:val="24"/>
          <w:lang w:eastAsia="lt-LT"/>
        </w:rPr>
        <w:t xml:space="preserve">Asmenų, atsakingų už duomenų teikimą </w:t>
      </w:r>
      <w:r w:rsidRPr="00BD50E4">
        <w:rPr>
          <w:rFonts w:ascii="Times New Roman" w:eastAsiaTheme="minorHAnsi" w:hAnsi="Times New Roman"/>
          <w:b/>
          <w:sz w:val="24"/>
          <w:szCs w:val="24"/>
        </w:rPr>
        <w:t>Teisės aktų informacinei sistemai, sąrašo formos pavyzdys)</w:t>
      </w:r>
    </w:p>
    <w:p w:rsidR="00F80065" w:rsidRPr="00BD50E4" w:rsidRDefault="00F80065" w:rsidP="00067AE8">
      <w:pPr>
        <w:tabs>
          <w:tab w:val="left" w:pos="3969"/>
        </w:tabs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F80065" w:rsidRPr="00BD50E4" w:rsidRDefault="00F80065" w:rsidP="00067AE8">
      <w:pPr>
        <w:tabs>
          <w:tab w:val="center" w:pos="4819"/>
          <w:tab w:val="right" w:pos="9638"/>
        </w:tabs>
        <w:jc w:val="center"/>
        <w:rPr>
          <w:rFonts w:ascii="Times New Roman" w:eastAsiaTheme="minorHAnsi" w:hAnsi="Times New Roman"/>
          <w:sz w:val="24"/>
          <w:szCs w:val="24"/>
        </w:rPr>
      </w:pPr>
      <w:r w:rsidRPr="00BD50E4">
        <w:rPr>
          <w:rFonts w:ascii="Times New Roman" w:eastAsiaTheme="minorHAnsi" w:hAnsi="Times New Roman"/>
          <w:sz w:val="24"/>
          <w:szCs w:val="24"/>
        </w:rPr>
        <w:t>___________________________________________________</w:t>
      </w:r>
    </w:p>
    <w:p w:rsidR="00F80065" w:rsidRPr="00BD50E4" w:rsidRDefault="00F80065" w:rsidP="00067AE8">
      <w:pPr>
        <w:tabs>
          <w:tab w:val="center" w:pos="4819"/>
          <w:tab w:val="right" w:pos="9638"/>
        </w:tabs>
        <w:jc w:val="center"/>
        <w:rPr>
          <w:rFonts w:ascii="Times New Roman" w:eastAsiaTheme="minorHAnsi" w:hAnsi="Times New Roman"/>
          <w:sz w:val="24"/>
          <w:szCs w:val="24"/>
        </w:rPr>
      </w:pPr>
      <w:r w:rsidRPr="00BD50E4">
        <w:rPr>
          <w:rFonts w:ascii="Times New Roman" w:eastAsiaTheme="minorHAnsi" w:hAnsi="Times New Roman"/>
          <w:sz w:val="24"/>
          <w:szCs w:val="24"/>
        </w:rPr>
        <w:t>(</w:t>
      </w:r>
      <w:r w:rsidRPr="00BD50E4">
        <w:rPr>
          <w:rFonts w:ascii="Times New Roman" w:eastAsiaTheme="minorHAnsi" w:hAnsi="Times New Roman"/>
          <w:i/>
          <w:sz w:val="24"/>
          <w:szCs w:val="24"/>
        </w:rPr>
        <w:t>įstaigos pavadinimas</w:t>
      </w:r>
      <w:r w:rsidRPr="00BD50E4">
        <w:rPr>
          <w:rFonts w:ascii="Times New Roman" w:eastAsiaTheme="minorHAnsi" w:hAnsi="Times New Roman"/>
          <w:sz w:val="24"/>
          <w:szCs w:val="24"/>
        </w:rPr>
        <w:t>)</w:t>
      </w:r>
    </w:p>
    <w:p w:rsidR="00F80065" w:rsidRPr="00BD50E4" w:rsidRDefault="00F80065" w:rsidP="00067AE8">
      <w:pPr>
        <w:tabs>
          <w:tab w:val="left" w:pos="3969"/>
        </w:tabs>
        <w:rPr>
          <w:rFonts w:ascii="Times New Roman" w:eastAsiaTheme="minorHAnsi" w:hAnsi="Times New Roman"/>
          <w:b/>
          <w:sz w:val="24"/>
          <w:szCs w:val="24"/>
        </w:rPr>
      </w:pPr>
    </w:p>
    <w:p w:rsidR="00F80065" w:rsidRPr="00BD50E4" w:rsidRDefault="00F80065" w:rsidP="00067AE8">
      <w:pPr>
        <w:tabs>
          <w:tab w:val="left" w:pos="3969"/>
        </w:tabs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50E4">
        <w:rPr>
          <w:rFonts w:ascii="Times New Roman" w:hAnsi="Times New Roman"/>
          <w:b/>
          <w:sz w:val="24"/>
          <w:szCs w:val="24"/>
          <w:lang w:eastAsia="lt-LT"/>
        </w:rPr>
        <w:t xml:space="preserve">ASMENŲ, ATSAKINGŲ UŽ DUOMENŲ TEIKIMĄ </w:t>
      </w:r>
      <w:r w:rsidRPr="00BD50E4">
        <w:rPr>
          <w:rFonts w:ascii="Times New Roman" w:eastAsiaTheme="minorHAnsi" w:hAnsi="Times New Roman"/>
          <w:b/>
          <w:sz w:val="24"/>
          <w:szCs w:val="24"/>
        </w:rPr>
        <w:t>TEISĖS AKTŲ INFORMACINEI SISTEMAI,</w:t>
      </w:r>
    </w:p>
    <w:p w:rsidR="00F80065" w:rsidRPr="00BD50E4" w:rsidRDefault="00F80065" w:rsidP="00067AE8">
      <w:pPr>
        <w:tabs>
          <w:tab w:val="left" w:pos="3969"/>
        </w:tabs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50E4">
        <w:rPr>
          <w:rFonts w:ascii="Times New Roman" w:eastAsiaTheme="minorHAnsi" w:hAnsi="Times New Roman"/>
          <w:b/>
          <w:sz w:val="24"/>
          <w:szCs w:val="24"/>
        </w:rPr>
        <w:t>SĄRAŠAS</w:t>
      </w:r>
    </w:p>
    <w:p w:rsidR="00F80065" w:rsidRPr="00BD50E4" w:rsidRDefault="00F80065" w:rsidP="00067AE8">
      <w:pPr>
        <w:tabs>
          <w:tab w:val="left" w:pos="3969"/>
        </w:tabs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50E4">
        <w:rPr>
          <w:rFonts w:ascii="Times New Roman" w:eastAsiaTheme="minorHAnsi" w:hAnsi="Times New Roman"/>
          <w:b/>
          <w:sz w:val="24"/>
          <w:szCs w:val="24"/>
        </w:rPr>
        <w:t>____________________________</w:t>
      </w:r>
    </w:p>
    <w:p w:rsidR="00F80065" w:rsidRPr="00BD50E4" w:rsidRDefault="00F80065" w:rsidP="00067AE8">
      <w:pPr>
        <w:tabs>
          <w:tab w:val="center" w:pos="4819"/>
          <w:tab w:val="right" w:pos="9638"/>
        </w:tabs>
        <w:jc w:val="center"/>
        <w:rPr>
          <w:rFonts w:ascii="Times New Roman" w:eastAsiaTheme="minorHAnsi" w:hAnsi="Times New Roman"/>
          <w:sz w:val="24"/>
          <w:szCs w:val="24"/>
        </w:rPr>
      </w:pPr>
      <w:r w:rsidRPr="00BD50E4">
        <w:rPr>
          <w:rFonts w:ascii="Times New Roman" w:eastAsiaTheme="minorHAnsi" w:hAnsi="Times New Roman"/>
          <w:sz w:val="24"/>
          <w:szCs w:val="24"/>
        </w:rPr>
        <w:t>(</w:t>
      </w:r>
      <w:r w:rsidRPr="00BD50E4">
        <w:rPr>
          <w:rFonts w:ascii="Times New Roman" w:eastAsiaTheme="minorHAnsi" w:hAnsi="Times New Roman"/>
          <w:i/>
          <w:sz w:val="24"/>
          <w:szCs w:val="24"/>
        </w:rPr>
        <w:t>data</w:t>
      </w:r>
      <w:r w:rsidRPr="00BD50E4">
        <w:rPr>
          <w:rFonts w:ascii="Times New Roman" w:eastAsiaTheme="minorHAnsi" w:hAnsi="Times New Roman"/>
          <w:sz w:val="24"/>
          <w:szCs w:val="24"/>
        </w:rPr>
        <w:t>)</w:t>
      </w:r>
    </w:p>
    <w:p w:rsidR="00F80065" w:rsidRPr="00BD50E4" w:rsidRDefault="00F80065" w:rsidP="00067AE8">
      <w:pPr>
        <w:tabs>
          <w:tab w:val="center" w:pos="4819"/>
          <w:tab w:val="right" w:pos="9638"/>
        </w:tabs>
        <w:jc w:val="center"/>
        <w:rPr>
          <w:rFonts w:ascii="Times New Roman" w:eastAsiaTheme="minorHAnsi" w:hAnsi="Times New Roman"/>
          <w:sz w:val="24"/>
          <w:szCs w:val="24"/>
        </w:rPr>
      </w:pPr>
    </w:p>
    <w:p w:rsidR="00F80065" w:rsidRPr="00BD50E4" w:rsidRDefault="00F80065" w:rsidP="00F80065">
      <w:pPr>
        <w:keepNext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BD50E4">
        <w:rPr>
          <w:rFonts w:ascii="Times New Roman" w:hAnsi="Times New Roman"/>
          <w:b/>
          <w:sz w:val="24"/>
          <w:szCs w:val="24"/>
        </w:rPr>
        <w:t>ASMENYS, ĮGALIOTI TEIKTI DUOMENIS TEISĖS AKTŲ INFORMACINEI SISTEMAI</w:t>
      </w:r>
    </w:p>
    <w:p w:rsidR="00F80065" w:rsidRPr="00AC36D8" w:rsidRDefault="00F80065" w:rsidP="00F80065">
      <w:pPr>
        <w:rPr>
          <w:rFonts w:ascii="Times New Roman" w:eastAsiaTheme="minorHAnsi" w:hAnsi="Times New Roman"/>
          <w:sz w:val="24"/>
          <w:szCs w:val="24"/>
        </w:rPr>
      </w:pPr>
    </w:p>
    <w:tbl>
      <w:tblPr>
        <w:tblW w:w="1419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1834"/>
        <w:gridCol w:w="1436"/>
        <w:gridCol w:w="2249"/>
        <w:gridCol w:w="1578"/>
        <w:gridCol w:w="1399"/>
      </w:tblGrid>
      <w:tr w:rsidR="00067AE8" w:rsidRPr="00BD50E4" w:rsidTr="00067AE8">
        <w:trPr>
          <w:trHeight w:val="667"/>
          <w:jc w:val="center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67AE8" w:rsidRPr="00BD50E4" w:rsidRDefault="00067AE8" w:rsidP="00067AE8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BD50E4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Vardas*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67AE8" w:rsidRPr="00BD50E4" w:rsidRDefault="00067AE8" w:rsidP="00067AE8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BD50E4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Pavardė*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7AE8" w:rsidRPr="00BD50E4" w:rsidRDefault="00067AE8" w:rsidP="00067AE8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BD50E4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Asmens kodas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67AE8" w:rsidRPr="00BD50E4" w:rsidRDefault="00067AE8" w:rsidP="00067AE8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BD50E4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Telefono numeris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67AE8" w:rsidRPr="00BD50E4" w:rsidRDefault="00067AE8" w:rsidP="00067AE8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BD50E4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El. pašto adresas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7AE8" w:rsidRPr="00BD50E4" w:rsidRDefault="00067AE8" w:rsidP="00067AE8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BD50E4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067AE8" w:rsidRPr="00BD50E4" w:rsidTr="00EA627D">
        <w:trPr>
          <w:trHeight w:val="283"/>
          <w:jc w:val="center"/>
        </w:trPr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AE8" w:rsidRPr="00BD50E4" w:rsidRDefault="00067AE8" w:rsidP="00F80065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67AE8" w:rsidRPr="00BD50E4" w:rsidRDefault="00067AE8" w:rsidP="00F80065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E8" w:rsidRPr="00BD50E4" w:rsidRDefault="00067AE8" w:rsidP="00F80065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67AE8" w:rsidRPr="00BD50E4" w:rsidRDefault="00067AE8" w:rsidP="00F80065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67AE8" w:rsidRPr="00BD50E4" w:rsidRDefault="00067AE8" w:rsidP="00F80065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E8" w:rsidRPr="00BD50E4" w:rsidRDefault="00067AE8" w:rsidP="00F80065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BD50E4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nuo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E8" w:rsidRPr="00BD50E4" w:rsidRDefault="00067AE8" w:rsidP="00F80065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BD50E4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iki **</w:t>
            </w:r>
          </w:p>
        </w:tc>
      </w:tr>
      <w:tr w:rsidR="00F80065" w:rsidRPr="00BD50E4" w:rsidTr="00067AE8">
        <w:trPr>
          <w:trHeight w:val="322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65" w:rsidRPr="00BD50E4" w:rsidRDefault="00F80065" w:rsidP="00067AE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65" w:rsidRPr="00BD50E4" w:rsidRDefault="00F80065" w:rsidP="00067AE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65" w:rsidRPr="00BD50E4" w:rsidRDefault="00F80065" w:rsidP="00067AE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65" w:rsidRPr="00BD50E4" w:rsidRDefault="00F80065" w:rsidP="00067AE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65" w:rsidRPr="00BD50E4" w:rsidRDefault="00F80065" w:rsidP="00067AE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65" w:rsidRPr="00BD50E4" w:rsidRDefault="00F80065" w:rsidP="00067AE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65" w:rsidRPr="00BD50E4" w:rsidRDefault="00F80065" w:rsidP="00067AE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F80065" w:rsidRPr="00AC36D8" w:rsidRDefault="00F80065" w:rsidP="00F80065">
      <w:pPr>
        <w:rPr>
          <w:rFonts w:ascii="Times New Roman" w:eastAsiaTheme="minorHAnsi" w:hAnsi="Times New Roman"/>
          <w:sz w:val="24"/>
          <w:szCs w:val="24"/>
        </w:rPr>
      </w:pPr>
    </w:p>
    <w:p w:rsidR="00F80065" w:rsidRPr="00AC36D8" w:rsidRDefault="00F80065" w:rsidP="00F80065">
      <w:pPr>
        <w:rPr>
          <w:rFonts w:ascii="Times New Roman" w:eastAsiaTheme="minorHAnsi" w:hAnsi="Times New Roman"/>
          <w:sz w:val="24"/>
          <w:szCs w:val="24"/>
        </w:rPr>
      </w:pPr>
      <w:r w:rsidRPr="00AC36D8">
        <w:rPr>
          <w:rFonts w:ascii="Times New Roman" w:eastAsiaTheme="minorHAnsi" w:hAnsi="Times New Roman"/>
          <w:sz w:val="24"/>
          <w:szCs w:val="24"/>
        </w:rPr>
        <w:t>*     Pildyti tik didžiosiomis raidėmis.</w:t>
      </w:r>
    </w:p>
    <w:p w:rsidR="00F80065" w:rsidRPr="00AC36D8" w:rsidRDefault="00F80065" w:rsidP="00F80065">
      <w:pPr>
        <w:rPr>
          <w:rFonts w:ascii="Times New Roman" w:eastAsiaTheme="minorHAnsi" w:hAnsi="Times New Roman"/>
          <w:sz w:val="24"/>
          <w:szCs w:val="24"/>
        </w:rPr>
      </w:pPr>
      <w:r w:rsidRPr="00AC36D8">
        <w:rPr>
          <w:rFonts w:ascii="Times New Roman" w:eastAsiaTheme="minorHAnsi" w:hAnsi="Times New Roman"/>
          <w:sz w:val="24"/>
          <w:szCs w:val="24"/>
        </w:rPr>
        <w:t>**   Pildoma tik tuo atveju, jeigu darbuotojas yra sudaręs terminuotą darbo sutartį.</w:t>
      </w:r>
    </w:p>
    <w:p w:rsidR="00F80065" w:rsidRPr="00BD50E4" w:rsidRDefault="00F80065" w:rsidP="00F80065">
      <w:pPr>
        <w:rPr>
          <w:rFonts w:ascii="Times New Roman" w:eastAsiaTheme="minorHAnsi" w:hAnsi="Times New Roman"/>
          <w:sz w:val="24"/>
          <w:szCs w:val="24"/>
        </w:rPr>
      </w:pPr>
    </w:p>
    <w:p w:rsidR="00F80065" w:rsidRPr="00BD50E4" w:rsidRDefault="00F80065" w:rsidP="00F80065">
      <w:pPr>
        <w:keepNext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BD50E4">
        <w:rPr>
          <w:rFonts w:ascii="Times New Roman" w:hAnsi="Times New Roman"/>
          <w:b/>
          <w:sz w:val="24"/>
          <w:szCs w:val="24"/>
        </w:rPr>
        <w:t>ASMENYS, KURIEMS NUTRAUKIAMI ĮGALIOJIMAI TEIKTI DUOMENIS TEISĖS AKTŲ INFORMACIN</w:t>
      </w:r>
      <w:r w:rsidR="00C95EDB">
        <w:rPr>
          <w:rFonts w:ascii="Times New Roman" w:hAnsi="Times New Roman"/>
          <w:b/>
          <w:sz w:val="24"/>
          <w:szCs w:val="24"/>
        </w:rPr>
        <w:t>E</w:t>
      </w:r>
      <w:r w:rsidRPr="00BD50E4">
        <w:rPr>
          <w:rFonts w:ascii="Times New Roman" w:hAnsi="Times New Roman"/>
          <w:b/>
          <w:sz w:val="24"/>
          <w:szCs w:val="24"/>
        </w:rPr>
        <w:t>I SISTEMAI</w:t>
      </w:r>
    </w:p>
    <w:p w:rsidR="00F80065" w:rsidRPr="00AC36D8" w:rsidRDefault="00F80065" w:rsidP="00F80065">
      <w:pPr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W w:w="910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3685"/>
        <w:gridCol w:w="2268"/>
      </w:tblGrid>
      <w:tr w:rsidR="00F80065" w:rsidRPr="00BD50E4" w:rsidTr="00EA627D">
        <w:trPr>
          <w:trHeight w:val="439"/>
          <w:jc w:val="center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65" w:rsidRPr="00BD50E4" w:rsidRDefault="00F80065" w:rsidP="00F80065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/>
                <w:bCs/>
                <w:noProof/>
                <w:color w:val="4F81BD" w:themeColor="accent1"/>
                <w:sz w:val="24"/>
                <w:szCs w:val="24"/>
              </w:rPr>
            </w:pPr>
            <w:r w:rsidRPr="00BD50E4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Vardas*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65" w:rsidRPr="00BD50E4" w:rsidRDefault="00F80065" w:rsidP="00F80065">
            <w:pPr>
              <w:snapToGri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D50E4">
              <w:rPr>
                <w:rFonts w:ascii="Times New Roman" w:eastAsiaTheme="minorHAnsi" w:hAnsi="Times New Roman"/>
                <w:b/>
                <w:sz w:val="24"/>
                <w:szCs w:val="24"/>
              </w:rPr>
              <w:t>Pavardė*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65" w:rsidRPr="00BD50E4" w:rsidRDefault="00F80065" w:rsidP="00F800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D50E4">
              <w:rPr>
                <w:rFonts w:ascii="Times New Roman" w:eastAsiaTheme="minorHAnsi" w:hAnsi="Times New Roman"/>
                <w:b/>
                <w:sz w:val="24"/>
                <w:szCs w:val="24"/>
              </w:rPr>
              <w:t>Data nuo</w:t>
            </w:r>
          </w:p>
        </w:tc>
      </w:tr>
      <w:tr w:rsidR="00F80065" w:rsidRPr="00BD50E4" w:rsidTr="00EA627D">
        <w:trPr>
          <w:trHeight w:val="302"/>
          <w:jc w:val="center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65" w:rsidRPr="00BD50E4" w:rsidRDefault="00F80065" w:rsidP="00F800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065" w:rsidRPr="00BD50E4" w:rsidRDefault="00F80065" w:rsidP="00F80065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065" w:rsidRPr="00BD50E4" w:rsidRDefault="00F80065" w:rsidP="00F800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F80065" w:rsidRPr="00BD50E4" w:rsidRDefault="00F80065" w:rsidP="00F80065">
      <w:pPr>
        <w:keepNext/>
        <w:keepLines/>
        <w:spacing w:before="200"/>
        <w:ind w:firstLine="34"/>
        <w:outlineLvl w:val="2"/>
        <w:rPr>
          <w:rFonts w:ascii="Times New Roman" w:eastAsiaTheme="majorEastAsia" w:hAnsi="Times New Roman"/>
          <w:bCs/>
          <w:caps/>
          <w:sz w:val="24"/>
          <w:szCs w:val="24"/>
        </w:rPr>
      </w:pPr>
      <w:r w:rsidRPr="00BD50E4">
        <w:rPr>
          <w:rFonts w:ascii="Times New Roman" w:eastAsiaTheme="majorEastAsia" w:hAnsi="Times New Roman"/>
          <w:bCs/>
          <w:caps/>
          <w:sz w:val="24"/>
          <w:szCs w:val="24"/>
        </w:rPr>
        <w:t>teikėjas</w:t>
      </w:r>
    </w:p>
    <w:p w:rsidR="00F80065" w:rsidRPr="00BD50E4" w:rsidRDefault="00F80065" w:rsidP="00F80065">
      <w:pPr>
        <w:keepNext/>
        <w:overflowPunct w:val="0"/>
        <w:autoSpaceDE w:val="0"/>
        <w:autoSpaceDN w:val="0"/>
        <w:adjustRightInd w:val="0"/>
        <w:ind w:firstLine="34"/>
        <w:jc w:val="both"/>
        <w:textAlignment w:val="baseline"/>
        <w:outlineLvl w:val="2"/>
        <w:rPr>
          <w:rFonts w:ascii="Times New Roman" w:eastAsia="Calibri" w:hAnsi="Times New Roman"/>
          <w:sz w:val="24"/>
          <w:szCs w:val="24"/>
        </w:rPr>
      </w:pPr>
    </w:p>
    <w:p w:rsidR="00F314D3" w:rsidRPr="00140D1A" w:rsidRDefault="00F314D3" w:rsidP="00F314D3">
      <w:pPr>
        <w:pStyle w:val="Pagrindinistekstas"/>
        <w:tabs>
          <w:tab w:val="left" w:pos="1247"/>
        </w:tabs>
        <w:rPr>
          <w:rFonts w:ascii="Times New Roman" w:hAnsi="Times New Roman"/>
          <w:szCs w:val="24"/>
        </w:rPr>
      </w:pPr>
    </w:p>
    <w:sectPr w:rsidR="00F314D3" w:rsidRPr="00140D1A" w:rsidSect="002416C0">
      <w:pgSz w:w="16838" w:h="11906" w:orient="landscape"/>
      <w:pgMar w:top="1701" w:right="1134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79" w:rsidRDefault="00F76979">
      <w:r>
        <w:separator/>
      </w:r>
    </w:p>
  </w:endnote>
  <w:endnote w:type="continuationSeparator" w:id="0">
    <w:p w:rsidR="00F76979" w:rsidRDefault="00F7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8B" w:rsidRDefault="002F704F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6</w:t>
    </w:r>
    <w:r>
      <w:rPr>
        <w:rStyle w:val="Puslapionumeris"/>
      </w:rPr>
      <w:fldChar w:fldCharType="end"/>
    </w:r>
  </w:p>
  <w:p w:rsidR="0079578B" w:rsidRDefault="00734CD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8B" w:rsidRDefault="00734CDE">
    <w:pPr>
      <w:pStyle w:val="Porat"/>
      <w:framePr w:wrap="around" w:vAnchor="text" w:hAnchor="margin" w:xAlign="center" w:y="1"/>
      <w:rPr>
        <w:rStyle w:val="Puslapionumeris"/>
      </w:rPr>
    </w:pPr>
  </w:p>
  <w:p w:rsidR="0079578B" w:rsidRDefault="00734CD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79" w:rsidRDefault="00F76979">
      <w:r>
        <w:separator/>
      </w:r>
    </w:p>
  </w:footnote>
  <w:footnote w:type="continuationSeparator" w:id="0">
    <w:p w:rsidR="00F76979" w:rsidRDefault="00F7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8B" w:rsidRDefault="002F704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9578B" w:rsidRDefault="00734CD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008394"/>
      <w:docPartObj>
        <w:docPartGallery w:val="Page Numbers (Top of Page)"/>
        <w:docPartUnique/>
      </w:docPartObj>
    </w:sdtPr>
    <w:sdtEndPr/>
    <w:sdtContent>
      <w:p w:rsidR="002416C0" w:rsidRDefault="002416C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CDE">
          <w:rPr>
            <w:noProof/>
          </w:rPr>
          <w:t>2</w:t>
        </w:r>
        <w:r>
          <w:fldChar w:fldCharType="end"/>
        </w:r>
      </w:p>
    </w:sdtContent>
  </w:sdt>
  <w:p w:rsidR="0079578B" w:rsidRDefault="00734CDE">
    <w:pPr>
      <w:pStyle w:val="Antrats"/>
      <w:tabs>
        <w:tab w:val="right" w:pos="6946"/>
        <w:tab w:val="right" w:pos="9214"/>
      </w:tabs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6C0" w:rsidRDefault="002416C0">
    <w:pPr>
      <w:pStyle w:val="Antrats"/>
      <w:jc w:val="center"/>
    </w:pPr>
  </w:p>
  <w:p w:rsidR="002416C0" w:rsidRDefault="002416C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9FE"/>
    <w:multiLevelType w:val="hybridMultilevel"/>
    <w:tmpl w:val="9EBC1F4E"/>
    <w:lvl w:ilvl="0" w:tplc="F8EC1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9D62D2"/>
    <w:multiLevelType w:val="hybridMultilevel"/>
    <w:tmpl w:val="E75EA2D0"/>
    <w:lvl w:ilvl="0" w:tplc="7BF62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B53AFD"/>
    <w:multiLevelType w:val="hybridMultilevel"/>
    <w:tmpl w:val="3FE6DAB4"/>
    <w:lvl w:ilvl="0" w:tplc="E496F302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3" w15:restartNumberingAfterBreak="0">
    <w:nsid w:val="6814191E"/>
    <w:multiLevelType w:val="hybridMultilevel"/>
    <w:tmpl w:val="99027874"/>
    <w:lvl w:ilvl="0" w:tplc="8C1ED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drawingGridHorizontalSpacing w:val="20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D3"/>
    <w:rsid w:val="0004137C"/>
    <w:rsid w:val="000455D8"/>
    <w:rsid w:val="00062D24"/>
    <w:rsid w:val="00067AE8"/>
    <w:rsid w:val="00070A43"/>
    <w:rsid w:val="000D6071"/>
    <w:rsid w:val="000E70CB"/>
    <w:rsid w:val="00104867"/>
    <w:rsid w:val="00123353"/>
    <w:rsid w:val="00140D1A"/>
    <w:rsid w:val="00145B50"/>
    <w:rsid w:val="00180C59"/>
    <w:rsid w:val="001C6532"/>
    <w:rsid w:val="002416C0"/>
    <w:rsid w:val="00266876"/>
    <w:rsid w:val="0028293D"/>
    <w:rsid w:val="0029120C"/>
    <w:rsid w:val="002C10B8"/>
    <w:rsid w:val="002C4188"/>
    <w:rsid w:val="002F704F"/>
    <w:rsid w:val="00307F41"/>
    <w:rsid w:val="00387E65"/>
    <w:rsid w:val="003A0B55"/>
    <w:rsid w:val="003A5AA4"/>
    <w:rsid w:val="003B6225"/>
    <w:rsid w:val="00487E4B"/>
    <w:rsid w:val="00492C4F"/>
    <w:rsid w:val="00497771"/>
    <w:rsid w:val="004D21F9"/>
    <w:rsid w:val="004F3F56"/>
    <w:rsid w:val="005A3498"/>
    <w:rsid w:val="005B5098"/>
    <w:rsid w:val="005C29E3"/>
    <w:rsid w:val="005F0C06"/>
    <w:rsid w:val="00603DEB"/>
    <w:rsid w:val="00604576"/>
    <w:rsid w:val="006723D9"/>
    <w:rsid w:val="00673EAF"/>
    <w:rsid w:val="00694AF2"/>
    <w:rsid w:val="006D2548"/>
    <w:rsid w:val="006F09ED"/>
    <w:rsid w:val="006F0E25"/>
    <w:rsid w:val="007320DC"/>
    <w:rsid w:val="00734CDE"/>
    <w:rsid w:val="007D0199"/>
    <w:rsid w:val="007D548F"/>
    <w:rsid w:val="00813969"/>
    <w:rsid w:val="008411D3"/>
    <w:rsid w:val="0088462E"/>
    <w:rsid w:val="008E7629"/>
    <w:rsid w:val="00987747"/>
    <w:rsid w:val="009C2742"/>
    <w:rsid w:val="009F52DB"/>
    <w:rsid w:val="00A13463"/>
    <w:rsid w:val="00A36AB3"/>
    <w:rsid w:val="00AB595C"/>
    <w:rsid w:val="00AC36D8"/>
    <w:rsid w:val="00AE6F73"/>
    <w:rsid w:val="00B67A41"/>
    <w:rsid w:val="00B74804"/>
    <w:rsid w:val="00B8538A"/>
    <w:rsid w:val="00BA224F"/>
    <w:rsid w:val="00BD50E4"/>
    <w:rsid w:val="00C6490C"/>
    <w:rsid w:val="00C91F79"/>
    <w:rsid w:val="00C9406B"/>
    <w:rsid w:val="00C95EDB"/>
    <w:rsid w:val="00CB133A"/>
    <w:rsid w:val="00D23768"/>
    <w:rsid w:val="00D4678C"/>
    <w:rsid w:val="00D6707F"/>
    <w:rsid w:val="00D70458"/>
    <w:rsid w:val="00DA6086"/>
    <w:rsid w:val="00DD18C5"/>
    <w:rsid w:val="00DD6FB7"/>
    <w:rsid w:val="00DD798E"/>
    <w:rsid w:val="00E173C4"/>
    <w:rsid w:val="00E17943"/>
    <w:rsid w:val="00E57B36"/>
    <w:rsid w:val="00EE5222"/>
    <w:rsid w:val="00F008B3"/>
    <w:rsid w:val="00F13B07"/>
    <w:rsid w:val="00F13C98"/>
    <w:rsid w:val="00F21DB3"/>
    <w:rsid w:val="00F314D3"/>
    <w:rsid w:val="00F37CFC"/>
    <w:rsid w:val="00F4013E"/>
    <w:rsid w:val="00F76979"/>
    <w:rsid w:val="00F80065"/>
    <w:rsid w:val="00F85148"/>
    <w:rsid w:val="00F9477D"/>
    <w:rsid w:val="00FD0CBA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CDB7FF"/>
  <w15:docId w15:val="{B693DE93-E214-4835-9334-34747C33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314D3"/>
    <w:pPr>
      <w:spacing w:after="0" w:line="240" w:lineRule="auto"/>
    </w:pPr>
    <w:rPr>
      <w:rFonts w:ascii="CG Times" w:eastAsia="Times New Roman" w:hAnsi="CG Times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F314D3"/>
    <w:pPr>
      <w:spacing w:line="360" w:lineRule="auto"/>
      <w:jc w:val="both"/>
    </w:pPr>
    <w:rPr>
      <w:rFonts w:ascii="TimesLT" w:hAnsi="TimesLT"/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314D3"/>
    <w:rPr>
      <w:rFonts w:ascii="TimesLT" w:eastAsia="Times New Roman" w:hAnsi="TimesLT"/>
      <w:szCs w:val="20"/>
    </w:rPr>
  </w:style>
  <w:style w:type="paragraph" w:styleId="Sraopastraipa">
    <w:name w:val="List Paragraph"/>
    <w:basedOn w:val="prastasis"/>
    <w:uiPriority w:val="34"/>
    <w:qFormat/>
    <w:rsid w:val="00F314D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14D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14D3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E173C4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F800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80065"/>
    <w:rPr>
      <w:rFonts w:asciiTheme="minorHAnsi" w:eastAsiaTheme="minorHAnsi" w:hAnsiTheme="minorHAnsi" w:cstheme="minorBidi"/>
      <w:sz w:val="22"/>
      <w:szCs w:val="22"/>
    </w:rPr>
  </w:style>
  <w:style w:type="paragraph" w:styleId="Porat">
    <w:name w:val="footer"/>
    <w:basedOn w:val="prastasis"/>
    <w:link w:val="PoratDiagrama"/>
    <w:unhideWhenUsed/>
    <w:rsid w:val="00F800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oratDiagrama">
    <w:name w:val="Poraštė Diagrama"/>
    <w:basedOn w:val="Numatytasispastraiposriftas"/>
    <w:link w:val="Porat"/>
    <w:rsid w:val="00F80065"/>
    <w:rPr>
      <w:rFonts w:asciiTheme="minorHAnsi" w:eastAsiaTheme="minorHAnsi" w:hAnsiTheme="minorHAnsi" w:cstheme="minorBidi"/>
      <w:sz w:val="22"/>
      <w:szCs w:val="22"/>
    </w:rPr>
  </w:style>
  <w:style w:type="character" w:styleId="Puslapionumeris">
    <w:name w:val="page number"/>
    <w:rsid w:val="00F80065"/>
  </w:style>
  <w:style w:type="table" w:styleId="Lentelstinklelis">
    <w:name w:val="Table Grid"/>
    <w:basedOn w:val="prastojilentel"/>
    <w:uiPriority w:val="59"/>
    <w:rsid w:val="00F8006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32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s@lrs.l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ais@lrs.l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6331</Words>
  <Characters>3610</Characters>
  <Application>Microsoft Office Word</Application>
  <DocSecurity>0</DocSecurity>
  <Lines>30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LR Seimo kanceliarija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RUEBENS Auksė</cp:lastModifiedBy>
  <cp:revision>3</cp:revision>
  <cp:lastPrinted>2016-01-15T13:08:00Z</cp:lastPrinted>
  <dcterms:created xsi:type="dcterms:W3CDTF">2024-10-03T11:20:00Z</dcterms:created>
  <dcterms:modified xsi:type="dcterms:W3CDTF">2024-10-03T11:20:00Z</dcterms:modified>
</cp:coreProperties>
</file>