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02C9" w:rsidRDefault="001C02C9" w:rsidP="001C02C9">
      <w:pPr>
        <w:spacing w:line="360" w:lineRule="auto"/>
        <w:jc w:val="center"/>
        <w:rPr>
          <w:rFonts w:ascii="Times New Roman" w:hAnsi="Times New Roman"/>
          <w:sz w:val="24"/>
        </w:rPr>
      </w:pPr>
      <w:r>
        <w:rPr>
          <w:rFonts w:ascii="Times New Roman" w:hAnsi="Times New Roman"/>
          <w:noProof/>
          <w:sz w:val="24"/>
          <w:lang w:eastAsia="lt-LT"/>
        </w:rPr>
        <w:drawing>
          <wp:inline distT="0" distB="0" distL="0" distR="0" wp14:anchorId="555FA3F3" wp14:editId="512192DE">
            <wp:extent cx="527050" cy="615950"/>
            <wp:effectExtent l="0" t="0" r="635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050" cy="615950"/>
                    </a:xfrm>
                    <a:prstGeom prst="rect">
                      <a:avLst/>
                    </a:prstGeom>
                    <a:noFill/>
                    <a:ln>
                      <a:noFill/>
                    </a:ln>
                  </pic:spPr>
                </pic:pic>
              </a:graphicData>
            </a:graphic>
          </wp:inline>
        </w:drawing>
      </w:r>
    </w:p>
    <w:p w:rsidR="001C02C9" w:rsidRDefault="001C02C9" w:rsidP="001C02C9">
      <w:pPr>
        <w:spacing w:line="360" w:lineRule="auto"/>
        <w:jc w:val="center"/>
        <w:rPr>
          <w:rFonts w:ascii="Times New Roman" w:hAnsi="Times New Roman"/>
          <w:sz w:val="12"/>
          <w:szCs w:val="12"/>
        </w:rPr>
      </w:pPr>
    </w:p>
    <w:p w:rsidR="001C02C9" w:rsidRDefault="001C02C9" w:rsidP="001C02C9">
      <w:pPr>
        <w:spacing w:line="360" w:lineRule="auto"/>
        <w:jc w:val="center"/>
        <w:rPr>
          <w:rFonts w:ascii="Times New Roman" w:hAnsi="Times New Roman"/>
          <w:b/>
          <w:bCs/>
          <w:sz w:val="24"/>
        </w:rPr>
      </w:pPr>
      <w:r>
        <w:rPr>
          <w:rFonts w:ascii="Times New Roman" w:hAnsi="Times New Roman"/>
          <w:b/>
          <w:bCs/>
          <w:sz w:val="24"/>
        </w:rPr>
        <w:t>LIETUVOS RESPUBLIKOS SEIMO</w:t>
      </w:r>
    </w:p>
    <w:p w:rsidR="001C02C9" w:rsidRDefault="001C02C9" w:rsidP="001C02C9">
      <w:pPr>
        <w:spacing w:line="360" w:lineRule="auto"/>
        <w:jc w:val="center"/>
        <w:rPr>
          <w:rFonts w:ascii="Times New Roman" w:hAnsi="Times New Roman"/>
          <w:b/>
          <w:spacing w:val="4"/>
          <w:sz w:val="22"/>
        </w:rPr>
      </w:pPr>
      <w:r>
        <w:rPr>
          <w:rFonts w:ascii="Times New Roman" w:hAnsi="Times New Roman"/>
          <w:b/>
          <w:bCs/>
          <w:spacing w:val="4"/>
          <w:sz w:val="24"/>
        </w:rPr>
        <w:t>PETICIJŲ KOMISIJA</w:t>
      </w:r>
    </w:p>
    <w:p w:rsidR="001C02C9" w:rsidRDefault="001C02C9" w:rsidP="001C02C9">
      <w:pPr>
        <w:spacing w:before="60" w:line="360" w:lineRule="auto"/>
        <w:ind w:right="11"/>
        <w:jc w:val="center"/>
        <w:rPr>
          <w:rFonts w:ascii="Times New Roman" w:hAnsi="Times New Roman"/>
          <w:b/>
          <w:spacing w:val="4"/>
          <w:sz w:val="8"/>
        </w:rPr>
      </w:pPr>
    </w:p>
    <w:p w:rsidR="001C02C9" w:rsidRDefault="001C02C9" w:rsidP="001C02C9">
      <w:pPr>
        <w:pStyle w:val="Betarp"/>
        <w:spacing w:line="360" w:lineRule="auto"/>
        <w:jc w:val="center"/>
        <w:rPr>
          <w:rFonts w:ascii="Times New Roman" w:hAnsi="Times New Roman"/>
          <w:b/>
          <w:sz w:val="24"/>
          <w:szCs w:val="24"/>
        </w:rPr>
      </w:pPr>
      <w:r>
        <w:rPr>
          <w:rFonts w:ascii="Times New Roman" w:hAnsi="Times New Roman"/>
          <w:b/>
          <w:sz w:val="24"/>
          <w:szCs w:val="24"/>
        </w:rPr>
        <w:t>IŠVADA</w:t>
      </w:r>
    </w:p>
    <w:p w:rsidR="001C02C9" w:rsidRDefault="001C02C9" w:rsidP="001C02C9">
      <w:pPr>
        <w:pStyle w:val="Betarp"/>
        <w:spacing w:line="360" w:lineRule="auto"/>
        <w:jc w:val="center"/>
        <w:rPr>
          <w:rFonts w:ascii="Times New Roman" w:hAnsi="Times New Roman"/>
          <w:sz w:val="24"/>
          <w:szCs w:val="24"/>
        </w:rPr>
      </w:pPr>
      <w:r>
        <w:rPr>
          <w:rFonts w:ascii="Times New Roman" w:hAnsi="Times New Roman"/>
          <w:sz w:val="24"/>
          <w:szCs w:val="24"/>
        </w:rPr>
        <w:t xml:space="preserve">2020 m. </w:t>
      </w:r>
      <w:r w:rsidR="004D092E">
        <w:rPr>
          <w:rFonts w:ascii="Times New Roman" w:hAnsi="Times New Roman"/>
          <w:sz w:val="24"/>
          <w:szCs w:val="24"/>
        </w:rPr>
        <w:t xml:space="preserve">rugsėjo 16 d. </w:t>
      </w:r>
    </w:p>
    <w:p w:rsidR="001C02C9" w:rsidRDefault="001C02C9" w:rsidP="001C02C9">
      <w:pPr>
        <w:pStyle w:val="Betarp"/>
        <w:spacing w:line="360" w:lineRule="auto"/>
        <w:jc w:val="center"/>
        <w:rPr>
          <w:rFonts w:ascii="Times New Roman" w:hAnsi="Times New Roman"/>
          <w:sz w:val="24"/>
          <w:szCs w:val="24"/>
        </w:rPr>
      </w:pPr>
      <w:r>
        <w:rPr>
          <w:rFonts w:ascii="Times New Roman" w:hAnsi="Times New Roman"/>
          <w:sz w:val="24"/>
          <w:szCs w:val="24"/>
        </w:rPr>
        <w:t>Vilnius</w:t>
      </w:r>
    </w:p>
    <w:p w:rsidR="001C02C9" w:rsidRDefault="001C02C9" w:rsidP="001C02C9">
      <w:pPr>
        <w:pStyle w:val="Betarp"/>
        <w:spacing w:line="360" w:lineRule="auto"/>
        <w:jc w:val="center"/>
        <w:rPr>
          <w:rFonts w:ascii="Times New Roman" w:hAnsi="Times New Roman"/>
          <w:sz w:val="24"/>
          <w:szCs w:val="24"/>
        </w:rPr>
      </w:pPr>
    </w:p>
    <w:p w:rsidR="001C02C9" w:rsidRDefault="001C02C9" w:rsidP="001C02C9">
      <w:pPr>
        <w:pStyle w:val="Style"/>
        <w:widowControl/>
        <w:autoSpaceDE/>
        <w:adjustRightInd/>
        <w:spacing w:line="360" w:lineRule="auto"/>
        <w:jc w:val="center"/>
        <w:rPr>
          <w:lang w:val="lt-LT"/>
        </w:rPr>
      </w:pPr>
      <w:r>
        <w:rPr>
          <w:lang w:val="lt-LT"/>
        </w:rPr>
        <w:t>Dėl Seimo Peticijų komisijos sprendimo</w:t>
      </w:r>
    </w:p>
    <w:p w:rsidR="001C02C9" w:rsidRDefault="001C02C9" w:rsidP="001C02C9">
      <w:pPr>
        <w:pStyle w:val="Style"/>
        <w:widowControl/>
        <w:autoSpaceDE/>
        <w:adjustRightInd/>
        <w:spacing w:line="360" w:lineRule="auto"/>
        <w:jc w:val="both"/>
        <w:rPr>
          <w:lang w:val="lt-LT"/>
        </w:rPr>
      </w:pPr>
    </w:p>
    <w:p w:rsidR="00EA7CA8" w:rsidRPr="00FE6C5A" w:rsidRDefault="001C02C9" w:rsidP="00EA7CA8">
      <w:pPr>
        <w:autoSpaceDE w:val="0"/>
        <w:autoSpaceDN w:val="0"/>
        <w:adjustRightInd w:val="0"/>
        <w:spacing w:line="360" w:lineRule="auto"/>
        <w:ind w:firstLine="720"/>
        <w:jc w:val="both"/>
        <w:rPr>
          <w:rFonts w:ascii="Times New Roman" w:hAnsi="Times New Roman"/>
          <w:bCs/>
          <w:sz w:val="24"/>
          <w:szCs w:val="24"/>
        </w:rPr>
      </w:pPr>
      <w:bookmarkStart w:id="0" w:name="_GoBack"/>
      <w:r w:rsidRPr="00FE6C5A">
        <w:rPr>
          <w:rFonts w:ascii="Times New Roman" w:hAnsi="Times New Roman"/>
          <w:sz w:val="24"/>
          <w:szCs w:val="24"/>
        </w:rPr>
        <w:t xml:space="preserve">Lietuvos Respublikos Seimo Peticijų komisija (toliau – Komisija) 2020 m. </w:t>
      </w:r>
      <w:r w:rsidR="006E2DD3" w:rsidRPr="00FE6C5A">
        <w:rPr>
          <w:rFonts w:ascii="Times New Roman" w:hAnsi="Times New Roman"/>
          <w:sz w:val="24"/>
          <w:szCs w:val="24"/>
        </w:rPr>
        <w:t xml:space="preserve">rugsėjo 16 d. </w:t>
      </w:r>
      <w:r w:rsidRPr="00FE6C5A">
        <w:rPr>
          <w:rFonts w:ascii="Times New Roman" w:hAnsi="Times New Roman"/>
          <w:sz w:val="24"/>
          <w:szCs w:val="24"/>
        </w:rPr>
        <w:t xml:space="preserve">posėdyje iš esmės išnagrinėjo </w:t>
      </w:r>
      <w:r w:rsidR="00594C7B" w:rsidRPr="00FE6C5A">
        <w:rPr>
          <w:rFonts w:ascii="Times New Roman" w:hAnsi="Times New Roman"/>
          <w:bCs/>
          <w:sz w:val="24"/>
          <w:szCs w:val="24"/>
        </w:rPr>
        <w:t xml:space="preserve">Algimanto </w:t>
      </w:r>
      <w:proofErr w:type="spellStart"/>
      <w:r w:rsidR="00594C7B" w:rsidRPr="00FE6C5A">
        <w:rPr>
          <w:rFonts w:ascii="Times New Roman" w:hAnsi="Times New Roman"/>
          <w:bCs/>
          <w:sz w:val="24"/>
          <w:szCs w:val="24"/>
        </w:rPr>
        <w:t>Jurgausko</w:t>
      </w:r>
      <w:proofErr w:type="spellEnd"/>
      <w:r w:rsidRPr="00FE6C5A">
        <w:rPr>
          <w:rFonts w:ascii="Times New Roman" w:hAnsi="Times New Roman"/>
          <w:bCs/>
          <w:sz w:val="24"/>
          <w:szCs w:val="24"/>
        </w:rPr>
        <w:t xml:space="preserve"> peticiją </w:t>
      </w:r>
      <w:r w:rsidR="00EA7CA8" w:rsidRPr="00FE6C5A">
        <w:rPr>
          <w:rFonts w:ascii="Times New Roman" w:hAnsi="Times New Roman"/>
          <w:sz w:val="24"/>
          <w:szCs w:val="24"/>
        </w:rPr>
        <w:t xml:space="preserve">„Dėl Lietuvos Respublikos </w:t>
      </w:r>
      <w:r w:rsidR="00EA7CA8" w:rsidRPr="00FE6C5A">
        <w:rPr>
          <w:rFonts w:ascii="Times New Roman" w:hAnsi="Times New Roman"/>
          <w:sz w:val="24"/>
          <w:szCs w:val="24"/>
          <w:lang w:eastAsia="lt-LT"/>
        </w:rPr>
        <w:t>smurtiniais nusikaltimais padarytos žalos kompensavimo įstatymo 20 straipsnio pakeitimo</w:t>
      </w:r>
      <w:r w:rsidR="00EA7CA8" w:rsidRPr="00FE6C5A">
        <w:rPr>
          <w:rFonts w:ascii="Times New Roman" w:hAnsi="Times New Roman"/>
          <w:sz w:val="24"/>
          <w:szCs w:val="24"/>
        </w:rPr>
        <w:t xml:space="preserve">“ </w:t>
      </w:r>
      <w:r w:rsidR="00EA7CA8" w:rsidRPr="00FE6C5A">
        <w:rPr>
          <w:rFonts w:ascii="Times New Roman" w:eastAsia="TimesNewRomanPSMT" w:hAnsi="Times New Roman"/>
          <w:sz w:val="24"/>
          <w:szCs w:val="24"/>
          <w:lang w:eastAsia="lt-LT"/>
        </w:rPr>
        <w:t xml:space="preserve">ir priėmė sprendimą atmesti joje </w:t>
      </w:r>
      <w:r w:rsidR="00EA7CA8" w:rsidRPr="00FE6C5A">
        <w:rPr>
          <w:rFonts w:ascii="Times New Roman" w:hAnsi="Times New Roman"/>
          <w:sz w:val="24"/>
          <w:szCs w:val="24"/>
        </w:rPr>
        <w:t xml:space="preserve">pateiktą pasiūlymą pakeisti Lietuvos Respublikos </w:t>
      </w:r>
      <w:r w:rsidR="00EA7CA8" w:rsidRPr="00FE6C5A">
        <w:rPr>
          <w:rFonts w:ascii="Times New Roman" w:hAnsi="Times New Roman"/>
          <w:sz w:val="24"/>
          <w:szCs w:val="24"/>
          <w:lang w:eastAsia="lt-LT"/>
        </w:rPr>
        <w:t>smurtiniais nusikaltimais padarytos žalos kompensavimo</w:t>
      </w:r>
      <w:r w:rsidR="00EA7CA8" w:rsidRPr="00FE6C5A">
        <w:rPr>
          <w:rFonts w:ascii="Times New Roman" w:hAnsi="Times New Roman"/>
          <w:sz w:val="24"/>
          <w:szCs w:val="24"/>
        </w:rPr>
        <w:t xml:space="preserve"> įstatymo </w:t>
      </w:r>
      <w:r w:rsidR="00C62CD4" w:rsidRPr="00FE6C5A">
        <w:rPr>
          <w:rFonts w:ascii="Times New Roman" w:hAnsi="Times New Roman"/>
          <w:sz w:val="24"/>
          <w:szCs w:val="24"/>
        </w:rPr>
        <w:t xml:space="preserve">(toliau </w:t>
      </w:r>
      <w:r w:rsidR="00C62CD4" w:rsidRPr="00FE6C5A">
        <w:rPr>
          <w:rFonts w:ascii="Times New Roman" w:hAnsi="Times New Roman"/>
          <w:sz w:val="24"/>
          <w:szCs w:val="24"/>
        </w:rPr>
        <w:softHyphen/>
        <w:t xml:space="preserve"> Kompensavimo įstatymas) </w:t>
      </w:r>
      <w:r w:rsidR="00EA7CA8" w:rsidRPr="00FE6C5A">
        <w:rPr>
          <w:rFonts w:ascii="Times New Roman" w:hAnsi="Times New Roman"/>
          <w:sz w:val="24"/>
          <w:szCs w:val="24"/>
          <w:lang w:eastAsia="lt-LT"/>
        </w:rPr>
        <w:t xml:space="preserve">20 </w:t>
      </w:r>
      <w:r w:rsidR="00EA7CA8" w:rsidRPr="00FE6C5A">
        <w:rPr>
          <w:rFonts w:ascii="Times New Roman" w:hAnsi="Times New Roman"/>
          <w:sz w:val="24"/>
          <w:szCs w:val="24"/>
        </w:rPr>
        <w:t>straipsnį ir nustatyti, kad p</w:t>
      </w:r>
      <w:r w:rsidR="00EA7CA8" w:rsidRPr="00FE6C5A">
        <w:rPr>
          <w:rFonts w:ascii="Times New Roman" w:hAnsi="Times New Roman"/>
          <w:bCs/>
          <w:sz w:val="24"/>
          <w:szCs w:val="24"/>
        </w:rPr>
        <w:t xml:space="preserve">agal </w:t>
      </w:r>
      <w:r w:rsidR="00EA7CA8" w:rsidRPr="00FE6C5A">
        <w:rPr>
          <w:rFonts w:ascii="Times New Roman" w:hAnsi="Times New Roman"/>
          <w:sz w:val="24"/>
          <w:szCs w:val="24"/>
        </w:rPr>
        <w:t xml:space="preserve">šį </w:t>
      </w:r>
      <w:r w:rsidR="00EA7CA8" w:rsidRPr="00FE6C5A">
        <w:rPr>
          <w:rFonts w:ascii="Times New Roman" w:hAnsi="Times New Roman"/>
          <w:bCs/>
          <w:sz w:val="24"/>
          <w:szCs w:val="24"/>
        </w:rPr>
        <w:t xml:space="preserve">įstatymą kompensuojama tik po 1990 </w:t>
      </w:r>
      <w:r w:rsidR="00EA7CA8" w:rsidRPr="00FE6C5A">
        <w:rPr>
          <w:rFonts w:ascii="Times New Roman" w:hAnsi="Times New Roman"/>
          <w:sz w:val="24"/>
          <w:szCs w:val="24"/>
        </w:rPr>
        <w:t xml:space="preserve">m. kovo </w:t>
      </w:r>
      <w:r w:rsidR="00EA7CA8" w:rsidRPr="00FE6C5A">
        <w:rPr>
          <w:rFonts w:ascii="Times New Roman" w:hAnsi="Times New Roman"/>
          <w:bCs/>
          <w:sz w:val="24"/>
          <w:szCs w:val="24"/>
        </w:rPr>
        <w:t>11 d. padarytų smurtinių nusikaltimų atsiradusi žala.</w:t>
      </w:r>
    </w:p>
    <w:p w:rsidR="00111F7F" w:rsidRPr="00FE6C5A" w:rsidRDefault="001C02C9" w:rsidP="00111F7F">
      <w:pPr>
        <w:pStyle w:val="AssecoParagraphNormalFirstLine"/>
        <w:spacing w:line="360" w:lineRule="auto"/>
        <w:rPr>
          <w:rFonts w:ascii="Times New Roman" w:hAnsi="Times New Roman"/>
          <w:sz w:val="24"/>
          <w:szCs w:val="24"/>
        </w:rPr>
      </w:pPr>
      <w:r w:rsidRPr="00FE6C5A">
        <w:rPr>
          <w:rFonts w:ascii="Times New Roman" w:hAnsi="Times New Roman"/>
          <w:sz w:val="24"/>
          <w:szCs w:val="24"/>
        </w:rPr>
        <w:t xml:space="preserve">Komisija šį sprendimą priėmė, atsižvelgusi į Lietuvos Respublikos </w:t>
      </w:r>
      <w:r w:rsidR="00111F7F" w:rsidRPr="00FE6C5A">
        <w:rPr>
          <w:rFonts w:ascii="Times New Roman" w:hAnsi="Times New Roman"/>
          <w:sz w:val="24"/>
          <w:szCs w:val="24"/>
        </w:rPr>
        <w:t>teisingumo</w:t>
      </w:r>
      <w:r w:rsidRPr="00FE6C5A">
        <w:rPr>
          <w:rFonts w:ascii="Times New Roman" w:hAnsi="Times New Roman"/>
          <w:sz w:val="24"/>
          <w:szCs w:val="24"/>
        </w:rPr>
        <w:t xml:space="preserve"> ministerijos pateiktą nuomonę </w:t>
      </w:r>
      <w:r w:rsidR="00111F7F" w:rsidRPr="00FE6C5A">
        <w:rPr>
          <w:rFonts w:ascii="Times New Roman" w:hAnsi="Times New Roman"/>
          <w:sz w:val="24"/>
          <w:szCs w:val="24"/>
        </w:rPr>
        <w:t>ir dėl šių motyvų:</w:t>
      </w:r>
    </w:p>
    <w:p w:rsidR="00111F7F" w:rsidRPr="00FE6C5A" w:rsidRDefault="00111F7F" w:rsidP="00111F7F">
      <w:pPr>
        <w:spacing w:line="360" w:lineRule="auto"/>
        <w:ind w:firstLine="851"/>
        <w:jc w:val="both"/>
        <w:rPr>
          <w:rFonts w:ascii="Times New Roman" w:hAnsi="Times New Roman"/>
          <w:sz w:val="24"/>
          <w:szCs w:val="24"/>
        </w:rPr>
      </w:pPr>
      <w:r w:rsidRPr="00FE6C5A">
        <w:rPr>
          <w:rFonts w:ascii="Times New Roman" w:hAnsi="Times New Roman"/>
          <w:sz w:val="24"/>
          <w:szCs w:val="24"/>
        </w:rPr>
        <w:t>1. Kompensavimo įstatymo 20 straipsnyje numatyta, kad kompensuojama tik dėl po 2005 m. liepos 1 d. padarytų smurtinių nusikaltimų atsiradusi žala. Pažymėtina, kad toks terminas Kompensavimo įstatyme nustatytas atsižvelgiant į tai, kad Kompensavimo įstatymu buvo įgyvendinama 2004 m. balandžio 29 d. Tarybos direktyva 2004/80/ EB dėl žalos kompensavimo nusikaltimų aukoms (toliau – Direktyva). Direktyva įpareigojo visas Europos Sąjungos valstybes nares nuo 2005 m. liepos 1 d. užtikrinti jų teritorijose tyčiniais smurtiniais nusikaltimais padarytos žalos teisingą ir tinkamą kompensavimą. Atsižvelgiant į tai, Kompensavimo įstatymas įsigaliojo 2005 m. liepos 1 d. ir pagal jį kompensuojama tik dėl po šio Kompensavimo įstatymo įsigaliojimo padarytų smurtinių nusikaltimų atsiradusi žala.</w:t>
      </w:r>
    </w:p>
    <w:p w:rsidR="00111F7F" w:rsidRPr="00FE6C5A" w:rsidRDefault="00111F7F" w:rsidP="00111F7F">
      <w:pPr>
        <w:spacing w:line="360" w:lineRule="auto"/>
        <w:ind w:firstLine="851"/>
        <w:jc w:val="both"/>
        <w:rPr>
          <w:rFonts w:ascii="Times New Roman" w:hAnsi="Times New Roman"/>
          <w:sz w:val="24"/>
          <w:szCs w:val="24"/>
        </w:rPr>
      </w:pPr>
      <w:r w:rsidRPr="00FE6C5A">
        <w:rPr>
          <w:rFonts w:ascii="Times New Roman" w:hAnsi="Times New Roman"/>
          <w:sz w:val="24"/>
          <w:szCs w:val="24"/>
        </w:rPr>
        <w:t xml:space="preserve">Nors tarptautiniai teisės aktai nedraudžia valstybei nustatyti ankstesnį terminą nuo kada kompensuojama smurtiniais nusikaltimais padaryta žala, tačiau šio klausimo išsprendimas priklauso nuo valstybės finansinės padėties ir šiam tikslui skiriamų asignavimų iš valstybės biudžeto dydžio. Kompensavimo įstatymo 20 straipsnyje įtvirtinus teisę kreiptis dėl po 1990 m. kovo 11 d. padarytų smurtinių nusikaltimų atsiradusios žalos, prašymų skaičius kompensuoti smurtiniais nusikaltimais </w:t>
      </w:r>
      <w:r w:rsidRPr="00FE6C5A">
        <w:rPr>
          <w:rFonts w:ascii="Times New Roman" w:hAnsi="Times New Roman"/>
          <w:sz w:val="24"/>
          <w:szCs w:val="24"/>
        </w:rPr>
        <w:lastRenderedPageBreak/>
        <w:t>padarytą žalą ženkliai išaugtų. Atsižvelgiant į tai, turėtų būti atidžiai ir kruopščiai įvertinta esama Lietuvos Respublikos finansinė padėtis ir jos realios galimybės prisiimti tokio pobūdžio finansinę prievolę, taip pat būtina atidžiai įvertinti ir tokios galimos priemonės proporcingumo siekiamo rezultato atžvilgiu klausimą.</w:t>
      </w:r>
    </w:p>
    <w:p w:rsidR="00260A78" w:rsidRPr="00FE6C5A" w:rsidRDefault="00260A78" w:rsidP="00260A78">
      <w:pPr>
        <w:spacing w:line="360" w:lineRule="auto"/>
        <w:ind w:firstLine="851"/>
        <w:jc w:val="both"/>
        <w:rPr>
          <w:rFonts w:ascii="Times New Roman" w:hAnsi="Times New Roman"/>
          <w:sz w:val="24"/>
          <w:szCs w:val="24"/>
          <w:lang w:bidi="lt-LT"/>
        </w:rPr>
      </w:pPr>
      <w:r w:rsidRPr="00FE6C5A">
        <w:rPr>
          <w:rFonts w:ascii="Times New Roman" w:hAnsi="Times New Roman"/>
          <w:sz w:val="24"/>
          <w:szCs w:val="24"/>
          <w:lang w:bidi="lt-LT"/>
        </w:rPr>
        <w:t xml:space="preserve">Atkreiptinas dėmesys į tai, kad Teisingumo ministerijai skiriamų asignavimų iš valstybės biudžeto smurtiniais nusikaltimais padarytai žalai kompensuoti dydis per metus svyruoja nuo 0,5 iki 1 mln. </w:t>
      </w:r>
      <w:proofErr w:type="spellStart"/>
      <w:r w:rsidRPr="00FE6C5A">
        <w:rPr>
          <w:rFonts w:ascii="Times New Roman" w:hAnsi="Times New Roman"/>
          <w:sz w:val="24"/>
          <w:szCs w:val="24"/>
          <w:lang w:bidi="lt-LT"/>
        </w:rPr>
        <w:t>Eur</w:t>
      </w:r>
      <w:proofErr w:type="spellEnd"/>
      <w:r w:rsidRPr="00FE6C5A">
        <w:rPr>
          <w:rFonts w:ascii="Times New Roman" w:hAnsi="Times New Roman"/>
          <w:sz w:val="24"/>
          <w:szCs w:val="24"/>
          <w:lang w:bidi="lt-LT"/>
        </w:rPr>
        <w:t>.:</w:t>
      </w:r>
    </w:p>
    <w:p w:rsidR="00260A78" w:rsidRPr="00FE6C5A" w:rsidRDefault="00260A78" w:rsidP="00260A78">
      <w:pPr>
        <w:spacing w:line="360" w:lineRule="auto"/>
        <w:ind w:firstLine="851"/>
        <w:jc w:val="both"/>
        <w:rPr>
          <w:rFonts w:ascii="Times New Roman" w:hAnsi="Times New Roman"/>
          <w:sz w:val="24"/>
          <w:szCs w:val="24"/>
          <w:lang w:bidi="lt-LT"/>
        </w:rPr>
      </w:pPr>
    </w:p>
    <w:tbl>
      <w:tblPr>
        <w:tblW w:w="5836" w:type="dxa"/>
        <w:tblInd w:w="-15" w:type="dxa"/>
        <w:tblCellMar>
          <w:left w:w="0" w:type="dxa"/>
          <w:right w:w="0" w:type="dxa"/>
        </w:tblCellMar>
        <w:tblLook w:val="04A0" w:firstRow="1" w:lastRow="0" w:firstColumn="1" w:lastColumn="0" w:noHBand="0" w:noVBand="1"/>
      </w:tblPr>
      <w:tblGrid>
        <w:gridCol w:w="2520"/>
        <w:gridCol w:w="3300"/>
        <w:gridCol w:w="16"/>
      </w:tblGrid>
      <w:tr w:rsidR="00260A78" w:rsidRPr="00FE6C5A" w:rsidTr="000A1E08">
        <w:trPr>
          <w:trHeight w:val="300"/>
        </w:trPr>
        <w:tc>
          <w:tcPr>
            <w:tcW w:w="2520" w:type="dxa"/>
            <w:vMerge w:val="restar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60A78" w:rsidRPr="00FE6C5A" w:rsidRDefault="00260A78" w:rsidP="000A1E08">
            <w:pPr>
              <w:pStyle w:val="Adresas"/>
              <w:spacing w:line="360" w:lineRule="auto"/>
              <w:jc w:val="center"/>
              <w:rPr>
                <w:lang w:eastAsia="en-US" w:bidi="lt-LT"/>
              </w:rPr>
            </w:pPr>
            <w:r w:rsidRPr="00FE6C5A">
              <w:rPr>
                <w:lang w:eastAsia="en-US" w:bidi="lt-LT"/>
              </w:rPr>
              <w:t>Metai</w:t>
            </w:r>
          </w:p>
        </w:tc>
        <w:tc>
          <w:tcPr>
            <w:tcW w:w="3300" w:type="dxa"/>
            <w:vMerge w:val="restart"/>
            <w:tcBorders>
              <w:top w:val="single" w:sz="8" w:space="0" w:color="auto"/>
              <w:left w:val="nil"/>
              <w:bottom w:val="single" w:sz="8" w:space="0" w:color="000000"/>
              <w:right w:val="single" w:sz="8" w:space="0" w:color="auto"/>
            </w:tcBorders>
            <w:tcMar>
              <w:top w:w="0" w:type="dxa"/>
              <w:left w:w="108" w:type="dxa"/>
              <w:bottom w:w="0" w:type="dxa"/>
              <w:right w:w="108" w:type="dxa"/>
            </w:tcMar>
            <w:vAlign w:val="bottom"/>
            <w:hideMark/>
          </w:tcPr>
          <w:p w:rsidR="00260A78" w:rsidRPr="00FE6C5A" w:rsidRDefault="00260A78" w:rsidP="000A1E08">
            <w:pPr>
              <w:pStyle w:val="Adresas"/>
              <w:spacing w:line="360" w:lineRule="auto"/>
              <w:jc w:val="center"/>
              <w:rPr>
                <w:lang w:eastAsia="en-US" w:bidi="lt-LT"/>
              </w:rPr>
            </w:pPr>
            <w:r w:rsidRPr="00FE6C5A">
              <w:rPr>
                <w:lang w:eastAsia="en-US" w:bidi="lt-LT"/>
              </w:rPr>
              <w:t xml:space="preserve">Kompensuota iš Specialiosios smurtiniais nusikaltimais padarytos žalos kompensavimo programos (tūkst. </w:t>
            </w:r>
            <w:proofErr w:type="spellStart"/>
            <w:r w:rsidRPr="00FE6C5A">
              <w:rPr>
                <w:lang w:eastAsia="en-US" w:bidi="lt-LT"/>
              </w:rPr>
              <w:t>Eur</w:t>
            </w:r>
            <w:proofErr w:type="spellEnd"/>
            <w:r w:rsidRPr="00FE6C5A">
              <w:rPr>
                <w:lang w:eastAsia="en-US" w:bidi="lt-LT"/>
              </w:rPr>
              <w:t>)</w:t>
            </w:r>
          </w:p>
        </w:tc>
        <w:tc>
          <w:tcPr>
            <w:tcW w:w="16" w:type="dxa"/>
            <w:vAlign w:val="center"/>
            <w:hideMark/>
          </w:tcPr>
          <w:p w:rsidR="00260A78" w:rsidRPr="00FE6C5A" w:rsidRDefault="00260A78" w:rsidP="000A1E08">
            <w:pPr>
              <w:spacing w:line="360" w:lineRule="auto"/>
              <w:rPr>
                <w:rFonts w:ascii="Times New Roman" w:hAnsi="Times New Roman"/>
                <w:sz w:val="24"/>
                <w:szCs w:val="24"/>
                <w:lang w:bidi="lt-LT"/>
              </w:rPr>
            </w:pPr>
          </w:p>
        </w:tc>
      </w:tr>
      <w:tr w:rsidR="00260A78" w:rsidRPr="00FE6C5A" w:rsidTr="000A1E08">
        <w:trPr>
          <w:trHeight w:val="645"/>
        </w:trPr>
        <w:tc>
          <w:tcPr>
            <w:tcW w:w="0" w:type="auto"/>
            <w:vMerge/>
            <w:tcBorders>
              <w:top w:val="single" w:sz="8" w:space="0" w:color="auto"/>
              <w:left w:val="single" w:sz="8" w:space="0" w:color="auto"/>
              <w:bottom w:val="single" w:sz="8" w:space="0" w:color="auto"/>
              <w:right w:val="single" w:sz="8" w:space="0" w:color="auto"/>
            </w:tcBorders>
            <w:vAlign w:val="center"/>
            <w:hideMark/>
          </w:tcPr>
          <w:p w:rsidR="00260A78" w:rsidRPr="00FE6C5A" w:rsidRDefault="00260A78" w:rsidP="000A1E08">
            <w:pPr>
              <w:spacing w:line="360" w:lineRule="auto"/>
              <w:rPr>
                <w:rFonts w:ascii="Times New Roman" w:hAnsi="Times New Roman"/>
                <w:sz w:val="24"/>
                <w:szCs w:val="24"/>
                <w:lang w:bidi="lt-LT"/>
              </w:rPr>
            </w:pPr>
          </w:p>
        </w:tc>
        <w:tc>
          <w:tcPr>
            <w:tcW w:w="0" w:type="auto"/>
            <w:vMerge/>
            <w:tcBorders>
              <w:top w:val="single" w:sz="8" w:space="0" w:color="auto"/>
              <w:left w:val="nil"/>
              <w:bottom w:val="single" w:sz="8" w:space="0" w:color="000000"/>
              <w:right w:val="single" w:sz="8" w:space="0" w:color="auto"/>
            </w:tcBorders>
            <w:vAlign w:val="center"/>
            <w:hideMark/>
          </w:tcPr>
          <w:p w:rsidR="00260A78" w:rsidRPr="00FE6C5A" w:rsidRDefault="00260A78" w:rsidP="000A1E08">
            <w:pPr>
              <w:spacing w:line="360" w:lineRule="auto"/>
              <w:rPr>
                <w:rFonts w:ascii="Times New Roman" w:hAnsi="Times New Roman"/>
                <w:sz w:val="24"/>
                <w:szCs w:val="24"/>
                <w:lang w:bidi="lt-LT"/>
              </w:rPr>
            </w:pPr>
          </w:p>
        </w:tc>
        <w:tc>
          <w:tcPr>
            <w:tcW w:w="16" w:type="dxa"/>
            <w:vAlign w:val="center"/>
            <w:hideMark/>
          </w:tcPr>
          <w:p w:rsidR="00260A78" w:rsidRPr="00FE6C5A" w:rsidRDefault="00260A78" w:rsidP="000A1E08">
            <w:pPr>
              <w:spacing w:line="360" w:lineRule="auto"/>
              <w:rPr>
                <w:rFonts w:ascii="Times New Roman" w:hAnsi="Times New Roman"/>
                <w:sz w:val="24"/>
                <w:szCs w:val="24"/>
                <w:lang w:eastAsia="lt-LT"/>
              </w:rPr>
            </w:pPr>
          </w:p>
        </w:tc>
      </w:tr>
      <w:tr w:rsidR="00260A78" w:rsidRPr="00FE6C5A" w:rsidTr="000A1E08">
        <w:trPr>
          <w:trHeight w:val="300"/>
        </w:trPr>
        <w:tc>
          <w:tcPr>
            <w:tcW w:w="0" w:type="auto"/>
            <w:vMerge/>
            <w:tcBorders>
              <w:top w:val="single" w:sz="8" w:space="0" w:color="auto"/>
              <w:left w:val="single" w:sz="8" w:space="0" w:color="auto"/>
              <w:bottom w:val="single" w:sz="8" w:space="0" w:color="auto"/>
              <w:right w:val="single" w:sz="8" w:space="0" w:color="auto"/>
            </w:tcBorders>
            <w:vAlign w:val="center"/>
            <w:hideMark/>
          </w:tcPr>
          <w:p w:rsidR="00260A78" w:rsidRPr="00FE6C5A" w:rsidRDefault="00260A78" w:rsidP="000A1E08">
            <w:pPr>
              <w:spacing w:line="360" w:lineRule="auto"/>
              <w:rPr>
                <w:rFonts w:ascii="Times New Roman" w:hAnsi="Times New Roman"/>
                <w:sz w:val="24"/>
                <w:szCs w:val="24"/>
                <w:lang w:bidi="lt-LT"/>
              </w:rPr>
            </w:pPr>
          </w:p>
        </w:tc>
        <w:tc>
          <w:tcPr>
            <w:tcW w:w="0" w:type="auto"/>
            <w:vMerge/>
            <w:tcBorders>
              <w:top w:val="single" w:sz="8" w:space="0" w:color="auto"/>
              <w:left w:val="nil"/>
              <w:bottom w:val="single" w:sz="8" w:space="0" w:color="000000"/>
              <w:right w:val="single" w:sz="8" w:space="0" w:color="auto"/>
            </w:tcBorders>
            <w:vAlign w:val="center"/>
            <w:hideMark/>
          </w:tcPr>
          <w:p w:rsidR="00260A78" w:rsidRPr="00FE6C5A" w:rsidRDefault="00260A78" w:rsidP="000A1E08">
            <w:pPr>
              <w:spacing w:line="360" w:lineRule="auto"/>
              <w:rPr>
                <w:rFonts w:ascii="Times New Roman" w:hAnsi="Times New Roman"/>
                <w:sz w:val="24"/>
                <w:szCs w:val="24"/>
                <w:lang w:bidi="lt-LT"/>
              </w:rPr>
            </w:pPr>
          </w:p>
        </w:tc>
        <w:tc>
          <w:tcPr>
            <w:tcW w:w="16" w:type="dxa"/>
            <w:vAlign w:val="center"/>
            <w:hideMark/>
          </w:tcPr>
          <w:p w:rsidR="00260A78" w:rsidRPr="00FE6C5A" w:rsidRDefault="00260A78" w:rsidP="000A1E08">
            <w:pPr>
              <w:spacing w:line="360" w:lineRule="auto"/>
              <w:rPr>
                <w:rFonts w:ascii="Times New Roman" w:hAnsi="Times New Roman"/>
                <w:sz w:val="24"/>
                <w:szCs w:val="24"/>
                <w:lang w:eastAsia="lt-LT"/>
              </w:rPr>
            </w:pPr>
          </w:p>
        </w:tc>
      </w:tr>
      <w:tr w:rsidR="00260A78" w:rsidRPr="00FE6C5A" w:rsidTr="000A1E08">
        <w:trPr>
          <w:trHeight w:val="300"/>
        </w:trPr>
        <w:tc>
          <w:tcPr>
            <w:tcW w:w="25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60A78" w:rsidRPr="00FE6C5A" w:rsidRDefault="00260A78" w:rsidP="000A1E08">
            <w:pPr>
              <w:pStyle w:val="Adresas"/>
              <w:spacing w:line="360" w:lineRule="auto"/>
              <w:jc w:val="center"/>
              <w:rPr>
                <w:lang w:eastAsia="en-US" w:bidi="lt-LT"/>
              </w:rPr>
            </w:pPr>
            <w:r w:rsidRPr="00FE6C5A">
              <w:rPr>
                <w:lang w:eastAsia="en-US" w:bidi="lt-LT"/>
              </w:rPr>
              <w:t>2009</w:t>
            </w:r>
          </w:p>
        </w:tc>
        <w:tc>
          <w:tcPr>
            <w:tcW w:w="3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60A78" w:rsidRPr="00FE6C5A" w:rsidRDefault="00260A78" w:rsidP="000A1E08">
            <w:pPr>
              <w:pStyle w:val="Adresas"/>
              <w:spacing w:line="360" w:lineRule="auto"/>
              <w:jc w:val="center"/>
              <w:rPr>
                <w:lang w:eastAsia="en-US" w:bidi="lt-LT"/>
              </w:rPr>
            </w:pPr>
            <w:r w:rsidRPr="00FE6C5A">
              <w:rPr>
                <w:lang w:eastAsia="en-US" w:bidi="lt-LT"/>
              </w:rPr>
              <w:t>474,72</w:t>
            </w:r>
          </w:p>
        </w:tc>
        <w:tc>
          <w:tcPr>
            <w:tcW w:w="16" w:type="dxa"/>
            <w:vAlign w:val="center"/>
            <w:hideMark/>
          </w:tcPr>
          <w:p w:rsidR="00260A78" w:rsidRPr="00FE6C5A" w:rsidRDefault="00260A78" w:rsidP="000A1E08">
            <w:pPr>
              <w:spacing w:line="360" w:lineRule="auto"/>
              <w:rPr>
                <w:rFonts w:ascii="Times New Roman" w:hAnsi="Times New Roman"/>
                <w:sz w:val="24"/>
                <w:szCs w:val="24"/>
                <w:lang w:bidi="lt-LT"/>
              </w:rPr>
            </w:pPr>
          </w:p>
        </w:tc>
      </w:tr>
      <w:tr w:rsidR="00260A78" w:rsidRPr="00FE6C5A" w:rsidTr="000A1E08">
        <w:trPr>
          <w:trHeight w:val="300"/>
        </w:trPr>
        <w:tc>
          <w:tcPr>
            <w:tcW w:w="25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60A78" w:rsidRPr="00FE6C5A" w:rsidRDefault="00260A78" w:rsidP="000A1E08">
            <w:pPr>
              <w:pStyle w:val="Adresas"/>
              <w:spacing w:line="360" w:lineRule="auto"/>
              <w:jc w:val="center"/>
              <w:rPr>
                <w:lang w:eastAsia="en-US" w:bidi="lt-LT"/>
              </w:rPr>
            </w:pPr>
            <w:r w:rsidRPr="00FE6C5A">
              <w:rPr>
                <w:lang w:eastAsia="en-US" w:bidi="lt-LT"/>
              </w:rPr>
              <w:t>2010</w:t>
            </w:r>
          </w:p>
        </w:tc>
        <w:tc>
          <w:tcPr>
            <w:tcW w:w="3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60A78" w:rsidRPr="00FE6C5A" w:rsidRDefault="00260A78" w:rsidP="000A1E08">
            <w:pPr>
              <w:pStyle w:val="Adresas"/>
              <w:spacing w:line="360" w:lineRule="auto"/>
              <w:jc w:val="center"/>
              <w:rPr>
                <w:lang w:eastAsia="en-US" w:bidi="lt-LT"/>
              </w:rPr>
            </w:pPr>
            <w:r w:rsidRPr="00FE6C5A">
              <w:rPr>
                <w:lang w:eastAsia="en-US" w:bidi="lt-LT"/>
              </w:rPr>
              <w:t>560,07</w:t>
            </w:r>
          </w:p>
        </w:tc>
        <w:tc>
          <w:tcPr>
            <w:tcW w:w="16" w:type="dxa"/>
            <w:vAlign w:val="center"/>
            <w:hideMark/>
          </w:tcPr>
          <w:p w:rsidR="00260A78" w:rsidRPr="00FE6C5A" w:rsidRDefault="00260A78" w:rsidP="000A1E08">
            <w:pPr>
              <w:spacing w:line="360" w:lineRule="auto"/>
              <w:rPr>
                <w:rFonts w:ascii="Times New Roman" w:hAnsi="Times New Roman"/>
                <w:sz w:val="24"/>
                <w:szCs w:val="24"/>
                <w:lang w:bidi="lt-LT"/>
              </w:rPr>
            </w:pPr>
          </w:p>
        </w:tc>
      </w:tr>
      <w:tr w:rsidR="00260A78" w:rsidRPr="00FE6C5A" w:rsidTr="000A1E08">
        <w:trPr>
          <w:trHeight w:val="300"/>
        </w:trPr>
        <w:tc>
          <w:tcPr>
            <w:tcW w:w="25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60A78" w:rsidRPr="00FE6C5A" w:rsidRDefault="00260A78" w:rsidP="000A1E08">
            <w:pPr>
              <w:pStyle w:val="Adresas"/>
              <w:spacing w:line="360" w:lineRule="auto"/>
              <w:jc w:val="center"/>
              <w:rPr>
                <w:lang w:eastAsia="en-US" w:bidi="lt-LT"/>
              </w:rPr>
            </w:pPr>
            <w:r w:rsidRPr="00FE6C5A">
              <w:rPr>
                <w:lang w:eastAsia="en-US" w:bidi="lt-LT"/>
              </w:rPr>
              <w:t>2011</w:t>
            </w:r>
          </w:p>
        </w:tc>
        <w:tc>
          <w:tcPr>
            <w:tcW w:w="3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60A78" w:rsidRPr="00FE6C5A" w:rsidRDefault="00260A78" w:rsidP="000A1E08">
            <w:pPr>
              <w:pStyle w:val="Adresas"/>
              <w:spacing w:line="360" w:lineRule="auto"/>
              <w:jc w:val="center"/>
              <w:rPr>
                <w:lang w:eastAsia="en-US" w:bidi="lt-LT"/>
              </w:rPr>
            </w:pPr>
            <w:r w:rsidRPr="00FE6C5A">
              <w:rPr>
                <w:lang w:eastAsia="en-US" w:bidi="lt-LT"/>
              </w:rPr>
              <w:t>600,59</w:t>
            </w:r>
          </w:p>
        </w:tc>
        <w:tc>
          <w:tcPr>
            <w:tcW w:w="16" w:type="dxa"/>
            <w:vAlign w:val="center"/>
            <w:hideMark/>
          </w:tcPr>
          <w:p w:rsidR="00260A78" w:rsidRPr="00FE6C5A" w:rsidRDefault="00260A78" w:rsidP="000A1E08">
            <w:pPr>
              <w:spacing w:line="360" w:lineRule="auto"/>
              <w:rPr>
                <w:rFonts w:ascii="Times New Roman" w:hAnsi="Times New Roman"/>
                <w:sz w:val="24"/>
                <w:szCs w:val="24"/>
                <w:lang w:bidi="lt-LT"/>
              </w:rPr>
            </w:pPr>
          </w:p>
        </w:tc>
      </w:tr>
      <w:tr w:rsidR="00260A78" w:rsidRPr="00FE6C5A" w:rsidTr="000A1E08">
        <w:trPr>
          <w:trHeight w:val="300"/>
        </w:trPr>
        <w:tc>
          <w:tcPr>
            <w:tcW w:w="25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60A78" w:rsidRPr="00FE6C5A" w:rsidRDefault="00260A78" w:rsidP="000A1E08">
            <w:pPr>
              <w:pStyle w:val="Adresas"/>
              <w:spacing w:line="360" w:lineRule="auto"/>
              <w:jc w:val="center"/>
              <w:rPr>
                <w:lang w:eastAsia="en-US" w:bidi="lt-LT"/>
              </w:rPr>
            </w:pPr>
            <w:r w:rsidRPr="00FE6C5A">
              <w:rPr>
                <w:lang w:eastAsia="en-US" w:bidi="lt-LT"/>
              </w:rPr>
              <w:t>2012</w:t>
            </w:r>
          </w:p>
        </w:tc>
        <w:tc>
          <w:tcPr>
            <w:tcW w:w="3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60A78" w:rsidRPr="00FE6C5A" w:rsidRDefault="00260A78" w:rsidP="000A1E08">
            <w:pPr>
              <w:pStyle w:val="Adresas"/>
              <w:spacing w:line="360" w:lineRule="auto"/>
              <w:jc w:val="center"/>
              <w:rPr>
                <w:lang w:eastAsia="en-US" w:bidi="lt-LT"/>
              </w:rPr>
            </w:pPr>
            <w:r w:rsidRPr="00FE6C5A">
              <w:rPr>
                <w:lang w:eastAsia="en-US" w:bidi="lt-LT"/>
              </w:rPr>
              <w:t>586,27</w:t>
            </w:r>
          </w:p>
        </w:tc>
        <w:tc>
          <w:tcPr>
            <w:tcW w:w="16" w:type="dxa"/>
            <w:vAlign w:val="center"/>
            <w:hideMark/>
          </w:tcPr>
          <w:p w:rsidR="00260A78" w:rsidRPr="00FE6C5A" w:rsidRDefault="00260A78" w:rsidP="000A1E08">
            <w:pPr>
              <w:spacing w:line="360" w:lineRule="auto"/>
              <w:rPr>
                <w:rFonts w:ascii="Times New Roman" w:hAnsi="Times New Roman"/>
                <w:sz w:val="24"/>
                <w:szCs w:val="24"/>
                <w:lang w:bidi="lt-LT"/>
              </w:rPr>
            </w:pPr>
          </w:p>
        </w:tc>
      </w:tr>
      <w:tr w:rsidR="00260A78" w:rsidRPr="00FE6C5A" w:rsidTr="000A1E08">
        <w:trPr>
          <w:trHeight w:val="300"/>
        </w:trPr>
        <w:tc>
          <w:tcPr>
            <w:tcW w:w="25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60A78" w:rsidRPr="00FE6C5A" w:rsidRDefault="00260A78" w:rsidP="000A1E08">
            <w:pPr>
              <w:pStyle w:val="Adresas"/>
              <w:spacing w:line="360" w:lineRule="auto"/>
              <w:jc w:val="center"/>
              <w:rPr>
                <w:lang w:eastAsia="en-US" w:bidi="lt-LT"/>
              </w:rPr>
            </w:pPr>
            <w:r w:rsidRPr="00FE6C5A">
              <w:rPr>
                <w:lang w:eastAsia="en-US" w:bidi="lt-LT"/>
              </w:rPr>
              <w:t>2013</w:t>
            </w:r>
          </w:p>
        </w:tc>
        <w:tc>
          <w:tcPr>
            <w:tcW w:w="3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60A78" w:rsidRPr="00FE6C5A" w:rsidRDefault="00260A78" w:rsidP="000A1E08">
            <w:pPr>
              <w:pStyle w:val="Adresas"/>
              <w:spacing w:line="360" w:lineRule="auto"/>
              <w:jc w:val="center"/>
              <w:rPr>
                <w:lang w:eastAsia="en-US" w:bidi="lt-LT"/>
              </w:rPr>
            </w:pPr>
            <w:r w:rsidRPr="00FE6C5A">
              <w:rPr>
                <w:lang w:eastAsia="en-US" w:bidi="lt-LT"/>
              </w:rPr>
              <w:t>617,55</w:t>
            </w:r>
          </w:p>
        </w:tc>
        <w:tc>
          <w:tcPr>
            <w:tcW w:w="16" w:type="dxa"/>
            <w:vAlign w:val="center"/>
            <w:hideMark/>
          </w:tcPr>
          <w:p w:rsidR="00260A78" w:rsidRPr="00FE6C5A" w:rsidRDefault="00260A78" w:rsidP="000A1E08">
            <w:pPr>
              <w:spacing w:line="360" w:lineRule="auto"/>
              <w:rPr>
                <w:rFonts w:ascii="Times New Roman" w:hAnsi="Times New Roman"/>
                <w:sz w:val="24"/>
                <w:szCs w:val="24"/>
                <w:lang w:bidi="lt-LT"/>
              </w:rPr>
            </w:pPr>
          </w:p>
        </w:tc>
      </w:tr>
      <w:tr w:rsidR="00260A78" w:rsidRPr="00FE6C5A" w:rsidTr="000A1E08">
        <w:trPr>
          <w:trHeight w:val="300"/>
        </w:trPr>
        <w:tc>
          <w:tcPr>
            <w:tcW w:w="25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60A78" w:rsidRPr="00FE6C5A" w:rsidRDefault="00260A78" w:rsidP="000A1E08">
            <w:pPr>
              <w:pStyle w:val="Adresas"/>
              <w:spacing w:line="360" w:lineRule="auto"/>
              <w:jc w:val="center"/>
              <w:rPr>
                <w:lang w:eastAsia="en-US" w:bidi="lt-LT"/>
              </w:rPr>
            </w:pPr>
            <w:r w:rsidRPr="00FE6C5A">
              <w:rPr>
                <w:lang w:eastAsia="en-US" w:bidi="lt-LT"/>
              </w:rPr>
              <w:t>2014</w:t>
            </w:r>
          </w:p>
        </w:tc>
        <w:tc>
          <w:tcPr>
            <w:tcW w:w="3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60A78" w:rsidRPr="00FE6C5A" w:rsidRDefault="00260A78" w:rsidP="000A1E08">
            <w:pPr>
              <w:pStyle w:val="Adresas"/>
              <w:spacing w:line="360" w:lineRule="auto"/>
              <w:jc w:val="center"/>
              <w:rPr>
                <w:lang w:eastAsia="en-US" w:bidi="lt-LT"/>
              </w:rPr>
            </w:pPr>
            <w:r w:rsidRPr="00FE6C5A">
              <w:rPr>
                <w:lang w:eastAsia="en-US" w:bidi="lt-LT"/>
              </w:rPr>
              <w:t>810,74</w:t>
            </w:r>
          </w:p>
        </w:tc>
        <w:tc>
          <w:tcPr>
            <w:tcW w:w="16" w:type="dxa"/>
            <w:vAlign w:val="center"/>
            <w:hideMark/>
          </w:tcPr>
          <w:p w:rsidR="00260A78" w:rsidRPr="00FE6C5A" w:rsidRDefault="00260A78" w:rsidP="000A1E08">
            <w:pPr>
              <w:spacing w:line="360" w:lineRule="auto"/>
              <w:rPr>
                <w:rFonts w:ascii="Times New Roman" w:hAnsi="Times New Roman"/>
                <w:sz w:val="24"/>
                <w:szCs w:val="24"/>
                <w:lang w:bidi="lt-LT"/>
              </w:rPr>
            </w:pPr>
          </w:p>
        </w:tc>
      </w:tr>
      <w:tr w:rsidR="00260A78" w:rsidRPr="00FE6C5A" w:rsidTr="000A1E08">
        <w:trPr>
          <w:trHeight w:val="300"/>
        </w:trPr>
        <w:tc>
          <w:tcPr>
            <w:tcW w:w="25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60A78" w:rsidRPr="00FE6C5A" w:rsidRDefault="00260A78" w:rsidP="000A1E08">
            <w:pPr>
              <w:pStyle w:val="Adresas"/>
              <w:spacing w:line="360" w:lineRule="auto"/>
              <w:jc w:val="center"/>
              <w:rPr>
                <w:lang w:eastAsia="en-US" w:bidi="lt-LT"/>
              </w:rPr>
            </w:pPr>
            <w:r w:rsidRPr="00FE6C5A">
              <w:rPr>
                <w:lang w:eastAsia="en-US" w:bidi="lt-LT"/>
              </w:rPr>
              <w:t>2015</w:t>
            </w:r>
          </w:p>
        </w:tc>
        <w:tc>
          <w:tcPr>
            <w:tcW w:w="3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60A78" w:rsidRPr="00FE6C5A" w:rsidRDefault="00260A78" w:rsidP="000A1E08">
            <w:pPr>
              <w:pStyle w:val="Adresas"/>
              <w:spacing w:line="360" w:lineRule="auto"/>
              <w:jc w:val="center"/>
              <w:rPr>
                <w:lang w:eastAsia="en-US" w:bidi="lt-LT"/>
              </w:rPr>
            </w:pPr>
            <w:r w:rsidRPr="00FE6C5A">
              <w:rPr>
                <w:lang w:eastAsia="en-US" w:bidi="lt-LT"/>
              </w:rPr>
              <w:t>980,51</w:t>
            </w:r>
          </w:p>
        </w:tc>
        <w:tc>
          <w:tcPr>
            <w:tcW w:w="16" w:type="dxa"/>
            <w:vAlign w:val="center"/>
            <w:hideMark/>
          </w:tcPr>
          <w:p w:rsidR="00260A78" w:rsidRPr="00FE6C5A" w:rsidRDefault="00260A78" w:rsidP="000A1E08">
            <w:pPr>
              <w:spacing w:line="360" w:lineRule="auto"/>
              <w:rPr>
                <w:rFonts w:ascii="Times New Roman" w:hAnsi="Times New Roman"/>
                <w:sz w:val="24"/>
                <w:szCs w:val="24"/>
                <w:lang w:bidi="lt-LT"/>
              </w:rPr>
            </w:pPr>
          </w:p>
        </w:tc>
      </w:tr>
      <w:tr w:rsidR="00260A78" w:rsidRPr="00FE6C5A" w:rsidTr="000A1E08">
        <w:trPr>
          <w:trHeight w:val="300"/>
        </w:trPr>
        <w:tc>
          <w:tcPr>
            <w:tcW w:w="25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60A78" w:rsidRPr="00FE6C5A" w:rsidRDefault="00260A78" w:rsidP="000A1E08">
            <w:pPr>
              <w:pStyle w:val="Adresas"/>
              <w:spacing w:line="360" w:lineRule="auto"/>
              <w:jc w:val="center"/>
              <w:rPr>
                <w:lang w:eastAsia="en-US" w:bidi="lt-LT"/>
              </w:rPr>
            </w:pPr>
            <w:r w:rsidRPr="00FE6C5A">
              <w:rPr>
                <w:lang w:eastAsia="en-US" w:bidi="lt-LT"/>
              </w:rPr>
              <w:t>2016</w:t>
            </w:r>
          </w:p>
        </w:tc>
        <w:tc>
          <w:tcPr>
            <w:tcW w:w="3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60A78" w:rsidRPr="00FE6C5A" w:rsidRDefault="00260A78" w:rsidP="000A1E08">
            <w:pPr>
              <w:pStyle w:val="Adresas"/>
              <w:spacing w:line="360" w:lineRule="auto"/>
              <w:jc w:val="center"/>
              <w:rPr>
                <w:lang w:eastAsia="en-US" w:bidi="lt-LT"/>
              </w:rPr>
            </w:pPr>
            <w:r w:rsidRPr="00FE6C5A">
              <w:rPr>
                <w:lang w:eastAsia="en-US" w:bidi="lt-LT"/>
              </w:rPr>
              <w:t>708,40</w:t>
            </w:r>
          </w:p>
        </w:tc>
        <w:tc>
          <w:tcPr>
            <w:tcW w:w="16" w:type="dxa"/>
            <w:vAlign w:val="center"/>
          </w:tcPr>
          <w:p w:rsidR="00260A78" w:rsidRPr="00FE6C5A" w:rsidRDefault="00260A78" w:rsidP="000A1E08">
            <w:pPr>
              <w:pStyle w:val="Adresas"/>
              <w:spacing w:line="360" w:lineRule="auto"/>
              <w:rPr>
                <w:lang w:eastAsia="en-US" w:bidi="lt-LT"/>
              </w:rPr>
            </w:pPr>
          </w:p>
        </w:tc>
      </w:tr>
      <w:tr w:rsidR="00260A78" w:rsidRPr="00FE6C5A" w:rsidTr="000A1E08">
        <w:trPr>
          <w:trHeight w:val="300"/>
        </w:trPr>
        <w:tc>
          <w:tcPr>
            <w:tcW w:w="25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60A78" w:rsidRPr="00FE6C5A" w:rsidRDefault="00260A78" w:rsidP="000A1E08">
            <w:pPr>
              <w:pStyle w:val="Adresas"/>
              <w:spacing w:line="360" w:lineRule="auto"/>
              <w:jc w:val="center"/>
              <w:rPr>
                <w:lang w:eastAsia="en-US" w:bidi="lt-LT"/>
              </w:rPr>
            </w:pPr>
            <w:r w:rsidRPr="00FE6C5A">
              <w:rPr>
                <w:lang w:eastAsia="en-US" w:bidi="lt-LT"/>
              </w:rPr>
              <w:t>2017</w:t>
            </w:r>
          </w:p>
        </w:tc>
        <w:tc>
          <w:tcPr>
            <w:tcW w:w="3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60A78" w:rsidRPr="00FE6C5A" w:rsidRDefault="00260A78" w:rsidP="000A1E08">
            <w:pPr>
              <w:pStyle w:val="Adresas"/>
              <w:spacing w:line="360" w:lineRule="auto"/>
              <w:jc w:val="center"/>
              <w:rPr>
                <w:lang w:eastAsia="en-US" w:bidi="lt-LT"/>
              </w:rPr>
            </w:pPr>
            <w:r w:rsidRPr="00FE6C5A">
              <w:rPr>
                <w:lang w:eastAsia="en-US" w:bidi="lt-LT"/>
              </w:rPr>
              <w:t>717,32</w:t>
            </w:r>
          </w:p>
        </w:tc>
        <w:tc>
          <w:tcPr>
            <w:tcW w:w="16" w:type="dxa"/>
            <w:vAlign w:val="center"/>
          </w:tcPr>
          <w:p w:rsidR="00260A78" w:rsidRPr="00FE6C5A" w:rsidRDefault="00260A78" w:rsidP="000A1E08">
            <w:pPr>
              <w:pStyle w:val="Adresas"/>
              <w:spacing w:line="360" w:lineRule="auto"/>
              <w:rPr>
                <w:lang w:eastAsia="en-US" w:bidi="lt-LT"/>
              </w:rPr>
            </w:pPr>
          </w:p>
        </w:tc>
      </w:tr>
      <w:tr w:rsidR="00260A78" w:rsidRPr="00FE6C5A" w:rsidTr="000A1E08">
        <w:trPr>
          <w:trHeight w:val="300"/>
        </w:trPr>
        <w:tc>
          <w:tcPr>
            <w:tcW w:w="25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60A78" w:rsidRPr="00FE6C5A" w:rsidRDefault="00260A78" w:rsidP="000A1E08">
            <w:pPr>
              <w:pStyle w:val="Adresas"/>
              <w:spacing w:line="360" w:lineRule="auto"/>
              <w:jc w:val="center"/>
              <w:rPr>
                <w:lang w:eastAsia="en-US" w:bidi="lt-LT"/>
              </w:rPr>
            </w:pPr>
            <w:r w:rsidRPr="00FE6C5A">
              <w:rPr>
                <w:lang w:eastAsia="en-US" w:bidi="lt-LT"/>
              </w:rPr>
              <w:t>2108</w:t>
            </w:r>
          </w:p>
        </w:tc>
        <w:tc>
          <w:tcPr>
            <w:tcW w:w="3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60A78" w:rsidRPr="00FE6C5A" w:rsidRDefault="00260A78" w:rsidP="000A1E08">
            <w:pPr>
              <w:pStyle w:val="Adresas"/>
              <w:spacing w:line="360" w:lineRule="auto"/>
              <w:jc w:val="center"/>
              <w:rPr>
                <w:lang w:eastAsia="en-US" w:bidi="lt-LT"/>
              </w:rPr>
            </w:pPr>
            <w:r w:rsidRPr="00FE6C5A">
              <w:rPr>
                <w:lang w:eastAsia="en-US" w:bidi="lt-LT"/>
              </w:rPr>
              <w:t>728,35</w:t>
            </w:r>
          </w:p>
        </w:tc>
        <w:tc>
          <w:tcPr>
            <w:tcW w:w="16" w:type="dxa"/>
            <w:vAlign w:val="center"/>
          </w:tcPr>
          <w:p w:rsidR="00260A78" w:rsidRPr="00FE6C5A" w:rsidRDefault="00260A78" w:rsidP="000A1E08">
            <w:pPr>
              <w:pStyle w:val="Adresas"/>
              <w:spacing w:line="360" w:lineRule="auto"/>
              <w:rPr>
                <w:lang w:eastAsia="en-US" w:bidi="lt-LT"/>
              </w:rPr>
            </w:pPr>
          </w:p>
        </w:tc>
      </w:tr>
      <w:tr w:rsidR="00260A78" w:rsidRPr="00FE6C5A" w:rsidTr="000A1E08">
        <w:trPr>
          <w:trHeight w:val="300"/>
        </w:trPr>
        <w:tc>
          <w:tcPr>
            <w:tcW w:w="25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60A78" w:rsidRPr="00FE6C5A" w:rsidRDefault="00260A78" w:rsidP="000A1E08">
            <w:pPr>
              <w:pStyle w:val="Adresas"/>
              <w:spacing w:line="360" w:lineRule="auto"/>
              <w:jc w:val="center"/>
              <w:rPr>
                <w:lang w:eastAsia="en-US" w:bidi="lt-LT"/>
              </w:rPr>
            </w:pPr>
            <w:r w:rsidRPr="00FE6C5A">
              <w:rPr>
                <w:lang w:eastAsia="en-US" w:bidi="lt-LT"/>
              </w:rPr>
              <w:t>2019</w:t>
            </w:r>
          </w:p>
        </w:tc>
        <w:tc>
          <w:tcPr>
            <w:tcW w:w="3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60A78" w:rsidRPr="00FE6C5A" w:rsidRDefault="00260A78" w:rsidP="000A1E08">
            <w:pPr>
              <w:pStyle w:val="Adresas"/>
              <w:spacing w:line="360" w:lineRule="auto"/>
              <w:jc w:val="center"/>
              <w:rPr>
                <w:lang w:eastAsia="en-US" w:bidi="lt-LT"/>
              </w:rPr>
            </w:pPr>
            <w:r w:rsidRPr="00FE6C5A">
              <w:rPr>
                <w:lang w:eastAsia="en-US" w:bidi="lt-LT"/>
              </w:rPr>
              <w:t>628,22</w:t>
            </w:r>
          </w:p>
        </w:tc>
        <w:tc>
          <w:tcPr>
            <w:tcW w:w="16" w:type="dxa"/>
            <w:vAlign w:val="center"/>
            <w:hideMark/>
          </w:tcPr>
          <w:p w:rsidR="00260A78" w:rsidRPr="00FE6C5A" w:rsidRDefault="00260A78" w:rsidP="000A1E08">
            <w:pPr>
              <w:spacing w:line="360" w:lineRule="auto"/>
              <w:rPr>
                <w:rFonts w:ascii="Times New Roman" w:hAnsi="Times New Roman"/>
                <w:sz w:val="24"/>
                <w:szCs w:val="24"/>
                <w:lang w:bidi="lt-LT"/>
              </w:rPr>
            </w:pPr>
          </w:p>
        </w:tc>
      </w:tr>
    </w:tbl>
    <w:p w:rsidR="00260A78" w:rsidRPr="00FE6C5A" w:rsidRDefault="00260A78" w:rsidP="00260A78">
      <w:pPr>
        <w:spacing w:line="360" w:lineRule="auto"/>
        <w:ind w:firstLine="851"/>
        <w:jc w:val="both"/>
        <w:rPr>
          <w:rFonts w:ascii="Times New Roman" w:hAnsi="Times New Roman"/>
          <w:sz w:val="24"/>
          <w:szCs w:val="24"/>
          <w:lang w:val="en-US" w:bidi="lt-LT"/>
        </w:rPr>
      </w:pPr>
    </w:p>
    <w:p w:rsidR="00260A78" w:rsidRPr="00FE6C5A" w:rsidRDefault="00260A78" w:rsidP="00260A78">
      <w:pPr>
        <w:spacing w:line="360" w:lineRule="auto"/>
        <w:ind w:firstLine="851"/>
        <w:jc w:val="both"/>
        <w:rPr>
          <w:rFonts w:ascii="Times New Roman" w:hAnsi="Times New Roman"/>
          <w:sz w:val="24"/>
          <w:szCs w:val="24"/>
          <w:lang w:bidi="lt-LT"/>
        </w:rPr>
      </w:pPr>
      <w:r w:rsidRPr="00FE6C5A">
        <w:rPr>
          <w:rFonts w:ascii="Times New Roman" w:hAnsi="Times New Roman"/>
          <w:sz w:val="24"/>
          <w:szCs w:val="24"/>
          <w:lang w:bidi="lt-LT"/>
        </w:rPr>
        <w:t xml:space="preserve">Kompensavimo įstatymo 20 straipsnyje įtvirtinus teisę kreiptis dėl po 1990 m. kovo 11 d. padarytų smurtinių nusikaltimų atsiradusios žalos, prašymų skaičius kompensuoti smurtiniais nusikaltimais padarytą žalą ženkliai išaugtų. Todėl svarstant dėl Kompensavimo įstatymo 20 straipsnio galimo pakeitimo, reikėtų iš esmės koreguoti asignavimų iš valstybės biudžeto dydžius. Poreikis už kiekvienus papildomus metus turėtų būti iki 1 mln. </w:t>
      </w:r>
      <w:proofErr w:type="spellStart"/>
      <w:r w:rsidRPr="00FE6C5A">
        <w:rPr>
          <w:rFonts w:ascii="Times New Roman" w:hAnsi="Times New Roman"/>
          <w:sz w:val="24"/>
          <w:szCs w:val="24"/>
          <w:lang w:bidi="lt-LT"/>
        </w:rPr>
        <w:t>Eur</w:t>
      </w:r>
      <w:proofErr w:type="spellEnd"/>
      <w:r w:rsidRPr="00FE6C5A">
        <w:rPr>
          <w:rFonts w:ascii="Times New Roman" w:hAnsi="Times New Roman"/>
          <w:sz w:val="24"/>
          <w:szCs w:val="24"/>
          <w:lang w:bidi="lt-LT"/>
        </w:rPr>
        <w:t xml:space="preserve">. Vadinasi, viso iš valstybės biudžeto papildomai reikėtų skirti iki 15 mln. </w:t>
      </w:r>
      <w:proofErr w:type="spellStart"/>
      <w:r w:rsidRPr="00FE6C5A">
        <w:rPr>
          <w:rFonts w:ascii="Times New Roman" w:hAnsi="Times New Roman"/>
          <w:sz w:val="24"/>
          <w:szCs w:val="24"/>
          <w:lang w:bidi="lt-LT"/>
        </w:rPr>
        <w:t>Eur</w:t>
      </w:r>
      <w:proofErr w:type="spellEnd"/>
      <w:r w:rsidRPr="00FE6C5A">
        <w:rPr>
          <w:rFonts w:ascii="Times New Roman" w:hAnsi="Times New Roman"/>
          <w:sz w:val="24"/>
          <w:szCs w:val="24"/>
          <w:lang w:bidi="lt-LT"/>
        </w:rPr>
        <w:t>.</w:t>
      </w:r>
    </w:p>
    <w:p w:rsidR="00260A78" w:rsidRPr="00FE6C5A" w:rsidRDefault="00260A78" w:rsidP="00260A78">
      <w:pPr>
        <w:spacing w:line="360" w:lineRule="auto"/>
        <w:ind w:firstLine="851"/>
        <w:jc w:val="both"/>
        <w:rPr>
          <w:rFonts w:ascii="Times New Roman" w:hAnsi="Times New Roman"/>
          <w:sz w:val="24"/>
          <w:szCs w:val="24"/>
          <w:lang w:bidi="lt-LT"/>
        </w:rPr>
      </w:pPr>
      <w:r w:rsidRPr="00FE6C5A">
        <w:rPr>
          <w:rFonts w:ascii="Times New Roman" w:hAnsi="Times New Roman"/>
          <w:sz w:val="24"/>
          <w:szCs w:val="24"/>
          <w:lang w:bidi="lt-LT"/>
        </w:rPr>
        <w:t xml:space="preserve">Nagrinėjamu aspektu pažymėtina ir tai, kad atsižvelgiant į aptariamų klausimų pobūdį ir galimas finansines pasekmes valstybės biudžetui, konkretūs siūlymai dėl galimybės nustatyti </w:t>
      </w:r>
      <w:r w:rsidRPr="00FE6C5A">
        <w:rPr>
          <w:rFonts w:ascii="Times New Roman" w:hAnsi="Times New Roman"/>
          <w:sz w:val="24"/>
          <w:szCs w:val="24"/>
          <w:lang w:bidi="lt-LT"/>
        </w:rPr>
        <w:lastRenderedPageBreak/>
        <w:t>ankstesnį terminą nuo kada kompensuojama smurtiniais nusikaltimais padaryta žala, turėtų būti derinami ir su Lietuvos Respublikos finansų ministerija.</w:t>
      </w:r>
    </w:p>
    <w:p w:rsidR="00260A78" w:rsidRPr="00FE6C5A" w:rsidRDefault="00260A78" w:rsidP="00260A78">
      <w:pPr>
        <w:spacing w:line="360" w:lineRule="auto"/>
        <w:ind w:firstLine="851"/>
        <w:jc w:val="both"/>
        <w:rPr>
          <w:rFonts w:ascii="Times New Roman" w:hAnsi="Times New Roman"/>
          <w:sz w:val="24"/>
          <w:szCs w:val="24"/>
          <w:lang w:bidi="lt-LT"/>
        </w:rPr>
      </w:pPr>
      <w:r w:rsidRPr="00FE6C5A">
        <w:rPr>
          <w:rFonts w:ascii="Times New Roman" w:hAnsi="Times New Roman"/>
          <w:sz w:val="24"/>
          <w:szCs w:val="24"/>
          <w:lang w:bidi="lt-LT"/>
        </w:rPr>
        <w:t>2. Pažymėtina, kad Kompensavimo įstatymo 4 straipsnio 1 dalies 3 punkte numatyta, kad prašymas kompensuoti smurtiniu nusikaltimu padarytą žalą turi būti pateiktas ne vėliau kaip per 10 metų nuo teismo sprendimo, kuriuo priteista smurtiniu nusikaltimu padaryta žala ar patvirtinta sutartis dėl jos atlyginimo, įsiteisėjimo, išskyrus atvejus, kai šis terminas praleistas dėl svarbių priežasčių. Taigi jeigu smurtiniu nusikaltimu padaryta žala buvo priteista 2005 m. teismo sprendimu, vadovaujantis šia Kompensavimo įstatymo nuostata, prašymas kompensuoti smurtiniu nusikaltimu padarytą žalą, turėjo būti pateiktas ne vėliau kaip 2015 m. Todėl atsižvelgiant į Kompensavimo įstatyme nustatytą 10 metų senaties terminą, net atlikus Peticijoje siūlomą Kompensavimo įstatymo 20 straipsnio pakeitimą, asmenys, dėl kurių iki 2010 m. priimtas teismo sprendimas atlyginti smurtiniu nusikaltimu padarytą žalą, kreiptis į Nukentėjusiųjų nuo nusikaltimų asmenų fondą galimybių neturėtų.</w:t>
      </w:r>
    </w:p>
    <w:p w:rsidR="00260A78" w:rsidRPr="00FE6C5A" w:rsidRDefault="00260A78" w:rsidP="00260A78">
      <w:pPr>
        <w:spacing w:line="360" w:lineRule="auto"/>
        <w:ind w:firstLine="851"/>
        <w:jc w:val="both"/>
        <w:rPr>
          <w:rFonts w:ascii="Times New Roman" w:hAnsi="Times New Roman"/>
          <w:sz w:val="24"/>
          <w:szCs w:val="24"/>
          <w:lang w:bidi="lt-LT"/>
        </w:rPr>
      </w:pPr>
      <w:r w:rsidRPr="00FE6C5A">
        <w:rPr>
          <w:rFonts w:ascii="Times New Roman" w:hAnsi="Times New Roman"/>
          <w:sz w:val="24"/>
          <w:szCs w:val="24"/>
          <w:lang w:bidi="lt-LT"/>
        </w:rPr>
        <w:t>3. Kompensavimo įstatymo 14 straipsnyje numatytos valstybės reikalavimo teisės. Minėtame Kompensavimo įstatymo straipsnyje įtvirtinta, kad Kompensavimo įstatymo nustatyta tvarka kompensavus smurtiniu nusikaltimu padarytą žalą, valstybė įgyja regreso (atgręžtinio reikalavimo) teisę iš už žalą atsakingo asmens, jeigu šis yra nustatytas, teismo tvarka išieškoti tokio dydžio sumas, kiek yra sumokėta Kompensavimo įstatymo 3 straipsnio 1 dalyje ir 8 straipsnio 1 dalyje nurodytiems asmenims. Tačiau valstybė, realizuodama savo reikalavimo teisę turi vengti tokių padarinių, kurie pažeistų kitas valstybės ginamas teisines vertybes. Štai civilinių teisinių santykių stabilumas ir apibrėžtumas be kita ko saugomas ieškinio senaties institutu. Bendrasis ieškinio senaties terminas yra 10 metų. Pagal Lietuvos Respublikos civilinio kodekso (toliau – CK) 1.125 straipsnio 8 dalyje išdėstytą taisyklę, ieškinio senaties terminas dėl padarytos žalos atlyginimo, yra dar trumpesnis – treji</w:t>
      </w:r>
      <w:r w:rsidR="00030EE3" w:rsidRPr="00FE6C5A">
        <w:rPr>
          <w:rFonts w:ascii="Times New Roman" w:hAnsi="Times New Roman"/>
          <w:sz w:val="24"/>
          <w:szCs w:val="24"/>
          <w:lang w:bidi="lt-LT"/>
        </w:rPr>
        <w:t xml:space="preserve"> metai. Tad valstybė, priėmusi p</w:t>
      </w:r>
      <w:r w:rsidRPr="00FE6C5A">
        <w:rPr>
          <w:rFonts w:ascii="Times New Roman" w:hAnsi="Times New Roman"/>
          <w:sz w:val="24"/>
          <w:szCs w:val="24"/>
          <w:lang w:bidi="lt-LT"/>
        </w:rPr>
        <w:t>asiūlymą pakeisti Kompensavimo įstatymo 20 straipsnį ir nustačiusi, kad pagal šį įstatymą kompensuojama tik po 1990 m. kovo 11 d. bei realizuodama regreso (atgręžtinio reikalavimo) teisę elgsis neteisingai ir nesąžiningai kitų civilinių teisinių santykių dalyvių atžvilgiu – šiuo atveju skolininko atžvilgiu. Kadangi skolininkas, žalą nukentėjusiam asmeniui sukėlęs maždaug prieš 20 ar 30 metų jau gali pagrįstai tikėtis, jog nekentėjęs asmuo, neišieškojęs teismo priteistos žalos per minėtą 20 ar 30 metų laikotarpį, atsisako savo teisės arba nemano, kad jo teisė yra pažeista. Tačiau šiuo atveju valstybė, naudodamasi regreso teise ir pradėdama išieškojimą iš už žalą atsakingo asmens, padidintų teisinį neapibrėžtumą civiliniuose santykiuose, sukeltų neigiamą poveikį civilinei apyvartai. Pažymėtina ir tai, kad praėjus tam tikram laikui, faktinių aplinkybių išaiškinimas tampa sudėtingesnis, tad valstybės pareikšto regresinio ieškinio nagrinėjimas teisme būtų apsunkintas ir galimai ne visais atvejais teismas priimtų teisingą ir pagrįstą sprendimą.</w:t>
      </w:r>
    </w:p>
    <w:p w:rsidR="00260A78" w:rsidRPr="00FE6C5A" w:rsidRDefault="00030EE3" w:rsidP="00260A78">
      <w:pPr>
        <w:spacing w:line="360" w:lineRule="auto"/>
        <w:ind w:firstLine="851"/>
        <w:jc w:val="both"/>
        <w:rPr>
          <w:rFonts w:ascii="Times New Roman" w:hAnsi="Times New Roman"/>
          <w:sz w:val="24"/>
          <w:szCs w:val="24"/>
          <w:lang w:bidi="lt-LT"/>
        </w:rPr>
      </w:pPr>
      <w:r w:rsidRPr="00FE6C5A">
        <w:rPr>
          <w:rFonts w:ascii="Times New Roman" w:hAnsi="Times New Roman"/>
          <w:sz w:val="24"/>
          <w:szCs w:val="24"/>
        </w:rPr>
        <w:lastRenderedPageBreak/>
        <w:t>Atkreiptinas dėmesys</w:t>
      </w:r>
      <w:r w:rsidR="00260A78" w:rsidRPr="00FE6C5A">
        <w:rPr>
          <w:rFonts w:ascii="Times New Roman" w:hAnsi="Times New Roman"/>
          <w:sz w:val="24"/>
          <w:szCs w:val="24"/>
        </w:rPr>
        <w:t xml:space="preserve"> ir į tai, kad </w:t>
      </w:r>
      <w:r w:rsidR="00260A78" w:rsidRPr="00FE6C5A">
        <w:rPr>
          <w:rFonts w:ascii="Times New Roman" w:hAnsi="Times New Roman"/>
          <w:sz w:val="24"/>
          <w:szCs w:val="24"/>
          <w:lang w:bidi="lt-LT"/>
        </w:rPr>
        <w:t>Teisingumo ministerij</w:t>
      </w:r>
      <w:r w:rsidRPr="00FE6C5A">
        <w:rPr>
          <w:rFonts w:ascii="Times New Roman" w:hAnsi="Times New Roman"/>
          <w:sz w:val="24"/>
          <w:szCs w:val="24"/>
          <w:lang w:bidi="lt-LT"/>
        </w:rPr>
        <w:t xml:space="preserve">a, įgyvendindama regreso teisę, </w:t>
      </w:r>
      <w:r w:rsidR="00260A78" w:rsidRPr="00FE6C5A">
        <w:rPr>
          <w:rFonts w:ascii="Times New Roman" w:hAnsi="Times New Roman"/>
          <w:sz w:val="24"/>
          <w:szCs w:val="24"/>
          <w:lang w:bidi="lt-LT"/>
        </w:rPr>
        <w:t xml:space="preserve">dažnai susiduria ir su kitais sunkumais išieškoti iš už žalą atsakingo asmens nukentėjusiajam asmeniui sumokėtas lėšas. Dažniausiai smurtinį nusikaltimą padaręs asmuo atlieka laisvės atėmimo bausmę, arba grįžęs iš įkalinimo įstaigos sunkiai </w:t>
      </w:r>
      <w:r w:rsidR="00260A78" w:rsidRPr="00FE6C5A">
        <w:rPr>
          <w:rFonts w:ascii="Times New Roman" w:hAnsi="Times New Roman"/>
          <w:sz w:val="24"/>
          <w:szCs w:val="24"/>
          <w:lang w:bidi="en-US"/>
        </w:rPr>
        <w:t>social</w:t>
      </w:r>
      <w:r w:rsidR="00260A78" w:rsidRPr="00FE6C5A">
        <w:rPr>
          <w:rFonts w:ascii="Times New Roman" w:hAnsi="Times New Roman"/>
          <w:sz w:val="24"/>
          <w:szCs w:val="24"/>
          <w:lang w:bidi="lt-LT"/>
        </w:rPr>
        <w:t>izuojasi visuomenėje, neturi pajamų ar turto, iš kurio valstybė galėtų išieškoti kompensuotas sumas, todėl atgręžtinio reikalavimo teisė yra suvaržyta objektyvių faktorių.</w:t>
      </w:r>
    </w:p>
    <w:p w:rsidR="00260A78" w:rsidRPr="00FE6C5A" w:rsidRDefault="00260A78" w:rsidP="00260A78">
      <w:pPr>
        <w:spacing w:line="360" w:lineRule="auto"/>
        <w:ind w:firstLine="851"/>
        <w:jc w:val="both"/>
        <w:rPr>
          <w:rFonts w:ascii="Times New Roman" w:hAnsi="Times New Roman"/>
          <w:sz w:val="24"/>
          <w:szCs w:val="24"/>
          <w:lang w:bidi="lt-LT"/>
        </w:rPr>
      </w:pPr>
      <w:r w:rsidRPr="00FE6C5A">
        <w:rPr>
          <w:rFonts w:ascii="Times New Roman" w:hAnsi="Times New Roman"/>
          <w:sz w:val="24"/>
          <w:szCs w:val="24"/>
          <w:lang w:bidi="lt-LT"/>
        </w:rPr>
        <w:t xml:space="preserve">4. Lietuvos Respublikos lygių galimybių įstatymo (toliau – Lygių galimybių įstatymas) 2 straipsnio 1 dalyje pateikiama diskriminacijos sąvoka: </w:t>
      </w:r>
      <w:r w:rsidRPr="00FE6C5A">
        <w:rPr>
          <w:rFonts w:ascii="Times New Roman" w:hAnsi="Times New Roman"/>
          <w:i/>
          <w:sz w:val="24"/>
          <w:szCs w:val="24"/>
          <w:lang w:bidi="lt-LT"/>
        </w:rPr>
        <w:t>Diskriminacija – tiesioginė ir netiesioginė diskriminacija, priekabiavimas, nurodymas diskriminuoti lyties, rasės, tautybės, pilietybės, kalbos, kilmės, socialinės padėties, tikėjimo, įsitikinimų ar pažiūrų, amžiaus, lytinės orientacijos, negalios, etninės priklausomybės, religijos pagrindu</w:t>
      </w:r>
      <w:r w:rsidRPr="00FE6C5A">
        <w:rPr>
          <w:rFonts w:ascii="Times New Roman" w:hAnsi="Times New Roman"/>
          <w:sz w:val="24"/>
          <w:szCs w:val="24"/>
          <w:lang w:bidi="lt-LT"/>
        </w:rPr>
        <w:t>. Akcentuotina, kad Kompensavimo įstatymas taikomas visiems be išimties asmenims, taip pat Kompensavimo įstatymo 20 straipsnyje nurodyta įstatymo taikymo veikimo pradžia neišskiria jokių asmenų grupių, kurioms būtų taikoma kitokia įstatymo veikimo pradžia, todėl nelaikytina, kad Kompensavimo įstatymo 20 straipsnis yra diskriminacinio pobūdžio bei pažeidžia Lygių galimybių įstatymą. Taigi nesutiktina su Pareiškėjo peticijoje išdėstyta nuomone, kad Kompensavimo įstatymo 20 straipsnis turi diskriminacijos požymių.</w:t>
      </w:r>
    </w:p>
    <w:p w:rsidR="00260A78" w:rsidRPr="00FE6C5A" w:rsidRDefault="00260A78" w:rsidP="003A22B8">
      <w:pPr>
        <w:spacing w:line="360" w:lineRule="auto"/>
        <w:ind w:firstLine="851"/>
        <w:jc w:val="both"/>
        <w:rPr>
          <w:rFonts w:ascii="Times New Roman" w:hAnsi="Times New Roman"/>
          <w:sz w:val="24"/>
          <w:szCs w:val="24"/>
          <w:lang w:bidi="lt-LT"/>
        </w:rPr>
      </w:pPr>
      <w:r w:rsidRPr="00FE6C5A">
        <w:rPr>
          <w:rFonts w:ascii="Times New Roman" w:hAnsi="Times New Roman"/>
          <w:sz w:val="24"/>
          <w:szCs w:val="24"/>
          <w:lang w:bidi="lt-LT"/>
        </w:rPr>
        <w:t>5. Lietuvos Respublikos Vyriausybė yra pateikusi Kompensavimo įstatymo Nr. X-296 20 straipsnio pakeitimo įstatymo projektą Nr. XIIIP-4603 (toliau – Kompensavimo įstatymo projektas) Lietuvos Respublikos Seimui, kuriuo siūloma praplėsti Kompensavimo įstatymo 20 straipsnyje įtvirtintą įstatymo galiojimo laike taisyklę, numatant, kad dėl nuo 2000 m. rugsėjo 26 d. iki 2005 m. liepos 1 d. padarytų sunkių ir labai sunkių smurtinių nusikaltimų atsiradusi žala kompensuojama, jeigu galutinis sprendimas baudžiamajame procese priimtas po 2005 m. liepos 1 d. Kartu įtvirtinant, kad dėl siūlomų pakeitimų asmenys turėtų teisę kreiptis dėl žalos kompensavimo į kompetentingą instituciją per dešimt metų, nuo siūlomo Kompensavimo įstatymo projekto įsigaliojimo dienos.</w:t>
      </w:r>
    </w:p>
    <w:p w:rsidR="001C02C9" w:rsidRPr="00FE6C5A" w:rsidRDefault="001C02C9" w:rsidP="001C02C9">
      <w:pPr>
        <w:pStyle w:val="AssecoParagraphNormalFirstLine"/>
        <w:spacing w:line="360" w:lineRule="auto"/>
        <w:rPr>
          <w:rFonts w:ascii="Times New Roman" w:hAnsi="Times New Roman"/>
          <w:sz w:val="24"/>
          <w:szCs w:val="24"/>
        </w:rPr>
      </w:pPr>
      <w:r w:rsidRPr="00FE6C5A">
        <w:rPr>
          <w:rFonts w:ascii="Times New Roman" w:hAnsi="Times New Roman"/>
          <w:sz w:val="24"/>
          <w:szCs w:val="24"/>
        </w:rPr>
        <w:t xml:space="preserve">Peticijų komisija, vadovaudamasi Peticijų įstatymo 12 straipsnio 3 dalies ir Seimo Peticijų komisijos nuostatų 28 punktu, siūlo Seimo seniūnų sueigai įtraukti į Lietuvos Respublikos Seimo </w:t>
      </w:r>
      <w:r w:rsidR="00030EE3" w:rsidRPr="00FE6C5A">
        <w:rPr>
          <w:rFonts w:ascii="Times New Roman" w:hAnsi="Times New Roman"/>
          <w:sz w:val="24"/>
          <w:szCs w:val="24"/>
        </w:rPr>
        <w:t>rudens</w:t>
      </w:r>
      <w:r w:rsidRPr="00FE6C5A">
        <w:rPr>
          <w:rFonts w:ascii="Times New Roman" w:hAnsi="Times New Roman"/>
          <w:sz w:val="24"/>
          <w:szCs w:val="24"/>
        </w:rPr>
        <w:t xml:space="preserve"> sesijos darbotvarkę protokolinio nutarimo dėl Peticijų komisijos sprendimo dėl </w:t>
      </w:r>
      <w:r w:rsidR="00111F7F" w:rsidRPr="00FE6C5A">
        <w:rPr>
          <w:rFonts w:ascii="Times New Roman" w:hAnsi="Times New Roman"/>
          <w:bCs/>
          <w:sz w:val="24"/>
          <w:szCs w:val="24"/>
        </w:rPr>
        <w:t xml:space="preserve">Algimanto </w:t>
      </w:r>
      <w:proofErr w:type="spellStart"/>
      <w:r w:rsidR="00111F7F" w:rsidRPr="00FE6C5A">
        <w:rPr>
          <w:rFonts w:ascii="Times New Roman" w:hAnsi="Times New Roman"/>
          <w:bCs/>
          <w:sz w:val="24"/>
          <w:szCs w:val="24"/>
        </w:rPr>
        <w:t>Jurgausko</w:t>
      </w:r>
      <w:proofErr w:type="spellEnd"/>
      <w:r w:rsidRPr="00FE6C5A">
        <w:rPr>
          <w:rFonts w:ascii="Times New Roman" w:hAnsi="Times New Roman"/>
          <w:bCs/>
          <w:sz w:val="24"/>
          <w:szCs w:val="24"/>
        </w:rPr>
        <w:t xml:space="preserve"> </w:t>
      </w:r>
      <w:r w:rsidRPr="00FE6C5A">
        <w:rPr>
          <w:rFonts w:ascii="Times New Roman" w:hAnsi="Times New Roman"/>
          <w:sz w:val="24"/>
          <w:szCs w:val="24"/>
        </w:rPr>
        <w:t>peticijos projektą.</w:t>
      </w:r>
    </w:p>
    <w:p w:rsidR="001C02C9" w:rsidRPr="00FE6C5A" w:rsidRDefault="001C02C9" w:rsidP="001C02C9">
      <w:pPr>
        <w:spacing w:line="360" w:lineRule="auto"/>
        <w:ind w:firstLine="567"/>
        <w:jc w:val="both"/>
        <w:rPr>
          <w:rFonts w:ascii="Times New Roman" w:hAnsi="Times New Roman"/>
          <w:sz w:val="24"/>
          <w:szCs w:val="24"/>
        </w:rPr>
      </w:pPr>
    </w:p>
    <w:p w:rsidR="001C02C9" w:rsidRPr="00FE6C5A" w:rsidRDefault="001C02C9" w:rsidP="001C02C9">
      <w:pPr>
        <w:pStyle w:val="Pagrindiniotekstotrauka"/>
        <w:spacing w:line="360" w:lineRule="auto"/>
        <w:ind w:left="0" w:firstLine="720"/>
      </w:pPr>
      <w:r w:rsidRPr="00FE6C5A">
        <w:t>PRIDEDAMA:</w:t>
      </w:r>
    </w:p>
    <w:p w:rsidR="001C02C9" w:rsidRPr="00FE6C5A" w:rsidRDefault="001C02C9" w:rsidP="001C02C9">
      <w:pPr>
        <w:pStyle w:val="Pagrindiniotekstotrauka"/>
        <w:spacing w:line="360" w:lineRule="auto"/>
        <w:ind w:left="0" w:firstLine="720"/>
      </w:pPr>
      <w:r w:rsidRPr="00FE6C5A">
        <w:rPr>
          <w:bCs/>
        </w:rPr>
        <w:t xml:space="preserve">1. </w:t>
      </w:r>
      <w:r w:rsidR="00111F7F" w:rsidRPr="00FE6C5A">
        <w:rPr>
          <w:bCs/>
        </w:rPr>
        <w:t xml:space="preserve">Algimanto </w:t>
      </w:r>
      <w:proofErr w:type="spellStart"/>
      <w:r w:rsidR="00111F7F" w:rsidRPr="00FE6C5A">
        <w:rPr>
          <w:bCs/>
        </w:rPr>
        <w:t>Jurgausko</w:t>
      </w:r>
      <w:proofErr w:type="spellEnd"/>
      <w:r w:rsidR="00111F7F" w:rsidRPr="00FE6C5A">
        <w:t xml:space="preserve"> </w:t>
      </w:r>
      <w:r w:rsidRPr="00FE6C5A">
        <w:t>peticijos</w:t>
      </w:r>
      <w:r w:rsidRPr="00FE6C5A">
        <w:rPr>
          <w:bCs/>
        </w:rPr>
        <w:t xml:space="preserve"> </w:t>
      </w:r>
      <w:r w:rsidRPr="00FE6C5A">
        <w:t xml:space="preserve">kopija, </w:t>
      </w:r>
      <w:r w:rsidRPr="00FE6C5A">
        <w:rPr>
          <w:lang w:val="en-US"/>
        </w:rPr>
        <w:t>2</w:t>
      </w:r>
      <w:r w:rsidRPr="00FE6C5A">
        <w:t xml:space="preserve"> lapai.</w:t>
      </w:r>
    </w:p>
    <w:p w:rsidR="001C02C9" w:rsidRPr="00FE6C5A" w:rsidRDefault="001C02C9" w:rsidP="001C02C9">
      <w:pPr>
        <w:pStyle w:val="Pagrindiniotekstotrauka"/>
        <w:spacing w:line="360" w:lineRule="auto"/>
        <w:ind w:left="0" w:firstLine="720"/>
      </w:pPr>
      <w:r w:rsidRPr="00FE6C5A">
        <w:t xml:space="preserve">2. </w:t>
      </w:r>
      <w:r w:rsidR="00111F7F" w:rsidRPr="00FE6C5A">
        <w:t xml:space="preserve">Teisingumo </w:t>
      </w:r>
      <w:r w:rsidRPr="00FE6C5A">
        <w:t xml:space="preserve">ministerijos 2020 m. birželio </w:t>
      </w:r>
      <w:r w:rsidR="00111F7F" w:rsidRPr="00FE6C5A">
        <w:t>29</w:t>
      </w:r>
      <w:r w:rsidRPr="00FE6C5A">
        <w:rPr>
          <w:lang w:val="en-US"/>
        </w:rPr>
        <w:t xml:space="preserve"> </w:t>
      </w:r>
      <w:r w:rsidRPr="00FE6C5A">
        <w:t xml:space="preserve">d. raštas </w:t>
      </w:r>
      <w:r w:rsidR="00111F7F" w:rsidRPr="00FE6C5A">
        <w:t xml:space="preserve">Nr. </w:t>
      </w:r>
      <w:r w:rsidR="00111F7F" w:rsidRPr="00FE6C5A">
        <w:rPr>
          <w:bCs/>
          <w:color w:val="555555"/>
        </w:rPr>
        <w:t>(1.34E) 7R-3797</w:t>
      </w:r>
      <w:r w:rsidR="00111F7F" w:rsidRPr="00FE6C5A">
        <w:rPr>
          <w:rStyle w:val="dlxnowrap1"/>
          <w:bCs/>
        </w:rPr>
        <w:t xml:space="preserve">, </w:t>
      </w:r>
      <w:r w:rsidR="00111F7F" w:rsidRPr="00FE6C5A">
        <w:rPr>
          <w:rStyle w:val="dlxnowrap1"/>
          <w:bCs/>
          <w:lang w:val="en-US"/>
        </w:rPr>
        <w:t>6</w:t>
      </w:r>
      <w:r w:rsidRPr="00FE6C5A">
        <w:rPr>
          <w:rStyle w:val="dlxnowrap1"/>
          <w:bCs/>
        </w:rPr>
        <w:t xml:space="preserve"> lapai.</w:t>
      </w:r>
    </w:p>
    <w:p w:rsidR="001C02C9" w:rsidRPr="00FE6C5A" w:rsidRDefault="001C02C9" w:rsidP="001C02C9">
      <w:pPr>
        <w:spacing w:line="360" w:lineRule="auto"/>
        <w:ind w:firstLine="720"/>
        <w:jc w:val="both"/>
        <w:rPr>
          <w:rFonts w:ascii="Times New Roman" w:hAnsi="Times New Roman"/>
          <w:sz w:val="24"/>
          <w:szCs w:val="24"/>
        </w:rPr>
      </w:pPr>
      <w:r w:rsidRPr="00FE6C5A">
        <w:rPr>
          <w:rFonts w:ascii="Times New Roman" w:hAnsi="Times New Roman"/>
          <w:sz w:val="24"/>
          <w:szCs w:val="24"/>
        </w:rPr>
        <w:t xml:space="preserve">3. Išrašas iš Peticijų komisijos 2020 m. </w:t>
      </w:r>
      <w:r w:rsidR="00BE74CA" w:rsidRPr="00FE6C5A">
        <w:rPr>
          <w:rFonts w:ascii="Times New Roman" w:hAnsi="Times New Roman"/>
          <w:sz w:val="24"/>
          <w:szCs w:val="24"/>
        </w:rPr>
        <w:t>rugsė</w:t>
      </w:r>
      <w:r w:rsidR="00030EE3" w:rsidRPr="00FE6C5A">
        <w:rPr>
          <w:rFonts w:ascii="Times New Roman" w:hAnsi="Times New Roman"/>
          <w:sz w:val="24"/>
          <w:szCs w:val="24"/>
        </w:rPr>
        <w:t xml:space="preserve">jo 16 </w:t>
      </w:r>
      <w:r w:rsidRPr="00FE6C5A">
        <w:rPr>
          <w:rFonts w:ascii="Times New Roman" w:hAnsi="Times New Roman"/>
          <w:sz w:val="24"/>
          <w:szCs w:val="24"/>
        </w:rPr>
        <w:t>d.</w:t>
      </w:r>
      <w:r w:rsidR="004C5F19">
        <w:rPr>
          <w:rFonts w:ascii="Times New Roman" w:hAnsi="Times New Roman"/>
          <w:sz w:val="24"/>
          <w:szCs w:val="24"/>
        </w:rPr>
        <w:t xml:space="preserve"> posėdžio protokolo Nr. 250-P-</w:t>
      </w:r>
      <w:r w:rsidR="00D6606E">
        <w:rPr>
          <w:rFonts w:ascii="Times New Roman" w:hAnsi="Times New Roman"/>
          <w:sz w:val="24"/>
          <w:szCs w:val="24"/>
        </w:rPr>
        <w:t>11</w:t>
      </w:r>
      <w:r w:rsidRPr="00FE6C5A">
        <w:rPr>
          <w:rFonts w:ascii="Times New Roman" w:hAnsi="Times New Roman"/>
          <w:sz w:val="24"/>
          <w:szCs w:val="24"/>
        </w:rPr>
        <w:t xml:space="preserve">,             </w:t>
      </w:r>
      <w:r w:rsidR="00BE74CA" w:rsidRPr="00FE6C5A">
        <w:rPr>
          <w:rFonts w:ascii="Times New Roman" w:hAnsi="Times New Roman"/>
          <w:sz w:val="24"/>
          <w:szCs w:val="24"/>
        </w:rPr>
        <w:t xml:space="preserve"> </w:t>
      </w:r>
      <w:r w:rsidRPr="00FE6C5A">
        <w:rPr>
          <w:rFonts w:ascii="Times New Roman" w:hAnsi="Times New Roman"/>
          <w:sz w:val="24"/>
          <w:szCs w:val="24"/>
        </w:rPr>
        <w:t xml:space="preserve"> 1 lapas.</w:t>
      </w:r>
    </w:p>
    <w:p w:rsidR="001C02C9" w:rsidRPr="00FE6C5A" w:rsidRDefault="001C02C9" w:rsidP="001C02C9">
      <w:pPr>
        <w:spacing w:line="360" w:lineRule="auto"/>
        <w:ind w:firstLine="720"/>
        <w:jc w:val="both"/>
        <w:rPr>
          <w:rFonts w:ascii="Times New Roman" w:hAnsi="Times New Roman"/>
          <w:sz w:val="24"/>
          <w:szCs w:val="24"/>
        </w:rPr>
      </w:pPr>
      <w:r w:rsidRPr="00FE6C5A">
        <w:rPr>
          <w:rFonts w:ascii="Times New Roman" w:hAnsi="Times New Roman"/>
          <w:sz w:val="24"/>
          <w:szCs w:val="24"/>
        </w:rPr>
        <w:lastRenderedPageBreak/>
        <w:t>4. Lietuv</w:t>
      </w:r>
      <w:bookmarkEnd w:id="0"/>
      <w:r w:rsidRPr="00FE6C5A">
        <w:rPr>
          <w:rFonts w:ascii="Times New Roman" w:hAnsi="Times New Roman"/>
          <w:sz w:val="24"/>
          <w:szCs w:val="24"/>
        </w:rPr>
        <w:t>os Respublikos Seimo protokolinio nutarimo projektas, 1 lapas.</w:t>
      </w:r>
      <w:r w:rsidRPr="00FE6C5A">
        <w:rPr>
          <w:rFonts w:ascii="Times New Roman" w:hAnsi="Times New Roman"/>
          <w:sz w:val="24"/>
          <w:szCs w:val="24"/>
        </w:rPr>
        <w:tab/>
      </w:r>
    </w:p>
    <w:p w:rsidR="001C02C9" w:rsidRPr="00FE6C5A" w:rsidRDefault="001C02C9" w:rsidP="001C02C9">
      <w:pPr>
        <w:spacing w:line="360" w:lineRule="auto"/>
        <w:ind w:firstLine="720"/>
        <w:jc w:val="both"/>
        <w:rPr>
          <w:rFonts w:ascii="Times New Roman" w:hAnsi="Times New Roman"/>
          <w:sz w:val="24"/>
          <w:szCs w:val="24"/>
        </w:rPr>
      </w:pPr>
    </w:p>
    <w:p w:rsidR="001C02C9" w:rsidRPr="00FE6C5A" w:rsidRDefault="001C02C9" w:rsidP="001C02C9">
      <w:pPr>
        <w:spacing w:line="360" w:lineRule="auto"/>
        <w:ind w:firstLine="720"/>
        <w:jc w:val="both"/>
        <w:rPr>
          <w:rFonts w:ascii="Times New Roman" w:hAnsi="Times New Roman"/>
          <w:sz w:val="24"/>
          <w:szCs w:val="24"/>
        </w:rPr>
      </w:pPr>
    </w:p>
    <w:p w:rsidR="001C02C9" w:rsidRPr="00FE6C5A" w:rsidRDefault="001C02C9" w:rsidP="001C02C9">
      <w:pPr>
        <w:spacing w:line="360" w:lineRule="auto"/>
        <w:ind w:firstLine="720"/>
        <w:jc w:val="both"/>
        <w:rPr>
          <w:rFonts w:ascii="Times New Roman" w:hAnsi="Times New Roman"/>
          <w:sz w:val="24"/>
          <w:szCs w:val="24"/>
        </w:rPr>
      </w:pPr>
    </w:p>
    <w:p w:rsidR="001C02C9" w:rsidRPr="00FE6C5A" w:rsidRDefault="001C02C9" w:rsidP="001C02C9">
      <w:pPr>
        <w:spacing w:line="360" w:lineRule="auto"/>
        <w:jc w:val="both"/>
        <w:rPr>
          <w:rFonts w:ascii="Times New Roman" w:hAnsi="Times New Roman"/>
          <w:sz w:val="24"/>
          <w:szCs w:val="24"/>
        </w:rPr>
      </w:pPr>
      <w:r w:rsidRPr="00FE6C5A">
        <w:rPr>
          <w:rFonts w:ascii="Times New Roman" w:hAnsi="Times New Roman"/>
          <w:sz w:val="24"/>
          <w:szCs w:val="24"/>
        </w:rPr>
        <w:t>Komisijos pirmininkas</w:t>
      </w:r>
      <w:r w:rsidRPr="00FE6C5A">
        <w:rPr>
          <w:rFonts w:ascii="Times New Roman" w:hAnsi="Times New Roman"/>
          <w:sz w:val="24"/>
          <w:szCs w:val="24"/>
        </w:rPr>
        <w:tab/>
      </w:r>
      <w:r w:rsidRPr="00FE6C5A">
        <w:rPr>
          <w:rFonts w:ascii="Times New Roman" w:hAnsi="Times New Roman"/>
          <w:sz w:val="24"/>
          <w:szCs w:val="24"/>
        </w:rPr>
        <w:tab/>
      </w:r>
      <w:r w:rsidRPr="00FE6C5A">
        <w:rPr>
          <w:rFonts w:ascii="Times New Roman" w:hAnsi="Times New Roman"/>
          <w:sz w:val="24"/>
          <w:szCs w:val="24"/>
        </w:rPr>
        <w:tab/>
      </w:r>
      <w:r w:rsidRPr="00FE6C5A">
        <w:rPr>
          <w:rFonts w:ascii="Times New Roman" w:hAnsi="Times New Roman"/>
          <w:sz w:val="24"/>
          <w:szCs w:val="24"/>
        </w:rPr>
        <w:tab/>
      </w:r>
      <w:r w:rsidRPr="00FE6C5A">
        <w:rPr>
          <w:rFonts w:ascii="Times New Roman" w:hAnsi="Times New Roman"/>
          <w:sz w:val="24"/>
          <w:szCs w:val="24"/>
        </w:rPr>
        <w:tab/>
        <w:t xml:space="preserve">Petras </w:t>
      </w:r>
      <w:proofErr w:type="spellStart"/>
      <w:r w:rsidRPr="00FE6C5A">
        <w:rPr>
          <w:rFonts w:ascii="Times New Roman" w:hAnsi="Times New Roman"/>
          <w:sz w:val="24"/>
          <w:szCs w:val="24"/>
        </w:rPr>
        <w:t>Čimbaras</w:t>
      </w:r>
      <w:proofErr w:type="spellEnd"/>
    </w:p>
    <w:p w:rsidR="001C02C9" w:rsidRPr="00FE6C5A" w:rsidRDefault="001C02C9" w:rsidP="001C02C9">
      <w:pPr>
        <w:spacing w:line="360" w:lineRule="auto"/>
        <w:jc w:val="both"/>
        <w:rPr>
          <w:rFonts w:ascii="Times New Roman" w:hAnsi="Times New Roman"/>
          <w:sz w:val="24"/>
          <w:szCs w:val="24"/>
        </w:rPr>
      </w:pPr>
    </w:p>
    <w:p w:rsidR="001C02C9" w:rsidRPr="00FE6C5A" w:rsidRDefault="001C02C9" w:rsidP="001C02C9">
      <w:pPr>
        <w:spacing w:line="360" w:lineRule="auto"/>
        <w:jc w:val="both"/>
        <w:rPr>
          <w:rFonts w:ascii="Times New Roman" w:hAnsi="Times New Roman"/>
          <w:sz w:val="24"/>
          <w:szCs w:val="24"/>
        </w:rPr>
      </w:pPr>
    </w:p>
    <w:p w:rsidR="001C02C9" w:rsidRPr="00FE6C5A" w:rsidRDefault="001C02C9" w:rsidP="001C02C9">
      <w:pPr>
        <w:spacing w:line="360" w:lineRule="auto"/>
        <w:jc w:val="both"/>
        <w:rPr>
          <w:rFonts w:ascii="Times New Roman" w:hAnsi="Times New Roman"/>
          <w:sz w:val="24"/>
          <w:szCs w:val="24"/>
        </w:rPr>
      </w:pPr>
    </w:p>
    <w:p w:rsidR="001C02C9" w:rsidRPr="00FE6C5A" w:rsidRDefault="001C02C9" w:rsidP="001C02C9">
      <w:pPr>
        <w:spacing w:line="360" w:lineRule="auto"/>
        <w:jc w:val="both"/>
        <w:rPr>
          <w:rFonts w:ascii="Times New Roman" w:hAnsi="Times New Roman"/>
          <w:sz w:val="24"/>
          <w:szCs w:val="24"/>
        </w:rPr>
      </w:pPr>
    </w:p>
    <w:p w:rsidR="001C02C9" w:rsidRPr="00FE6C5A" w:rsidRDefault="001C02C9" w:rsidP="001C02C9">
      <w:pPr>
        <w:pStyle w:val="Antrat1"/>
        <w:spacing w:line="360" w:lineRule="auto"/>
        <w:jc w:val="both"/>
        <w:rPr>
          <w:i w:val="0"/>
        </w:rPr>
      </w:pPr>
    </w:p>
    <w:p w:rsidR="001C02C9" w:rsidRPr="00FE6C5A" w:rsidRDefault="001C02C9" w:rsidP="001C02C9">
      <w:pPr>
        <w:pStyle w:val="Antrat1"/>
        <w:spacing w:line="360" w:lineRule="auto"/>
        <w:jc w:val="both"/>
        <w:rPr>
          <w:i w:val="0"/>
        </w:rPr>
      </w:pPr>
    </w:p>
    <w:p w:rsidR="001C02C9" w:rsidRPr="00FE6C5A" w:rsidRDefault="001C02C9" w:rsidP="001C02C9">
      <w:pPr>
        <w:pStyle w:val="Antrat1"/>
        <w:spacing w:line="360" w:lineRule="auto"/>
        <w:jc w:val="both"/>
        <w:rPr>
          <w:i w:val="0"/>
        </w:rPr>
      </w:pPr>
    </w:p>
    <w:p w:rsidR="001C02C9" w:rsidRPr="00FE6C5A" w:rsidRDefault="001C02C9" w:rsidP="001C02C9">
      <w:pPr>
        <w:pStyle w:val="Antrat1"/>
        <w:spacing w:line="360" w:lineRule="auto"/>
        <w:jc w:val="both"/>
        <w:rPr>
          <w:i w:val="0"/>
        </w:rPr>
      </w:pPr>
    </w:p>
    <w:p w:rsidR="001C02C9" w:rsidRPr="00FE6C5A" w:rsidRDefault="001C02C9" w:rsidP="001C02C9">
      <w:pPr>
        <w:pStyle w:val="Antrat1"/>
        <w:spacing w:line="360" w:lineRule="auto"/>
        <w:jc w:val="both"/>
        <w:rPr>
          <w:i w:val="0"/>
        </w:rPr>
      </w:pPr>
    </w:p>
    <w:p w:rsidR="001C02C9" w:rsidRPr="00FE6C5A" w:rsidRDefault="001C02C9" w:rsidP="001C02C9">
      <w:pPr>
        <w:pStyle w:val="Antrat1"/>
        <w:spacing w:line="360" w:lineRule="auto"/>
        <w:jc w:val="both"/>
        <w:rPr>
          <w:i w:val="0"/>
        </w:rPr>
      </w:pPr>
    </w:p>
    <w:p w:rsidR="001C02C9" w:rsidRPr="00FE6C5A" w:rsidRDefault="001C02C9" w:rsidP="001C02C9">
      <w:pPr>
        <w:pStyle w:val="Antrat1"/>
        <w:spacing w:line="360" w:lineRule="auto"/>
        <w:jc w:val="both"/>
        <w:rPr>
          <w:i w:val="0"/>
        </w:rPr>
      </w:pPr>
    </w:p>
    <w:p w:rsidR="001C02C9" w:rsidRPr="00FE6C5A" w:rsidRDefault="001C02C9" w:rsidP="001C02C9">
      <w:pPr>
        <w:pStyle w:val="Antrat1"/>
        <w:spacing w:line="360" w:lineRule="auto"/>
        <w:jc w:val="both"/>
        <w:rPr>
          <w:i w:val="0"/>
        </w:rPr>
      </w:pPr>
    </w:p>
    <w:p w:rsidR="001C02C9" w:rsidRPr="00FE6C5A" w:rsidRDefault="001C02C9" w:rsidP="001C02C9">
      <w:pPr>
        <w:pStyle w:val="Antrat1"/>
        <w:spacing w:line="360" w:lineRule="auto"/>
        <w:jc w:val="both"/>
        <w:rPr>
          <w:i w:val="0"/>
        </w:rPr>
      </w:pPr>
    </w:p>
    <w:p w:rsidR="001C02C9" w:rsidRPr="00FE6C5A" w:rsidRDefault="001C02C9" w:rsidP="001C02C9">
      <w:pPr>
        <w:pStyle w:val="Antrat1"/>
        <w:spacing w:line="360" w:lineRule="auto"/>
        <w:jc w:val="both"/>
        <w:rPr>
          <w:i w:val="0"/>
        </w:rPr>
      </w:pPr>
    </w:p>
    <w:p w:rsidR="001C02C9" w:rsidRPr="00FE6C5A" w:rsidRDefault="001C02C9" w:rsidP="001C02C9">
      <w:pPr>
        <w:pStyle w:val="Antrat1"/>
        <w:spacing w:line="360" w:lineRule="auto"/>
        <w:jc w:val="both"/>
        <w:rPr>
          <w:i w:val="0"/>
        </w:rPr>
      </w:pPr>
    </w:p>
    <w:p w:rsidR="001C02C9" w:rsidRPr="00FE6C5A" w:rsidRDefault="001C02C9" w:rsidP="001C02C9">
      <w:pPr>
        <w:pStyle w:val="Antrat1"/>
        <w:spacing w:line="360" w:lineRule="auto"/>
        <w:jc w:val="both"/>
        <w:rPr>
          <w:i w:val="0"/>
        </w:rPr>
      </w:pPr>
    </w:p>
    <w:p w:rsidR="001C02C9" w:rsidRPr="00FE6C5A" w:rsidRDefault="001C02C9" w:rsidP="001C02C9">
      <w:pPr>
        <w:pStyle w:val="Antrat1"/>
        <w:spacing w:line="360" w:lineRule="auto"/>
        <w:jc w:val="both"/>
        <w:rPr>
          <w:i w:val="0"/>
        </w:rPr>
      </w:pPr>
    </w:p>
    <w:p w:rsidR="001C02C9" w:rsidRPr="00FE6C5A" w:rsidRDefault="001C02C9" w:rsidP="001C02C9">
      <w:pPr>
        <w:pStyle w:val="Antrat1"/>
        <w:spacing w:line="360" w:lineRule="auto"/>
        <w:jc w:val="both"/>
        <w:rPr>
          <w:i w:val="0"/>
        </w:rPr>
      </w:pPr>
    </w:p>
    <w:p w:rsidR="00FE6C5A" w:rsidRPr="00FE6C5A" w:rsidRDefault="00FE6C5A" w:rsidP="00FE6C5A">
      <w:pPr>
        <w:rPr>
          <w:rFonts w:ascii="Times New Roman" w:hAnsi="Times New Roman"/>
          <w:sz w:val="24"/>
          <w:szCs w:val="24"/>
        </w:rPr>
      </w:pPr>
    </w:p>
    <w:p w:rsidR="00FE6C5A" w:rsidRPr="00FE6C5A" w:rsidRDefault="00FE6C5A" w:rsidP="00FE6C5A">
      <w:pPr>
        <w:rPr>
          <w:rFonts w:ascii="Times New Roman" w:hAnsi="Times New Roman"/>
          <w:sz w:val="24"/>
          <w:szCs w:val="24"/>
        </w:rPr>
      </w:pPr>
    </w:p>
    <w:p w:rsidR="00FE6C5A" w:rsidRPr="00FE6C5A" w:rsidRDefault="00FE6C5A" w:rsidP="00FE6C5A">
      <w:pPr>
        <w:rPr>
          <w:rFonts w:ascii="Times New Roman" w:hAnsi="Times New Roman"/>
          <w:sz w:val="24"/>
          <w:szCs w:val="24"/>
        </w:rPr>
      </w:pPr>
    </w:p>
    <w:p w:rsidR="00FE6C5A" w:rsidRPr="00FE6C5A" w:rsidRDefault="00FE6C5A" w:rsidP="00FE6C5A">
      <w:pPr>
        <w:rPr>
          <w:rFonts w:ascii="Times New Roman" w:hAnsi="Times New Roman"/>
          <w:sz w:val="24"/>
          <w:szCs w:val="24"/>
        </w:rPr>
      </w:pPr>
    </w:p>
    <w:p w:rsidR="00FE6C5A" w:rsidRPr="00FE6C5A" w:rsidRDefault="00FE6C5A" w:rsidP="00FE6C5A">
      <w:pPr>
        <w:rPr>
          <w:rFonts w:ascii="Times New Roman" w:hAnsi="Times New Roman"/>
          <w:sz w:val="24"/>
          <w:szCs w:val="24"/>
        </w:rPr>
      </w:pPr>
    </w:p>
    <w:p w:rsidR="00FE6C5A" w:rsidRPr="00FE6C5A" w:rsidRDefault="00FE6C5A" w:rsidP="00FE6C5A">
      <w:pPr>
        <w:rPr>
          <w:rFonts w:ascii="Times New Roman" w:hAnsi="Times New Roman"/>
          <w:sz w:val="24"/>
          <w:szCs w:val="24"/>
        </w:rPr>
      </w:pPr>
    </w:p>
    <w:p w:rsidR="00FE6C5A" w:rsidRPr="00FE6C5A" w:rsidRDefault="00FE6C5A" w:rsidP="00FE6C5A">
      <w:pPr>
        <w:rPr>
          <w:rFonts w:ascii="Times New Roman" w:hAnsi="Times New Roman"/>
          <w:sz w:val="24"/>
          <w:szCs w:val="24"/>
        </w:rPr>
      </w:pPr>
    </w:p>
    <w:p w:rsidR="00FE6C5A" w:rsidRPr="00FE6C5A" w:rsidRDefault="00FE6C5A" w:rsidP="00FE6C5A">
      <w:pPr>
        <w:rPr>
          <w:rFonts w:ascii="Times New Roman" w:hAnsi="Times New Roman"/>
          <w:sz w:val="24"/>
          <w:szCs w:val="24"/>
        </w:rPr>
      </w:pPr>
    </w:p>
    <w:p w:rsidR="00FE6C5A" w:rsidRPr="00FE6C5A" w:rsidRDefault="00FE6C5A" w:rsidP="00FE6C5A">
      <w:pPr>
        <w:rPr>
          <w:rFonts w:ascii="Times New Roman" w:hAnsi="Times New Roman"/>
          <w:sz w:val="24"/>
          <w:szCs w:val="24"/>
        </w:rPr>
      </w:pPr>
    </w:p>
    <w:p w:rsidR="00FE6C5A" w:rsidRPr="00FE6C5A" w:rsidRDefault="00FE6C5A" w:rsidP="00FE6C5A">
      <w:pPr>
        <w:rPr>
          <w:rFonts w:ascii="Times New Roman" w:hAnsi="Times New Roman"/>
          <w:sz w:val="24"/>
          <w:szCs w:val="24"/>
        </w:rPr>
      </w:pPr>
    </w:p>
    <w:p w:rsidR="00FE6C5A" w:rsidRPr="00FE6C5A" w:rsidRDefault="00FE6C5A" w:rsidP="00FE6C5A">
      <w:pPr>
        <w:rPr>
          <w:rFonts w:ascii="Times New Roman" w:hAnsi="Times New Roman"/>
          <w:sz w:val="24"/>
          <w:szCs w:val="24"/>
        </w:rPr>
      </w:pPr>
    </w:p>
    <w:p w:rsidR="00FE6C5A" w:rsidRPr="00FE6C5A" w:rsidRDefault="00FE6C5A" w:rsidP="00FE6C5A">
      <w:pPr>
        <w:rPr>
          <w:rFonts w:ascii="Times New Roman" w:hAnsi="Times New Roman"/>
          <w:sz w:val="24"/>
          <w:szCs w:val="24"/>
        </w:rPr>
      </w:pPr>
    </w:p>
    <w:p w:rsidR="00FE6C5A" w:rsidRPr="00FE6C5A" w:rsidRDefault="00FE6C5A" w:rsidP="00FE6C5A">
      <w:pPr>
        <w:rPr>
          <w:rFonts w:ascii="Times New Roman" w:hAnsi="Times New Roman"/>
          <w:sz w:val="24"/>
          <w:szCs w:val="24"/>
        </w:rPr>
      </w:pPr>
    </w:p>
    <w:p w:rsidR="00FE6C5A" w:rsidRPr="00FE6C5A" w:rsidRDefault="00FE6C5A" w:rsidP="00FE6C5A">
      <w:pPr>
        <w:rPr>
          <w:rFonts w:ascii="Times New Roman" w:hAnsi="Times New Roman"/>
          <w:sz w:val="24"/>
          <w:szCs w:val="24"/>
        </w:rPr>
      </w:pPr>
    </w:p>
    <w:p w:rsidR="001C02C9" w:rsidRDefault="001C02C9" w:rsidP="001C02C9">
      <w:pPr>
        <w:pStyle w:val="Antrat1"/>
        <w:spacing w:line="360" w:lineRule="auto"/>
        <w:jc w:val="both"/>
        <w:rPr>
          <w:i w:val="0"/>
        </w:rPr>
      </w:pPr>
      <w:r w:rsidRPr="00FE6C5A">
        <w:rPr>
          <w:i w:val="0"/>
        </w:rPr>
        <w:t xml:space="preserve">Janina </w:t>
      </w:r>
      <w:proofErr w:type="spellStart"/>
      <w:r w:rsidRPr="00FE6C5A">
        <w:rPr>
          <w:i w:val="0"/>
        </w:rPr>
        <w:t>Šniaukštienė</w:t>
      </w:r>
      <w:proofErr w:type="spellEnd"/>
      <w:r w:rsidRPr="00FE6C5A">
        <w:rPr>
          <w:i w:val="0"/>
        </w:rPr>
        <w:t>, tel. (8 5) 239</w:t>
      </w:r>
      <w:r>
        <w:rPr>
          <w:i w:val="0"/>
        </w:rPr>
        <w:t xml:space="preserve"> 6819, el. p. janina.sniaukstiene@lrs.lt </w:t>
      </w:r>
    </w:p>
    <w:sectPr w:rsidR="001C02C9" w:rsidSect="00144821">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5DAA" w:rsidRDefault="00594C7B">
      <w:r>
        <w:separator/>
      </w:r>
    </w:p>
  </w:endnote>
  <w:endnote w:type="continuationSeparator" w:id="0">
    <w:p w:rsidR="00935DAA" w:rsidRDefault="00594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NewRomanPSMT">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5DAA" w:rsidRDefault="00594C7B">
      <w:r>
        <w:separator/>
      </w:r>
    </w:p>
  </w:footnote>
  <w:footnote w:type="continuationSeparator" w:id="0">
    <w:p w:rsidR="00935DAA" w:rsidRDefault="00594C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1471776"/>
      <w:docPartObj>
        <w:docPartGallery w:val="Page Numbers (Top of Page)"/>
        <w:docPartUnique/>
      </w:docPartObj>
    </w:sdtPr>
    <w:sdtEndPr/>
    <w:sdtContent>
      <w:p w:rsidR="00144821" w:rsidRDefault="003A22B8">
        <w:pPr>
          <w:pStyle w:val="Antrats"/>
          <w:jc w:val="center"/>
        </w:pPr>
        <w:r>
          <w:fldChar w:fldCharType="begin"/>
        </w:r>
        <w:r>
          <w:instrText>PAGE   \* MERGEFORMAT</w:instrText>
        </w:r>
        <w:r>
          <w:fldChar w:fldCharType="separate"/>
        </w:r>
        <w:r w:rsidR="00257BB6">
          <w:rPr>
            <w:noProof/>
          </w:rPr>
          <w:t>5</w:t>
        </w:r>
        <w:r>
          <w:fldChar w:fldCharType="end"/>
        </w:r>
      </w:p>
    </w:sdtContent>
  </w:sdt>
  <w:p w:rsidR="00144821" w:rsidRDefault="00257BB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2C9"/>
    <w:rsid w:val="00030EE3"/>
    <w:rsid w:val="00111F7F"/>
    <w:rsid w:val="001C02C9"/>
    <w:rsid w:val="00257BB6"/>
    <w:rsid w:val="00260A78"/>
    <w:rsid w:val="00340D5B"/>
    <w:rsid w:val="00356409"/>
    <w:rsid w:val="003A22B8"/>
    <w:rsid w:val="004B6A73"/>
    <w:rsid w:val="004C5F19"/>
    <w:rsid w:val="004D092E"/>
    <w:rsid w:val="00594C7B"/>
    <w:rsid w:val="00646602"/>
    <w:rsid w:val="006B1375"/>
    <w:rsid w:val="006E036F"/>
    <w:rsid w:val="006E2DD3"/>
    <w:rsid w:val="00935DAA"/>
    <w:rsid w:val="00A97F72"/>
    <w:rsid w:val="00BE74CA"/>
    <w:rsid w:val="00C62CD4"/>
    <w:rsid w:val="00D6606E"/>
    <w:rsid w:val="00EA7CA8"/>
    <w:rsid w:val="00F97F2B"/>
    <w:rsid w:val="00FE6C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017EA"/>
  <w15:chartTrackingRefBased/>
  <w15:docId w15:val="{53D47AB8-4AAA-400D-8A65-AE796ECA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C02C9"/>
    <w:pPr>
      <w:spacing w:after="0" w:line="240" w:lineRule="auto"/>
    </w:pPr>
    <w:rPr>
      <w:rFonts w:ascii="CG Times" w:eastAsia="Times New Roman" w:hAnsi="CG Times" w:cs="Times New Roman"/>
      <w:sz w:val="20"/>
      <w:szCs w:val="20"/>
    </w:rPr>
  </w:style>
  <w:style w:type="paragraph" w:styleId="Antrat1">
    <w:name w:val="heading 1"/>
    <w:basedOn w:val="prastasis"/>
    <w:next w:val="prastasis"/>
    <w:link w:val="Antrat1Diagrama"/>
    <w:qFormat/>
    <w:rsid w:val="001C02C9"/>
    <w:pPr>
      <w:keepNext/>
      <w:outlineLvl w:val="0"/>
    </w:pPr>
    <w:rPr>
      <w:rFonts w:ascii="Times New Roman" w:hAnsi="Times New Roman"/>
      <w:i/>
      <w:i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C02C9"/>
    <w:rPr>
      <w:rFonts w:eastAsia="Times New Roman" w:cs="Times New Roman"/>
      <w:i/>
      <w:iCs/>
      <w:sz w:val="24"/>
      <w:szCs w:val="24"/>
    </w:rPr>
  </w:style>
  <w:style w:type="paragraph" w:styleId="Pagrindiniotekstotrauka">
    <w:name w:val="Body Text Indent"/>
    <w:basedOn w:val="prastasis"/>
    <w:link w:val="PagrindiniotekstotraukaDiagrama"/>
    <w:semiHidden/>
    <w:unhideWhenUsed/>
    <w:rsid w:val="001C02C9"/>
    <w:pPr>
      <w:ind w:left="720"/>
      <w:jc w:val="both"/>
    </w:pPr>
    <w:rPr>
      <w:rFonts w:ascii="Times New Roman" w:hAnsi="Times New Roman"/>
      <w:sz w:val="24"/>
      <w:szCs w:val="24"/>
    </w:rPr>
  </w:style>
  <w:style w:type="character" w:customStyle="1" w:styleId="PagrindiniotekstotraukaDiagrama">
    <w:name w:val="Pagrindinio teksto įtrauka Diagrama"/>
    <w:basedOn w:val="Numatytasispastraiposriftas"/>
    <w:link w:val="Pagrindiniotekstotrauka"/>
    <w:semiHidden/>
    <w:rsid w:val="001C02C9"/>
    <w:rPr>
      <w:rFonts w:eastAsia="Times New Roman" w:cs="Times New Roman"/>
      <w:sz w:val="24"/>
      <w:szCs w:val="24"/>
    </w:rPr>
  </w:style>
  <w:style w:type="paragraph" w:styleId="Betarp">
    <w:name w:val="No Spacing"/>
    <w:uiPriority w:val="1"/>
    <w:qFormat/>
    <w:rsid w:val="001C02C9"/>
    <w:pPr>
      <w:spacing w:after="0" w:line="240" w:lineRule="auto"/>
    </w:pPr>
    <w:rPr>
      <w:rFonts w:ascii="Calibri" w:eastAsia="Calibri" w:hAnsi="Calibri" w:cs="Times New Roman"/>
    </w:rPr>
  </w:style>
  <w:style w:type="paragraph" w:customStyle="1" w:styleId="Style">
    <w:name w:val="Style"/>
    <w:rsid w:val="001C02C9"/>
    <w:pPr>
      <w:widowControl w:val="0"/>
      <w:autoSpaceDE w:val="0"/>
      <w:autoSpaceDN w:val="0"/>
      <w:adjustRightInd w:val="0"/>
      <w:spacing w:after="0" w:line="240" w:lineRule="auto"/>
    </w:pPr>
    <w:rPr>
      <w:rFonts w:eastAsia="Times New Roman" w:cs="Times New Roman"/>
      <w:sz w:val="24"/>
      <w:szCs w:val="24"/>
      <w:lang w:val="en-US"/>
    </w:rPr>
  </w:style>
  <w:style w:type="character" w:customStyle="1" w:styleId="dlxnowrap1">
    <w:name w:val="dlxnowrap1"/>
    <w:rsid w:val="001C02C9"/>
  </w:style>
  <w:style w:type="paragraph" w:customStyle="1" w:styleId="AssecoParagraphNormalFirstLine">
    <w:name w:val="Asseco Paragraph Normal First Line"/>
    <w:basedOn w:val="prastasis"/>
    <w:qFormat/>
    <w:rsid w:val="001C02C9"/>
    <w:pPr>
      <w:ind w:firstLine="709"/>
      <w:jc w:val="both"/>
    </w:pPr>
    <w:rPr>
      <w:rFonts w:ascii="Calibri" w:hAnsi="Calibri"/>
      <w:sz w:val="22"/>
      <w:lang w:eastAsia="pl-PL"/>
    </w:rPr>
  </w:style>
  <w:style w:type="paragraph" w:styleId="Antrats">
    <w:name w:val="header"/>
    <w:basedOn w:val="prastasis"/>
    <w:link w:val="AntratsDiagrama"/>
    <w:uiPriority w:val="99"/>
    <w:unhideWhenUsed/>
    <w:rsid w:val="001C02C9"/>
    <w:pPr>
      <w:tabs>
        <w:tab w:val="center" w:pos="4819"/>
        <w:tab w:val="right" w:pos="9638"/>
      </w:tabs>
    </w:pPr>
  </w:style>
  <w:style w:type="character" w:customStyle="1" w:styleId="AntratsDiagrama">
    <w:name w:val="Antraštės Diagrama"/>
    <w:basedOn w:val="Numatytasispastraiposriftas"/>
    <w:link w:val="Antrats"/>
    <w:uiPriority w:val="99"/>
    <w:rsid w:val="001C02C9"/>
    <w:rPr>
      <w:rFonts w:ascii="CG Times" w:eastAsia="Times New Roman" w:hAnsi="CG Times" w:cs="Times New Roman"/>
      <w:sz w:val="20"/>
      <w:szCs w:val="20"/>
    </w:rPr>
  </w:style>
  <w:style w:type="paragraph" w:customStyle="1" w:styleId="Adresas">
    <w:name w:val="Adresas"/>
    <w:basedOn w:val="prastasis"/>
    <w:qFormat/>
    <w:rsid w:val="00260A78"/>
    <w:pPr>
      <w:suppressAutoHyphens/>
      <w:ind w:right="318"/>
    </w:pPr>
    <w:rPr>
      <w:rFonts w:ascii="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Z6YWEJNPDQQR-896559167-34</_dlc_DocId>
    <_dlc_DocIdUrl xmlns="28130d43-1b56-4a10-ad88-2cd38123f4c1">
      <Url>https://intranetas.lrs.lt/29/_layouts/15/DocIdRedir.aspx?ID=Z6YWEJNPDQQR-896559167-34</Url>
      <Description>Z6YWEJNPDQQR-896559167-34</Description>
    </_dlc_DocIdUrl>
  </documentManagement>
</p:properties>
</file>

<file path=customXml/itemProps1.xml><?xml version="1.0" encoding="utf-8"?>
<ds:datastoreItem xmlns:ds="http://schemas.openxmlformats.org/officeDocument/2006/customXml" ds:itemID="{01B553BF-389F-42BB-B651-B1B73C13C936}"/>
</file>

<file path=customXml/itemProps2.xml><?xml version="1.0" encoding="utf-8"?>
<ds:datastoreItem xmlns:ds="http://schemas.openxmlformats.org/officeDocument/2006/customXml" ds:itemID="{4C3E9C18-60D4-4199-A410-4BE827DB7E2D}"/>
</file>

<file path=customXml/itemProps3.xml><?xml version="1.0" encoding="utf-8"?>
<ds:datastoreItem xmlns:ds="http://schemas.openxmlformats.org/officeDocument/2006/customXml" ds:itemID="{4967A461-0074-4686-A213-231D4A17F360}"/>
</file>

<file path=customXml/itemProps4.xml><?xml version="1.0" encoding="utf-8"?>
<ds:datastoreItem xmlns:ds="http://schemas.openxmlformats.org/officeDocument/2006/customXml" ds:itemID="{01371B6B-4B89-42DD-BB03-A1A369B7232B}"/>
</file>

<file path=docProps/app.xml><?xml version="1.0" encoding="utf-8"?>
<Properties xmlns="http://schemas.openxmlformats.org/officeDocument/2006/extended-properties" xmlns:vt="http://schemas.openxmlformats.org/officeDocument/2006/docPropsVTypes">
  <Template>Normal.dotm</Template>
  <TotalTime>33</TotalTime>
  <Pages>5</Pages>
  <Words>6254</Words>
  <Characters>3566</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ŠNIAUKŠTIENĖ Janina</dc:creator>
  <cp:keywords/>
  <dc:description/>
  <cp:lastModifiedBy>ŠNIAUKŠTIENĖ Janina</cp:lastModifiedBy>
  <cp:revision>22</cp:revision>
  <dcterms:created xsi:type="dcterms:W3CDTF">2020-07-02T05:48:00Z</dcterms:created>
  <dcterms:modified xsi:type="dcterms:W3CDTF">2020-09-14T05:02:00Z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1ef4436b-3b33-49c1-abf7-50476c48bed8</vt:lpwstr>
  </property>
  <property fmtid="{D5CDD505-2E9C-101B-9397-08002B2CF9AE}" pid="3" name="ContentTypeId">
    <vt:lpwstr>0x010100147D90CBC16D234CA619BBDEA3061AC4</vt:lpwstr>
  </property>
</Properties>
</file>