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6D23C558"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6702BC">
        <w:rPr>
          <w:rFonts w:eastAsia="Calibri"/>
          <w:szCs w:val="24"/>
          <w:lang w:val="en-US"/>
        </w:rPr>
        <w:t>baland</w:t>
      </w:r>
      <w:r w:rsidR="006702BC">
        <w:rPr>
          <w:rFonts w:eastAsia="Calibri"/>
          <w:szCs w:val="24"/>
        </w:rPr>
        <w:t>žio</w:t>
      </w:r>
      <w:proofErr w:type="spellEnd"/>
      <w:proofErr w:type="gramEnd"/>
      <w:r w:rsidR="006702BC">
        <w:rPr>
          <w:rFonts w:eastAsia="Calibri"/>
          <w:szCs w:val="24"/>
        </w:rPr>
        <w:t xml:space="preserve"> </w:t>
      </w:r>
      <w:r w:rsidR="006702BC">
        <w:rPr>
          <w:rFonts w:eastAsia="Calibri"/>
          <w:szCs w:val="24"/>
          <w:lang w:val="en-US"/>
        </w:rPr>
        <w:t>8</w:t>
      </w:r>
      <w:r w:rsidR="00446730">
        <w:rPr>
          <w:rFonts w:eastAsia="Calibri"/>
          <w:szCs w:val="24"/>
          <w:lang w:val="en-US"/>
        </w:rPr>
        <w:t xml:space="preserve"> </w:t>
      </w:r>
      <w:r w:rsidR="00CF7BAC">
        <w:rPr>
          <w:rFonts w:eastAsia="Calibri"/>
          <w:szCs w:val="24"/>
        </w:rPr>
        <w:t>d. Nr. 250-I-</w:t>
      </w:r>
      <w:r w:rsidR="006702BC">
        <w:rPr>
          <w:rFonts w:eastAsia="Calibri"/>
          <w:szCs w:val="24"/>
          <w:lang w:val="en-US"/>
        </w:rPr>
        <w:t>10</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8643E2" w:rsidRDefault="005427A1" w:rsidP="006702BC">
      <w:pPr>
        <w:spacing w:line="360" w:lineRule="auto"/>
        <w:jc w:val="right"/>
        <w:rPr>
          <w:rFonts w:eastAsia="Calibri"/>
          <w:szCs w:val="24"/>
        </w:rPr>
      </w:pPr>
    </w:p>
    <w:p w14:paraId="5B4148DB" w14:textId="7200C62B" w:rsidR="008643E2" w:rsidRPr="006702BC" w:rsidRDefault="001B7668" w:rsidP="006702BC">
      <w:pPr>
        <w:spacing w:line="360" w:lineRule="auto"/>
        <w:ind w:firstLine="720"/>
        <w:jc w:val="both"/>
        <w:rPr>
          <w:rFonts w:eastAsia="Calibri"/>
          <w:szCs w:val="24"/>
        </w:rPr>
      </w:pPr>
      <w:r w:rsidRPr="007008F4">
        <w:rPr>
          <w:szCs w:val="24"/>
        </w:rPr>
        <w:t>Lietuvos Respublikos Seimo Peticijų komisija (toliau – Komisija) 202</w:t>
      </w:r>
      <w:r w:rsidR="00FB7E49" w:rsidRPr="007008F4">
        <w:rPr>
          <w:szCs w:val="24"/>
        </w:rPr>
        <w:t>6</w:t>
      </w:r>
      <w:r w:rsidRPr="007008F4">
        <w:rPr>
          <w:szCs w:val="24"/>
        </w:rPr>
        <w:t xml:space="preserve"> m. </w:t>
      </w:r>
      <w:proofErr w:type="spellStart"/>
      <w:proofErr w:type="gramStart"/>
      <w:r w:rsidR="006702BC">
        <w:rPr>
          <w:szCs w:val="24"/>
          <w:lang w:val="en-US"/>
        </w:rPr>
        <w:t>baland</w:t>
      </w:r>
      <w:r w:rsidR="006702BC">
        <w:rPr>
          <w:szCs w:val="24"/>
        </w:rPr>
        <w:t>žio</w:t>
      </w:r>
      <w:proofErr w:type="spellEnd"/>
      <w:proofErr w:type="gramEnd"/>
      <w:r w:rsidR="006702BC">
        <w:rPr>
          <w:szCs w:val="24"/>
        </w:rPr>
        <w:t xml:space="preserve"> </w:t>
      </w:r>
      <w:r w:rsidR="006702BC">
        <w:rPr>
          <w:szCs w:val="24"/>
          <w:lang w:val="en-US"/>
        </w:rPr>
        <w:t>8</w:t>
      </w:r>
      <w:r w:rsidRPr="007008F4">
        <w:rPr>
          <w:szCs w:val="24"/>
        </w:rPr>
        <w:t xml:space="preserve"> d. </w:t>
      </w:r>
      <w:r w:rsidRPr="004342D8">
        <w:rPr>
          <w:szCs w:val="24"/>
        </w:rPr>
        <w:t>posėdyje išnagrinėjo</w:t>
      </w:r>
      <w:r w:rsidR="000E65AF" w:rsidRPr="004342D8">
        <w:rPr>
          <w:szCs w:val="24"/>
        </w:rPr>
        <w:t xml:space="preserve"> pareiškėjo</w:t>
      </w:r>
      <w:r w:rsidRPr="004342D8">
        <w:rPr>
          <w:szCs w:val="24"/>
        </w:rPr>
        <w:t xml:space="preserve"> peticiją, kurioje pateiktas siūlymas</w:t>
      </w:r>
      <w:r w:rsidRPr="004342D8">
        <w:rPr>
          <w:color w:val="1F4E79" w:themeColor="accent1" w:themeShade="80"/>
          <w:szCs w:val="24"/>
          <w:lang w:bidi="bn-IN"/>
        </w:rPr>
        <w:t xml:space="preserve"> </w:t>
      </w:r>
      <w:r w:rsidR="006702BC" w:rsidRPr="000C5577">
        <w:t>dėl Lietuvos Respublikos užimtumo įstatymo 48</w:t>
      </w:r>
      <w:r w:rsidR="006702BC" w:rsidRPr="000C5577">
        <w:rPr>
          <w:vertAlign w:val="superscript"/>
        </w:rPr>
        <w:t xml:space="preserve">1 </w:t>
      </w:r>
      <w:r w:rsidR="006702BC" w:rsidRPr="000C5577">
        <w:t>straipsnio nuostatų pakeitimo (toliau − Peticija)</w:t>
      </w:r>
      <w:r w:rsidR="008643E2" w:rsidRPr="004342D8">
        <w:rPr>
          <w:szCs w:val="24"/>
        </w:rPr>
        <w:t xml:space="preserve"> </w:t>
      </w:r>
      <w:r w:rsidRPr="004342D8">
        <w:rPr>
          <w:rFonts w:eastAsia="Calibri"/>
          <w:szCs w:val="24"/>
        </w:rPr>
        <w:t>ir</w:t>
      </w:r>
      <w:r w:rsidR="006702BC">
        <w:rPr>
          <w:rFonts w:eastAsia="Calibri"/>
          <w:szCs w:val="24"/>
        </w:rPr>
        <w:t>,</w:t>
      </w:r>
      <w:r w:rsidRPr="004342D8">
        <w:rPr>
          <w:rFonts w:eastAsia="Calibri"/>
          <w:szCs w:val="24"/>
        </w:rPr>
        <w:t xml:space="preserve"> </w:t>
      </w:r>
      <w:r w:rsidR="006702BC" w:rsidRPr="004342D8">
        <w:rPr>
          <w:rFonts w:eastAsia="Calibri"/>
          <w:szCs w:val="24"/>
        </w:rPr>
        <w:t xml:space="preserve">atsižvelgusi į </w:t>
      </w:r>
      <w:r w:rsidR="006702BC" w:rsidRPr="00012C95">
        <w:rPr>
          <w:rFonts w:eastAsiaTheme="majorEastAsia"/>
          <w:bCs/>
          <w:szCs w:val="24"/>
        </w:rPr>
        <w:t>Lietuvos Respublikos teisingumo ministerijos, Lietuvos Respublikos socialinės</w:t>
      </w:r>
      <w:r w:rsidR="006702BC">
        <w:rPr>
          <w:rFonts w:eastAsiaTheme="majorEastAsia"/>
          <w:bCs/>
          <w:szCs w:val="24"/>
        </w:rPr>
        <w:t xml:space="preserve"> apsaugos ir darbo ministerijos bei</w:t>
      </w:r>
      <w:r w:rsidR="006702BC" w:rsidRPr="00012C95">
        <w:rPr>
          <w:rFonts w:eastAsiaTheme="majorEastAsia"/>
          <w:bCs/>
          <w:szCs w:val="24"/>
        </w:rPr>
        <w:t xml:space="preserve"> Lietuvos Respublikos </w:t>
      </w:r>
      <w:r w:rsidR="006702BC" w:rsidRPr="00012C95">
        <w:rPr>
          <w:szCs w:val="24"/>
        </w:rPr>
        <w:t>Ekonomikos ir inovacijų ministerijos</w:t>
      </w:r>
      <w:r w:rsidR="00D16B45">
        <w:rPr>
          <w:szCs w:val="24"/>
        </w:rPr>
        <w:t xml:space="preserve"> </w:t>
      </w:r>
      <w:r w:rsidR="00D16B45">
        <w:t>(toliau − EIMIN</w:t>
      </w:r>
      <w:r w:rsidR="00D16B45" w:rsidRPr="000C5577">
        <w:t>)</w:t>
      </w:r>
      <w:r w:rsidR="006702BC">
        <w:rPr>
          <w:rFonts w:eastAsia="Calibri"/>
          <w:szCs w:val="24"/>
        </w:rPr>
        <w:t xml:space="preserve"> </w:t>
      </w:r>
      <w:r w:rsidR="006702BC" w:rsidRPr="004342D8">
        <w:rPr>
          <w:szCs w:val="24"/>
        </w:rPr>
        <w:t>nuomon</w:t>
      </w:r>
      <w:r w:rsidR="006702BC">
        <w:rPr>
          <w:szCs w:val="24"/>
        </w:rPr>
        <w:t>es</w:t>
      </w:r>
      <w:r w:rsidR="006702BC" w:rsidRPr="004342D8">
        <w:rPr>
          <w:szCs w:val="24"/>
        </w:rPr>
        <w:t xml:space="preserve"> dėl peticijoje pateikto siūlymo</w:t>
      </w:r>
      <w:r w:rsidR="006702BC">
        <w:rPr>
          <w:szCs w:val="24"/>
        </w:rPr>
        <w:t>,</w:t>
      </w:r>
      <w:r w:rsidR="006702BC" w:rsidRPr="004342D8">
        <w:rPr>
          <w:rFonts w:eastAsia="Calibri"/>
          <w:szCs w:val="24"/>
        </w:rPr>
        <w:t xml:space="preserve"> </w:t>
      </w:r>
      <w:r w:rsidRPr="004342D8">
        <w:rPr>
          <w:rFonts w:eastAsia="Calibri"/>
          <w:szCs w:val="24"/>
        </w:rPr>
        <w:t xml:space="preserve">priėmė sprendimą </w:t>
      </w:r>
      <w:r w:rsidRPr="004342D8">
        <w:rPr>
          <w:szCs w:val="24"/>
        </w:rPr>
        <w:t xml:space="preserve">teikti Seimui išvadą </w:t>
      </w:r>
      <w:r w:rsidRPr="004342D8">
        <w:rPr>
          <w:rFonts w:eastAsia="Calibri"/>
          <w:szCs w:val="24"/>
        </w:rPr>
        <w:t xml:space="preserve">netenkinti šio siūlymo. </w:t>
      </w:r>
    </w:p>
    <w:p w14:paraId="03481FC7" w14:textId="2E550D1F" w:rsidR="006702BC" w:rsidRDefault="006702BC" w:rsidP="006702BC">
      <w:pPr>
        <w:spacing w:line="360" w:lineRule="auto"/>
        <w:ind w:firstLine="720"/>
        <w:jc w:val="both"/>
        <w:rPr>
          <w:bCs/>
        </w:rPr>
      </w:pPr>
      <w:r w:rsidRPr="000C5577">
        <w:rPr>
          <w:bCs/>
        </w:rPr>
        <w:t xml:space="preserve">Peticijoje </w:t>
      </w:r>
      <w:r>
        <w:rPr>
          <w:bCs/>
        </w:rPr>
        <w:t xml:space="preserve">pateiktas pareiškėjo siūlymas </w:t>
      </w:r>
      <w:r w:rsidRPr="000C5577">
        <w:rPr>
          <w:bCs/>
        </w:rPr>
        <w:t>yra susiję</w:t>
      </w:r>
      <w:r>
        <w:rPr>
          <w:bCs/>
        </w:rPr>
        <w:t>s</w:t>
      </w:r>
      <w:r w:rsidRPr="000C5577">
        <w:rPr>
          <w:bCs/>
        </w:rPr>
        <w:t xml:space="preserve"> su </w:t>
      </w:r>
      <w:r w:rsidR="005F6CEC" w:rsidRPr="000C5577">
        <w:t xml:space="preserve">Lietuvos Respublikos </w:t>
      </w:r>
      <w:r w:rsidR="005F6CEC">
        <w:rPr>
          <w:bCs/>
        </w:rPr>
        <w:t>u</w:t>
      </w:r>
      <w:r w:rsidRPr="000C5577">
        <w:rPr>
          <w:bCs/>
        </w:rPr>
        <w:t>žimtumo įstatymo</w:t>
      </w:r>
      <w:r w:rsidR="005F6CEC">
        <w:rPr>
          <w:bCs/>
        </w:rPr>
        <w:t xml:space="preserve"> </w:t>
      </w:r>
      <w:r w:rsidR="005F6CEC">
        <w:rPr>
          <w:szCs w:val="24"/>
        </w:rPr>
        <w:t>(toliau – Įstatymas</w:t>
      </w:r>
      <w:r w:rsidR="005F6CEC" w:rsidRPr="007008F4">
        <w:rPr>
          <w:szCs w:val="24"/>
        </w:rPr>
        <w:t>)</w:t>
      </w:r>
      <w:r w:rsidRPr="000C5577">
        <w:rPr>
          <w:bCs/>
        </w:rPr>
        <w:t xml:space="preserve"> 48</w:t>
      </w:r>
      <w:r w:rsidRPr="000C5577">
        <w:rPr>
          <w:bCs/>
          <w:vertAlign w:val="superscript"/>
        </w:rPr>
        <w:t>1</w:t>
      </w:r>
      <w:r w:rsidRPr="000C5577">
        <w:rPr>
          <w:bCs/>
        </w:rPr>
        <w:t xml:space="preserve"> straipsnio nuostatomis, t. y. su atvykimo išmokos mokėjimu iš užsienio pritrauktiems darbuotojams, kurios, anot pareiškėjo, yra diskriminuojančios, kadangi Ukrainos </w:t>
      </w:r>
      <w:r w:rsidR="0061148F">
        <w:rPr>
          <w:bCs/>
        </w:rPr>
        <w:t xml:space="preserve">Respublikos </w:t>
      </w:r>
      <w:r w:rsidRPr="000C5577">
        <w:rPr>
          <w:bCs/>
        </w:rPr>
        <w:t>piliečiams yra taikomi mažesni reikalavimai nei</w:t>
      </w:r>
      <w:r>
        <w:rPr>
          <w:bCs/>
        </w:rPr>
        <w:t xml:space="preserve"> Lietuvos R</w:t>
      </w:r>
      <w:proofErr w:type="spellStart"/>
      <w:r>
        <w:rPr>
          <w:bCs/>
          <w:lang w:val="en-US"/>
        </w:rPr>
        <w:t>espublikos</w:t>
      </w:r>
      <w:proofErr w:type="spellEnd"/>
      <w:r>
        <w:rPr>
          <w:bCs/>
          <w:lang w:val="en-US"/>
        </w:rPr>
        <w:t xml:space="preserve"> </w:t>
      </w:r>
      <w:proofErr w:type="spellStart"/>
      <w:r>
        <w:rPr>
          <w:bCs/>
          <w:lang w:val="en-US"/>
        </w:rPr>
        <w:t>pilie</w:t>
      </w:r>
      <w:proofErr w:type="spellEnd"/>
      <w:r>
        <w:rPr>
          <w:bCs/>
        </w:rPr>
        <w:t>č</w:t>
      </w:r>
      <w:proofErr w:type="spellStart"/>
      <w:r>
        <w:rPr>
          <w:bCs/>
          <w:lang w:val="en-US"/>
        </w:rPr>
        <w:t>iams</w:t>
      </w:r>
      <w:proofErr w:type="spellEnd"/>
      <w:r w:rsidRPr="000C5577">
        <w:rPr>
          <w:bCs/>
        </w:rPr>
        <w:t xml:space="preserve">. </w:t>
      </w:r>
    </w:p>
    <w:p w14:paraId="15441E28" w14:textId="696773F2" w:rsidR="00EE395D" w:rsidRDefault="00B92C9B" w:rsidP="00B92C9B">
      <w:pPr>
        <w:pStyle w:val="tactin"/>
        <w:shd w:val="clear" w:color="auto" w:fill="FFFFFF"/>
        <w:spacing w:before="0" w:beforeAutospacing="0" w:after="0" w:afterAutospacing="0" w:line="360" w:lineRule="auto"/>
        <w:ind w:firstLine="720"/>
        <w:jc w:val="both"/>
      </w:pPr>
      <w:r w:rsidRPr="000C5577">
        <w:rPr>
          <w:bCs/>
        </w:rPr>
        <w:t xml:space="preserve">Lietuvos Respublikos Konstitucinis Teismas </w:t>
      </w:r>
      <w:r w:rsidRPr="000C5577">
        <w:t xml:space="preserve">2003 m. liepos 4 d. </w:t>
      </w:r>
      <w:r w:rsidRPr="000C5577">
        <w:rPr>
          <w:bCs/>
        </w:rPr>
        <w:t>nutarime yra nurodęs, kad „</w:t>
      </w:r>
      <w:r w:rsidRPr="000C5577">
        <w:t xml:space="preserve">Konstitucijos 29  straipsnio 1  dalyje yra įtvirtinta formali visų asmenų lygybė, šio straipsnio 2 dalyje įtvirtintas asmenų nediskriminavimo ir privilegijų neteikimo principas. Konstitucinis asmenų lygybės įstatymui principas reiškia žmogaus prigimtinę teisę būti traktuojamam vienodai su kitais. Konstitucinis Teismas savo nutarimuose ne kartą yra konstatavęs, kad šio principo turi būti laikomasi ir leidžiant įstatymus, ir juos taikant. Nurodytas principas įpareigoja vienodus faktus vertinti vienodai ir draudžia iš esmės tokius pat faktus savavališkai vertinti skirtingai. Pažymėtina ir tai, kad, kita vertus, konstitucinis asmenų lygybės įstatymui principas </w:t>
      </w:r>
      <w:r w:rsidRPr="000C5577">
        <w:rPr>
          <w:i/>
          <w:iCs/>
        </w:rPr>
        <w:t>nepaneigia to, kad įstatyme gali būti nustatytas nevienodas teisinis reguliavimas tam tikrų asmenų kategorijų, esančių skirtingose padėtyse, atžvilgiu</w:t>
      </w:r>
      <w:r w:rsidRPr="000C5577">
        <w:t xml:space="preserve">. Socialinio gyvenimo įvairovė gali lemti teisinio reguliavimo būdą ir turinį“; „diskriminacija ar privilegijomis nelaikytinas toks diferencijuotas teisinis reguliavimas, kai jis taikomas tam tikroms vienodais požymiais pasižyminčioms asmenų grupėms, </w:t>
      </w:r>
      <w:r w:rsidRPr="000C5577">
        <w:rPr>
          <w:i/>
          <w:iCs/>
        </w:rPr>
        <w:t>jeigu taip siekiama pozityvių, visuomeniškai reikšmingų tikslų.</w:t>
      </w:r>
      <w:r w:rsidRPr="000C5577">
        <w:t xml:space="preserve"> Konstitucinio Teismo 1995 m. sausio 24 d. išvadoje pažymėta, kad vadinamoji „pozityvi diskriminacija“ negali būti traktuojama kaip privilegijų teikimas. </w:t>
      </w:r>
      <w:r w:rsidRPr="000C5577">
        <w:lastRenderedPageBreak/>
        <w:t xml:space="preserve">Diskriminaciniams ribojimams nepriskiriami ir specialūs reikalavimai arba tam tikros sąlygos, kai jų nustatymas būna susijęs su reguliuojamų santykių ypatumais“. O 2012 m. vasario 6 d. nutarime Konstitucinis Teismas yra nurodęs, kad „vertinant, ar pagrįstai yra nustatytas skirtingas reguliavimas, būtina atsižvelgti į konkrečias teisines aplinkybes; pirmiausia </w:t>
      </w:r>
      <w:r w:rsidRPr="000C5577">
        <w:rPr>
          <w:i/>
          <w:iCs/>
        </w:rPr>
        <w:t>turi būti įvertinti asmenų ir objektų, kuriems taikomas skirtingas teisinis reguliavimas, teisinės padėties skirtumai</w:t>
      </w:r>
      <w:r w:rsidRPr="000C5577">
        <w:t>“. Taigi sprendžiant, ar Užimtumo įstatymo 48</w:t>
      </w:r>
      <w:r w:rsidRPr="000C5577">
        <w:rPr>
          <w:vertAlign w:val="superscript"/>
        </w:rPr>
        <w:t>1</w:t>
      </w:r>
      <w:r w:rsidRPr="000C5577">
        <w:t xml:space="preserve"> straipsnis nepažeidžia asmenų lygybės principo, jo nuostatos turėtų būti vertinamos per paminėtą Konstitucinio Teismo doktriną. Vertinant šį klausimą, be kitų aplinkybių, turėtų būti įvertinamos ir aplinkybė bei priežastys, lėmusios, kad Lietuvos Respublikos Vyriausybės </w:t>
      </w:r>
      <w:r w:rsidRPr="000C5577">
        <w:rPr>
          <w:color w:val="000000"/>
        </w:rPr>
        <w:t xml:space="preserve"> 2022 m. kovo 16 d. </w:t>
      </w:r>
      <w:r w:rsidRPr="000C5577">
        <w:t>nutarimu Nr. 224 „Dėl laikinosios apsaugos Lietuvos Respublikoje užsieniečiams suteikimo“</w:t>
      </w:r>
      <w:r w:rsidRPr="000C5577">
        <w:rPr>
          <w:b/>
          <w:bCs/>
        </w:rPr>
        <w:t xml:space="preserve"> </w:t>
      </w:r>
      <w:r w:rsidRPr="000C5577">
        <w:t>(toliau – Nutarimas)</w:t>
      </w:r>
      <w:r w:rsidRPr="000C5577">
        <w:rPr>
          <w:b/>
          <w:bCs/>
        </w:rPr>
        <w:t xml:space="preserve"> </w:t>
      </w:r>
      <w:r w:rsidRPr="000C5577">
        <w:t xml:space="preserve">nuo 2022 m. kovo 4 d. atitinkamus požymius atitinkantiems Ukrainos piliečiams yra suteikta laikinoji apsauga Lietuvos Respublikoje. Papildomai atkreipiamas dėmesys, kad Nutarimu Ukrainos </w:t>
      </w:r>
      <w:r w:rsidR="0061148F">
        <w:t xml:space="preserve">Respublikos </w:t>
      </w:r>
      <w:r w:rsidRPr="000C5577">
        <w:t>piliečiams laikinoji apsauga Lietuvos Respublikoje suteikta terminuotai (iki 2027 m. kovo 4 d.)</w:t>
      </w:r>
      <w:r w:rsidR="00EE395D">
        <w:t>.</w:t>
      </w:r>
    </w:p>
    <w:p w14:paraId="4C05E529" w14:textId="2481FAB0" w:rsidR="00EE395D" w:rsidRDefault="00FB7D57" w:rsidP="00CD6D56">
      <w:pPr>
        <w:spacing w:line="360" w:lineRule="auto"/>
        <w:ind w:firstLine="720"/>
        <w:jc w:val="both"/>
        <w:rPr>
          <w:szCs w:val="24"/>
        </w:rPr>
      </w:pPr>
      <w:r>
        <w:rPr>
          <w:rFonts w:eastAsia="MS Mincho"/>
          <w:szCs w:val="24"/>
          <w:lang w:eastAsia="ja-JP"/>
        </w:rPr>
        <w:t>Siekiant pritraukti</w:t>
      </w:r>
      <w:r w:rsidRPr="00CF026A">
        <w:rPr>
          <w:rFonts w:eastAsia="MS Mincho"/>
          <w:szCs w:val="24"/>
          <w:lang w:eastAsia="ja-JP"/>
        </w:rPr>
        <w:t xml:space="preserve"> išvykusius aukštos kvalifikacijos Lietuvos Respublikos piliečius ir aukštos kvalifik</w:t>
      </w:r>
      <w:r>
        <w:rPr>
          <w:rFonts w:eastAsia="MS Mincho"/>
          <w:szCs w:val="24"/>
          <w:lang w:eastAsia="ja-JP"/>
        </w:rPr>
        <w:t>acijos užsieniečius, paskatinti</w:t>
      </w:r>
      <w:r w:rsidRPr="00CF026A">
        <w:rPr>
          <w:rFonts w:eastAsia="MS Mincho"/>
          <w:szCs w:val="24"/>
          <w:lang w:eastAsia="ja-JP"/>
        </w:rPr>
        <w:t xml:space="preserve"> užsienio investuotojus perkelti savo gamybinę arba paslaugų veiklą į Lietuvą, sumažinant darbuotojui tenkančias atvykimo išlaidas, o darbdaviui – aukštos kvalifikacijos darbuotojo paieškos išlaidas,</w:t>
      </w:r>
      <w:r w:rsidR="00B92C9B" w:rsidRPr="000C5577">
        <w:t xml:space="preserve"> </w:t>
      </w:r>
      <w:r w:rsidR="00EE395D">
        <w:rPr>
          <w:rFonts w:eastAsia="MS Mincho"/>
          <w:szCs w:val="24"/>
          <w:lang w:eastAsia="ja-JP"/>
        </w:rPr>
        <w:t>Į</w:t>
      </w:r>
      <w:r w:rsidR="00EE395D" w:rsidRPr="00CF026A">
        <w:rPr>
          <w:rFonts w:eastAsia="MS Mincho"/>
          <w:szCs w:val="24"/>
          <w:lang w:eastAsia="ja-JP"/>
        </w:rPr>
        <w:t>statymo</w:t>
      </w:r>
      <w:r w:rsidR="00EE395D">
        <w:rPr>
          <w:rFonts w:eastAsia="MS Mincho"/>
          <w:szCs w:val="24"/>
          <w:lang w:eastAsia="ja-JP"/>
        </w:rPr>
        <w:t xml:space="preserve"> </w:t>
      </w:r>
      <w:r w:rsidR="00EE395D" w:rsidRPr="00CF026A">
        <w:rPr>
          <w:rFonts w:eastAsia="MS Mincho"/>
          <w:szCs w:val="24"/>
          <w:lang w:eastAsia="ja-JP"/>
        </w:rPr>
        <w:t>48</w:t>
      </w:r>
      <w:r w:rsidR="00EE395D" w:rsidRPr="00CF026A">
        <w:rPr>
          <w:rFonts w:eastAsia="MS Mincho"/>
          <w:szCs w:val="24"/>
          <w:vertAlign w:val="superscript"/>
          <w:lang w:eastAsia="ja-JP"/>
        </w:rPr>
        <w:t>1</w:t>
      </w:r>
      <w:r w:rsidR="00EE395D" w:rsidRPr="00CF026A">
        <w:rPr>
          <w:rFonts w:eastAsia="MS Mincho"/>
          <w:szCs w:val="24"/>
          <w:lang w:eastAsia="ja-JP"/>
        </w:rPr>
        <w:t xml:space="preserve"> ir 48</w:t>
      </w:r>
      <w:r w:rsidR="00EE395D" w:rsidRPr="00CF026A">
        <w:rPr>
          <w:rFonts w:eastAsia="MS Mincho"/>
          <w:szCs w:val="24"/>
          <w:vertAlign w:val="superscript"/>
          <w:lang w:eastAsia="ja-JP"/>
        </w:rPr>
        <w:t>2</w:t>
      </w:r>
      <w:r w:rsidR="00EE395D" w:rsidRPr="00CF026A">
        <w:rPr>
          <w:rFonts w:eastAsia="MS Mincho"/>
          <w:szCs w:val="24"/>
          <w:lang w:eastAsia="ja-JP"/>
        </w:rPr>
        <w:t xml:space="preserve"> straipsniuose įtvirtinta priemonė – atvykimo išmokos iš užsienio pritrauktiems darbuotojams ir darbdaviams, pritraukusiems darbuotoją iš užsienio (toliau – atvykimo išmokos)</w:t>
      </w:r>
      <w:r>
        <w:rPr>
          <w:rFonts w:eastAsia="MS Mincho"/>
          <w:szCs w:val="24"/>
          <w:lang w:eastAsia="ja-JP"/>
        </w:rPr>
        <w:t>,  Minėtame</w:t>
      </w:r>
      <w:r w:rsidR="00EE395D" w:rsidRPr="00CF026A">
        <w:rPr>
          <w:rFonts w:eastAsia="MS Mincho"/>
          <w:szCs w:val="24"/>
          <w:lang w:eastAsia="ja-JP"/>
        </w:rPr>
        <w:t xml:space="preserve"> Įstatyme n</w:t>
      </w:r>
      <w:r w:rsidR="00EE395D" w:rsidRPr="00CF026A">
        <w:rPr>
          <w:szCs w:val="24"/>
        </w:rPr>
        <w:t xml:space="preserve">ustatyta, kad atvykimo išmokas gali gauti </w:t>
      </w:r>
      <w:r w:rsidR="00EE395D" w:rsidRPr="000744CB">
        <w:rPr>
          <w:szCs w:val="24"/>
        </w:rPr>
        <w:t>darbuotojai, turintys profesiją pagal Lietuvos Respublikos ekonomikos ir inovacijų ministro tvirtinamą Aukštą</w:t>
      </w:r>
      <w:r w:rsidR="0061148F" w:rsidRPr="000744CB">
        <w:rPr>
          <w:szCs w:val="24"/>
        </w:rPr>
        <w:t xml:space="preserve"> </w:t>
      </w:r>
      <w:r w:rsidR="00EE395D" w:rsidRPr="000744CB">
        <w:rPr>
          <w:szCs w:val="24"/>
        </w:rPr>
        <w:t xml:space="preserve">pridėtinę vertę kuriančių profesijų, kurių darbuotojų trūksta Lietuvos Respublikoje, sąrašą, ir, kad atvykimo išmoka bus taikoma gyventojams, kurie nebuvo nuolatiniais Lietuvos gyventojais paskutinius 5 metus, </w:t>
      </w:r>
      <w:r w:rsidR="00EE395D" w:rsidRPr="000744CB">
        <w:rPr>
          <w:iCs/>
          <w:szCs w:val="24"/>
        </w:rPr>
        <w:t>nepriklausomai nuo asmens pilietybės</w:t>
      </w:r>
      <w:r w:rsidR="00EE395D" w:rsidRPr="000744CB">
        <w:rPr>
          <w:szCs w:val="24"/>
        </w:rPr>
        <w:t xml:space="preserve">. </w:t>
      </w:r>
    </w:p>
    <w:p w14:paraId="297AF706" w14:textId="4A66A973" w:rsidR="00CD6D56" w:rsidRPr="00CD6D56" w:rsidRDefault="00CD6D56" w:rsidP="00CD6D56">
      <w:pPr>
        <w:spacing w:line="360" w:lineRule="auto"/>
        <w:ind w:firstLine="720"/>
        <w:jc w:val="both"/>
        <w:rPr>
          <w:rFonts w:eastAsia="MS Mincho"/>
          <w:szCs w:val="24"/>
          <w:lang w:eastAsia="ja-JP"/>
        </w:rPr>
      </w:pPr>
      <w:r>
        <w:rPr>
          <w:szCs w:val="24"/>
        </w:rPr>
        <w:t xml:space="preserve">EIMIN atkreipė dėmesį į tai, kad Įstatyme buvo įtvirtintos nuostatos, siekiančios skirtingų tikslų: </w:t>
      </w:r>
      <w:r w:rsidRPr="00CF026A">
        <w:rPr>
          <w:rFonts w:eastAsia="MS Mincho"/>
          <w:szCs w:val="24"/>
          <w:lang w:eastAsia="ja-JP"/>
        </w:rPr>
        <w:t xml:space="preserve">1. </w:t>
      </w:r>
      <w:r>
        <w:rPr>
          <w:rFonts w:eastAsia="MS Mincho"/>
          <w:szCs w:val="24"/>
          <w:lang w:eastAsia="ja-JP"/>
        </w:rPr>
        <w:t>p</w:t>
      </w:r>
      <w:r w:rsidRPr="00CF026A">
        <w:rPr>
          <w:rFonts w:eastAsia="MS Mincho"/>
          <w:szCs w:val="24"/>
          <w:lang w:eastAsia="ja-JP"/>
        </w:rPr>
        <w:t>ritraukti aukštos kvalifikacijos užsieniečius, susigrąžinti emigravusius Lietuvos Respublikos piliečius ir pritraukti užsienio investuotojus, kurie perkeltų ir savo aukštos kvalifikacijos darbuotojus, kompensuojant jiems dalį persikėlimo ar darbuotojo paieškos išlaidų;</w:t>
      </w:r>
      <w:r>
        <w:rPr>
          <w:rFonts w:eastAsia="MS Mincho"/>
          <w:szCs w:val="24"/>
          <w:lang w:eastAsia="ja-JP"/>
        </w:rPr>
        <w:t xml:space="preserve"> </w:t>
      </w:r>
      <w:r w:rsidRPr="00CF026A">
        <w:rPr>
          <w:rFonts w:eastAsia="MS Mincho"/>
          <w:szCs w:val="24"/>
          <w:lang w:eastAsia="ja-JP"/>
        </w:rPr>
        <w:t xml:space="preserve">2. Padėti ukrainiečiams, atvykusiems po karinių veiksmų pradžios. Reaguojant į situaciją Ukrainoje, siekiama padėti Ukrainos Respublikos piliečiams, pasitraukusiems iš Ukrainos dėl Rusijos Federacijos karinių veiksmų, įstatymo projekte numatant lengvesnes sąlygas atvykimo išmoką gauti Ukrainos Respublikos piliečiams, atvykusiems į Lietuvą po karinių veiksmų Ukrainoje pradžios ir įsidarbinusiems Lietuvoje. </w:t>
      </w:r>
    </w:p>
    <w:p w14:paraId="3D1943A8" w14:textId="237B4B70" w:rsidR="00050547" w:rsidRDefault="0061148F" w:rsidP="00CD6D56">
      <w:pPr>
        <w:spacing w:line="360" w:lineRule="auto"/>
        <w:ind w:firstLine="720"/>
        <w:jc w:val="both"/>
        <w:rPr>
          <w:szCs w:val="24"/>
        </w:rPr>
      </w:pPr>
      <w:r w:rsidRPr="000744CB">
        <w:rPr>
          <w:rFonts w:eastAsia="MS Mincho"/>
          <w:szCs w:val="24"/>
          <w:lang w:eastAsia="ja-JP"/>
        </w:rPr>
        <w:t>Pažymėtina, kad n</w:t>
      </w:r>
      <w:r w:rsidR="005F6CEC" w:rsidRPr="000744CB">
        <w:rPr>
          <w:rFonts w:eastAsia="MS Mincho"/>
          <w:szCs w:val="24"/>
          <w:lang w:eastAsia="ja-JP"/>
        </w:rPr>
        <w:t>ustatant lengvatines sąlygas Įstatym</w:t>
      </w:r>
      <w:r w:rsidR="00B92C9B" w:rsidRPr="000744CB">
        <w:rPr>
          <w:rFonts w:eastAsia="MS Mincho"/>
          <w:szCs w:val="24"/>
          <w:lang w:eastAsia="ja-JP"/>
        </w:rPr>
        <w:t>e buvo siekiama padėti</w:t>
      </w:r>
      <w:r w:rsidRPr="000744CB">
        <w:rPr>
          <w:rFonts w:eastAsia="MS Mincho"/>
          <w:szCs w:val="24"/>
          <w:lang w:eastAsia="ja-JP"/>
        </w:rPr>
        <w:t xml:space="preserve"> </w:t>
      </w:r>
      <w:r w:rsidR="00B92C9B" w:rsidRPr="000744CB">
        <w:rPr>
          <w:rFonts w:eastAsia="MS Mincho"/>
          <w:szCs w:val="24"/>
          <w:lang w:eastAsia="ja-JP"/>
        </w:rPr>
        <w:t xml:space="preserve"> Ukrainos </w:t>
      </w:r>
      <w:r w:rsidR="005F6CEC" w:rsidRPr="000744CB">
        <w:rPr>
          <w:rFonts w:eastAsia="MS Mincho"/>
          <w:szCs w:val="24"/>
          <w:lang w:eastAsia="ja-JP"/>
        </w:rPr>
        <w:t xml:space="preserve">piliečiams, pasitraukusiems iš Ukrainos dėl Rusijos Federacijos karinių veiksmų </w:t>
      </w:r>
      <w:r w:rsidRPr="000744CB">
        <w:rPr>
          <w:rFonts w:eastAsia="MS Mincho"/>
          <w:szCs w:val="24"/>
          <w:lang w:eastAsia="ja-JP"/>
        </w:rPr>
        <w:t xml:space="preserve">po 2022 m. vasario 24 d. </w:t>
      </w:r>
      <w:r w:rsidR="005F6CEC" w:rsidRPr="000744CB">
        <w:rPr>
          <w:rFonts w:eastAsia="MS Mincho"/>
          <w:szCs w:val="24"/>
          <w:lang w:eastAsia="ja-JP"/>
        </w:rPr>
        <w:t xml:space="preserve">ir įsidarbinusiems Lietuvos Respublikoje bei aiškiai nurodyta sąlyga, kad ši išmoka bus skiriama </w:t>
      </w:r>
      <w:r w:rsidR="005F6CEC" w:rsidRPr="000744CB">
        <w:rPr>
          <w:rFonts w:eastAsia="MS Mincho"/>
          <w:szCs w:val="24"/>
          <w:lang w:eastAsia="ja-JP"/>
        </w:rPr>
        <w:lastRenderedPageBreak/>
        <w:t>ir išmokama laikinai – kol išliks susidariusi karo veiksmų Ukrainoje situacija ir migracijos dėl karinių veiksmų toje šalyje srautas. Pasikeitus šiai sąlygai ir pasibaigus karo veiksmams Ukrainoje, Įstatymo 48</w:t>
      </w:r>
      <w:r w:rsidR="005F6CEC" w:rsidRPr="000744CB">
        <w:rPr>
          <w:rFonts w:eastAsia="MS Mincho"/>
          <w:szCs w:val="24"/>
          <w:vertAlign w:val="superscript"/>
          <w:lang w:eastAsia="ja-JP"/>
        </w:rPr>
        <w:t>1</w:t>
      </w:r>
      <w:r w:rsidR="005F6CEC" w:rsidRPr="000744CB">
        <w:rPr>
          <w:rFonts w:eastAsia="MS Mincho"/>
          <w:szCs w:val="24"/>
          <w:lang w:eastAsia="ja-JP"/>
        </w:rPr>
        <w:t xml:space="preserve"> straipsnio 2 dalies nuostatos bus peržiūrimos ir keičiamos.</w:t>
      </w:r>
      <w:r w:rsidRPr="000744CB">
        <w:rPr>
          <w:rFonts w:eastAsia="MS Mincho"/>
          <w:szCs w:val="24"/>
          <w:lang w:eastAsia="ja-JP"/>
        </w:rPr>
        <w:t xml:space="preserve"> </w:t>
      </w:r>
      <w:r w:rsidR="00436859">
        <w:rPr>
          <w:rFonts w:eastAsia="MS Mincho"/>
          <w:szCs w:val="24"/>
          <w:lang w:eastAsia="ja-JP"/>
        </w:rPr>
        <w:t xml:space="preserve">EIMIN </w:t>
      </w:r>
      <w:r w:rsidRPr="000744CB">
        <w:rPr>
          <w:szCs w:val="24"/>
        </w:rPr>
        <w:t xml:space="preserve">nurodė, kad </w:t>
      </w:r>
      <w:r w:rsidRPr="000744CB">
        <w:rPr>
          <w:rFonts w:eastAsia="MS Mincho"/>
          <w:szCs w:val="24"/>
          <w:lang w:eastAsia="ja-JP"/>
        </w:rPr>
        <w:t>Ukrainos</w:t>
      </w:r>
      <w:r w:rsidR="000744CB" w:rsidRPr="000744CB">
        <w:rPr>
          <w:rFonts w:eastAsia="MS Mincho"/>
          <w:szCs w:val="24"/>
          <w:lang w:eastAsia="ja-JP"/>
        </w:rPr>
        <w:t xml:space="preserve"> Respublikos</w:t>
      </w:r>
      <w:r w:rsidRPr="000744CB">
        <w:rPr>
          <w:rFonts w:eastAsia="MS Mincho"/>
          <w:szCs w:val="24"/>
          <w:lang w:eastAsia="ja-JP"/>
        </w:rPr>
        <w:t xml:space="preserve"> piliečiai </w:t>
      </w:r>
      <w:r w:rsidR="000744CB" w:rsidRPr="000744CB">
        <w:rPr>
          <w:rFonts w:eastAsia="MS Mincho"/>
          <w:szCs w:val="24"/>
          <w:lang w:eastAsia="ja-JP"/>
        </w:rPr>
        <w:t xml:space="preserve">(iš Ukrainos atvykę dirbti į Lietuvą iki 2022 m. vasario 24 d.) </w:t>
      </w:r>
      <w:r w:rsidRPr="000744CB">
        <w:rPr>
          <w:rFonts w:eastAsia="MS Mincho"/>
          <w:szCs w:val="24"/>
          <w:lang w:eastAsia="ja-JP"/>
        </w:rPr>
        <w:t xml:space="preserve">išmokas gauna tokiomis pačiomis sąlygomis kaip ir kiti išmokų gavėjai: 2024 m. iš 15 Ukrainos </w:t>
      </w:r>
      <w:r w:rsidR="000744CB" w:rsidRPr="000744CB">
        <w:rPr>
          <w:rFonts w:eastAsia="MS Mincho"/>
          <w:szCs w:val="24"/>
          <w:lang w:eastAsia="ja-JP"/>
        </w:rPr>
        <w:t xml:space="preserve">Respublikos </w:t>
      </w:r>
      <w:r w:rsidRPr="000744CB">
        <w:rPr>
          <w:rFonts w:eastAsia="MS Mincho"/>
          <w:szCs w:val="24"/>
          <w:lang w:eastAsia="ja-JP"/>
        </w:rPr>
        <w:t xml:space="preserve">piliečių, gavusių išmokas, išimtis buvo pritaikyta 11 asmenų, 2025 m. iš 6 ukrainiečių, gavusių išmokas, išimtis pritaikyta 3 Ukrainos </w:t>
      </w:r>
      <w:r w:rsidR="000744CB" w:rsidRPr="000744CB">
        <w:rPr>
          <w:rFonts w:eastAsia="MS Mincho"/>
          <w:szCs w:val="24"/>
          <w:lang w:eastAsia="ja-JP"/>
        </w:rPr>
        <w:t xml:space="preserve">Respublikos </w:t>
      </w:r>
      <w:r w:rsidRPr="000744CB">
        <w:rPr>
          <w:rFonts w:eastAsia="MS Mincho"/>
          <w:szCs w:val="24"/>
          <w:lang w:eastAsia="ja-JP"/>
        </w:rPr>
        <w:t xml:space="preserve">piliečiams (pagal profesijas – operatorius, buhalteris, medicinos gydytojas). </w:t>
      </w:r>
    </w:p>
    <w:p w14:paraId="01EF02BE" w14:textId="52C8FD1F" w:rsidR="005C0B2E" w:rsidRPr="00446730" w:rsidRDefault="00436859" w:rsidP="00050547">
      <w:pPr>
        <w:spacing w:line="360" w:lineRule="auto"/>
        <w:ind w:firstLine="720"/>
        <w:jc w:val="both"/>
      </w:pPr>
      <w:r>
        <w:rPr>
          <w:rFonts w:eastAsia="MS Mincho"/>
          <w:szCs w:val="24"/>
          <w:lang w:eastAsia="ja-JP"/>
        </w:rPr>
        <w:t>Įvertinus</w:t>
      </w:r>
      <w:bookmarkStart w:id="0" w:name="_GoBack"/>
      <w:bookmarkEnd w:id="0"/>
      <w:r>
        <w:rPr>
          <w:rFonts w:eastAsia="MS Mincho"/>
          <w:szCs w:val="24"/>
          <w:lang w:eastAsia="ja-JP"/>
        </w:rPr>
        <w:t xml:space="preserve"> pareiškėjo peticijoje pateikto siūlymo turinį ir a</w:t>
      </w:r>
      <w:r w:rsidR="005F6CEC" w:rsidRPr="00CF026A">
        <w:rPr>
          <w:rFonts w:eastAsia="MS Mincho"/>
          <w:szCs w:val="24"/>
          <w:lang w:eastAsia="ja-JP"/>
        </w:rPr>
        <w:t xml:space="preserve">tsižvelgiant į </w:t>
      </w:r>
      <w:r>
        <w:rPr>
          <w:rFonts w:eastAsia="MS Mincho"/>
          <w:szCs w:val="24"/>
          <w:lang w:eastAsia="ja-JP"/>
        </w:rPr>
        <w:t xml:space="preserve">Konstitucinio Teismo oficialiąją doktriną bei galiojantį teisinį reguliavimą, </w:t>
      </w:r>
      <w:r w:rsidR="00EE395D">
        <w:rPr>
          <w:rFonts w:eastAsia="MS Mincho"/>
          <w:szCs w:val="24"/>
          <w:lang w:eastAsia="ja-JP"/>
        </w:rPr>
        <w:t>Komisija mano</w:t>
      </w:r>
      <w:r w:rsidR="005F6CEC" w:rsidRPr="00CF026A">
        <w:rPr>
          <w:rFonts w:eastAsia="MS Mincho"/>
          <w:szCs w:val="24"/>
          <w:lang w:eastAsia="ja-JP"/>
        </w:rPr>
        <w:t xml:space="preserve">, kad </w:t>
      </w:r>
      <w:r w:rsidR="00D16B45">
        <w:rPr>
          <w:rFonts w:eastAsia="MS Mincho"/>
          <w:szCs w:val="24"/>
          <w:lang w:eastAsia="ja-JP"/>
        </w:rPr>
        <w:t xml:space="preserve">pareiškėjo </w:t>
      </w:r>
      <w:r w:rsidR="00050547">
        <w:rPr>
          <w:rFonts w:eastAsia="MS Mincho"/>
          <w:szCs w:val="24"/>
          <w:lang w:eastAsia="ja-JP"/>
        </w:rPr>
        <w:t>peticijoje pateikti argumentai</w:t>
      </w:r>
      <w:r w:rsidR="00050547" w:rsidRPr="00050547">
        <w:rPr>
          <w:rFonts w:eastAsia="MS Mincho"/>
          <w:szCs w:val="24"/>
          <w:lang w:eastAsia="ja-JP"/>
        </w:rPr>
        <w:t xml:space="preserve"> </w:t>
      </w:r>
      <w:r w:rsidR="00050547">
        <w:rPr>
          <w:rFonts w:eastAsia="MS Mincho"/>
          <w:szCs w:val="24"/>
          <w:lang w:eastAsia="ja-JP"/>
        </w:rPr>
        <w:t>ne</w:t>
      </w:r>
      <w:r w:rsidR="005F6CEC">
        <w:rPr>
          <w:rFonts w:eastAsia="MS Mincho"/>
          <w:szCs w:val="24"/>
          <w:lang w:eastAsia="ja-JP"/>
        </w:rPr>
        <w:t>pagr</w:t>
      </w:r>
      <w:r w:rsidR="00050547">
        <w:rPr>
          <w:rFonts w:eastAsia="MS Mincho"/>
          <w:szCs w:val="24"/>
          <w:lang w:eastAsia="ja-JP"/>
        </w:rPr>
        <w:t>indžia Įstatymo pakeitimo būtinumo</w:t>
      </w:r>
      <w:r w:rsidR="005F6CEC" w:rsidRPr="00CF026A">
        <w:rPr>
          <w:rFonts w:eastAsia="MS Mincho"/>
          <w:szCs w:val="24"/>
          <w:lang w:eastAsia="ja-JP"/>
        </w:rPr>
        <w:t>.</w:t>
      </w:r>
    </w:p>
    <w:p w14:paraId="01AA53E0" w14:textId="219846BA" w:rsidR="005427A1" w:rsidRPr="00A24CA7" w:rsidRDefault="00F60FE9" w:rsidP="00B92C9B">
      <w:pPr>
        <w:pStyle w:val="Default"/>
        <w:spacing w:line="360" w:lineRule="auto"/>
        <w:ind w:firstLine="720"/>
        <w:jc w:val="both"/>
        <w:rPr>
          <w:color w:val="000000" w:themeColor="text1"/>
        </w:rPr>
      </w:pPr>
      <w:r w:rsidRPr="00446730">
        <w:rPr>
          <w:rFonts w:eastAsia="Calibri"/>
          <w:lang w:eastAsia="ar-SA"/>
        </w:rPr>
        <w:t xml:space="preserve">Vadovaujantis Lietuvos Respublikos peticijų konstitucinio įstatymo 18 straipsnio 4 dalies </w:t>
      </w:r>
      <w:r w:rsidR="00783F7E" w:rsidRPr="00446730">
        <w:rPr>
          <w:rFonts w:eastAsia="Calibri"/>
          <w:lang w:eastAsia="ar-SA"/>
        </w:rPr>
        <w:t>2 </w:t>
      </w:r>
      <w:r w:rsidRPr="00446730">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446730">
        <w:rPr>
          <w:rFonts w:eastAsia="Calibri"/>
          <w:lang w:eastAsia="ar-SA"/>
        </w:rPr>
        <w:t>K</w:t>
      </w:r>
      <w:r w:rsidRPr="00446730">
        <w:rPr>
          <w:rFonts w:eastAsia="Calibri"/>
          <w:lang w:eastAsia="ar-SA"/>
        </w:rPr>
        <w:t>omisijos išvada dėl pareiškėjo peticijoje pateikto siūlymo netenkinimo</w:t>
      </w:r>
      <w:r w:rsidRPr="00A24CA7">
        <w:rPr>
          <w:rFonts w:eastAsia="Calibri"/>
          <w:lang w:eastAsia="ar-SA"/>
        </w:rPr>
        <w:t xml:space="preserve"> teikiama Seimui, taip p</w:t>
      </w:r>
      <w:r w:rsidR="0070031F" w:rsidRPr="00A24CA7">
        <w:rPr>
          <w:rFonts w:eastAsia="Calibri"/>
          <w:lang w:eastAsia="ar-SA"/>
        </w:rPr>
        <w:t xml:space="preserve">at siūloma įtraukti į Seimo </w:t>
      </w:r>
      <w:r w:rsidR="005D0813" w:rsidRPr="00A24CA7">
        <w:rPr>
          <w:rFonts w:eastAsia="Calibri"/>
          <w:lang w:eastAsia="ar-SA"/>
        </w:rPr>
        <w:t>I</w:t>
      </w:r>
      <w:r w:rsidR="00FB7E49">
        <w:rPr>
          <w:rFonts w:eastAsia="Calibri"/>
          <w:lang w:eastAsia="ar-SA"/>
        </w:rPr>
        <w:t>V</w:t>
      </w:r>
      <w:r w:rsidR="002F4574" w:rsidRPr="00A24CA7">
        <w:rPr>
          <w:rFonts w:eastAsia="Calibri"/>
          <w:lang w:eastAsia="ar-SA"/>
        </w:rPr>
        <w:t xml:space="preserve"> (</w:t>
      </w:r>
      <w:r w:rsidR="00FB7E49">
        <w:rPr>
          <w:rFonts w:eastAsia="Calibri"/>
          <w:lang w:eastAsia="ar-SA"/>
        </w:rPr>
        <w:t>pavasario</w:t>
      </w:r>
      <w:r w:rsidRPr="00A24CA7">
        <w:rPr>
          <w:rFonts w:eastAsia="Calibri"/>
          <w:lang w:eastAsia="ar-SA"/>
        </w:rPr>
        <w:t>) sesijos darbotvarkę Seimo nutarimo „Dėl Lietuvos Respublikos Seimo Peticijų komisijos 202</w:t>
      </w:r>
      <w:r w:rsidR="00A7076A">
        <w:rPr>
          <w:rFonts w:eastAsia="Calibri"/>
          <w:lang w:val="en-US" w:eastAsia="ar-SA"/>
        </w:rPr>
        <w:t>6</w:t>
      </w:r>
      <w:r w:rsidR="003A61FB" w:rsidRPr="00A24CA7">
        <w:rPr>
          <w:rFonts w:eastAsia="Calibri"/>
          <w:lang w:eastAsia="ar-SA"/>
        </w:rPr>
        <w:t xml:space="preserve"> m. </w:t>
      </w:r>
      <w:proofErr w:type="spellStart"/>
      <w:proofErr w:type="gramStart"/>
      <w:r w:rsidR="00B92C9B">
        <w:rPr>
          <w:rFonts w:eastAsia="Calibri"/>
          <w:lang w:val="en-US" w:eastAsia="ar-SA"/>
        </w:rPr>
        <w:t>balandžio</w:t>
      </w:r>
      <w:proofErr w:type="spellEnd"/>
      <w:proofErr w:type="gramEnd"/>
      <w:r w:rsidR="00B92C9B">
        <w:rPr>
          <w:rFonts w:eastAsia="Calibri"/>
          <w:lang w:val="en-US" w:eastAsia="ar-SA"/>
        </w:rPr>
        <w:t xml:space="preserve"> 8</w:t>
      </w:r>
      <w:r w:rsidR="00DF6855" w:rsidRPr="00A24CA7">
        <w:rPr>
          <w:rFonts w:eastAsia="Calibri"/>
          <w:lang w:val="en-US" w:eastAsia="ar-SA"/>
        </w:rPr>
        <w:t xml:space="preserve"> </w:t>
      </w:r>
      <w:r w:rsidR="002F4574" w:rsidRPr="00A24CA7">
        <w:rPr>
          <w:rFonts w:eastAsia="Calibri"/>
          <w:lang w:eastAsia="ar-SA"/>
        </w:rPr>
        <w:t>d. išvad</w:t>
      </w:r>
      <w:r w:rsidR="00A5687E" w:rsidRPr="00A24CA7">
        <w:rPr>
          <w:rFonts w:eastAsia="Calibri"/>
          <w:lang w:eastAsia="ar-SA"/>
        </w:rPr>
        <w:t>os Nr. 250-I</w:t>
      </w:r>
      <w:r w:rsidR="003A61FB" w:rsidRPr="00A24CA7">
        <w:rPr>
          <w:rFonts w:eastAsia="Calibri"/>
          <w:lang w:eastAsia="ar-SA"/>
        </w:rPr>
        <w:t>-</w:t>
      </w:r>
      <w:r w:rsidR="00B92C9B">
        <w:rPr>
          <w:rFonts w:eastAsia="Calibri"/>
          <w:lang w:eastAsia="ar-SA"/>
        </w:rPr>
        <w:t>10</w:t>
      </w:r>
      <w:r w:rsidRPr="00A24CA7">
        <w:rPr>
          <w:rFonts w:eastAsia="Calibri"/>
          <w:lang w:eastAsia="ar-SA"/>
        </w:rPr>
        <w:t>“ projektą.</w:t>
      </w:r>
    </w:p>
    <w:p w14:paraId="7E60640E" w14:textId="214AD284" w:rsidR="00F60FE9" w:rsidRPr="00A24CA7" w:rsidRDefault="00F60FE9" w:rsidP="00B92C9B">
      <w:pPr>
        <w:spacing w:line="360" w:lineRule="auto"/>
        <w:jc w:val="both"/>
        <w:rPr>
          <w:rFonts w:eastAsia="Calibri"/>
          <w:szCs w:val="24"/>
          <w:lang w:eastAsia="ar-SA"/>
        </w:rPr>
      </w:pPr>
    </w:p>
    <w:p w14:paraId="17742F4D" w14:textId="723B243B" w:rsidR="005427A1" w:rsidRPr="00FD1E14" w:rsidRDefault="00AC3DB9">
      <w:pPr>
        <w:tabs>
          <w:tab w:val="left" w:pos="1134"/>
        </w:tabs>
        <w:spacing w:line="360" w:lineRule="auto"/>
        <w:jc w:val="both"/>
        <w:rPr>
          <w:rFonts w:eastAsia="Calibri"/>
          <w:szCs w:val="24"/>
        </w:rPr>
      </w:pPr>
      <w:r w:rsidRPr="00A24CA7">
        <w:rPr>
          <w:rFonts w:eastAsia="Calibri"/>
          <w:szCs w:val="24"/>
          <w:lang w:eastAsia="ar-SA"/>
        </w:rPr>
        <w:t xml:space="preserve">Komisijos </w:t>
      </w:r>
      <w:r w:rsidR="005D0813" w:rsidRPr="00A24CA7">
        <w:rPr>
          <w:rFonts w:eastAsia="Calibri"/>
          <w:szCs w:val="24"/>
          <w:lang w:eastAsia="ar-SA"/>
        </w:rPr>
        <w:t>pirmininkas</w:t>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6806C4" w:rsidRPr="00A24CA7">
        <w:rPr>
          <w:rFonts w:eastAsia="Calibri"/>
          <w:szCs w:val="24"/>
          <w:lang w:eastAsia="ar-SA"/>
        </w:rPr>
        <w:t xml:space="preserve">       </w:t>
      </w:r>
      <w:r w:rsidR="005D0813" w:rsidRPr="00A24CA7">
        <w:rPr>
          <w:rFonts w:eastAsia="Calibri"/>
          <w:szCs w:val="24"/>
          <w:lang w:eastAsia="ar-SA"/>
        </w:rPr>
        <w:t xml:space="preserve">Tadas </w:t>
      </w:r>
      <w:proofErr w:type="spellStart"/>
      <w:r w:rsidR="005D0813" w:rsidRPr="00A24CA7">
        <w:rPr>
          <w:rFonts w:eastAsia="Calibri"/>
          <w:szCs w:val="24"/>
          <w:lang w:eastAsia="ar-SA"/>
        </w:rPr>
        <w:t>Prajara</w:t>
      </w:r>
      <w:proofErr w:type="spellEnd"/>
    </w:p>
    <w:sectPr w:rsidR="005427A1" w:rsidRPr="00FD1E1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Calibri"/>
    <w:charset w:val="00"/>
    <w:family w:val="auto"/>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3DA77AD6"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436859">
      <w:rPr>
        <w:noProof/>
        <w:szCs w:val="24"/>
      </w:rPr>
      <w:t>2</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34DA4"/>
    <w:rsid w:val="00050547"/>
    <w:rsid w:val="000744CB"/>
    <w:rsid w:val="00083260"/>
    <w:rsid w:val="000A15D3"/>
    <w:rsid w:val="000B57C6"/>
    <w:rsid w:val="000B781B"/>
    <w:rsid w:val="000C5B5B"/>
    <w:rsid w:val="000C730C"/>
    <w:rsid w:val="000D4965"/>
    <w:rsid w:val="000E65AF"/>
    <w:rsid w:val="000E7AC8"/>
    <w:rsid w:val="0010364C"/>
    <w:rsid w:val="001136B4"/>
    <w:rsid w:val="00116259"/>
    <w:rsid w:val="001209AF"/>
    <w:rsid w:val="00121904"/>
    <w:rsid w:val="00125696"/>
    <w:rsid w:val="00125A79"/>
    <w:rsid w:val="0013463E"/>
    <w:rsid w:val="001366E5"/>
    <w:rsid w:val="001606EE"/>
    <w:rsid w:val="00173EC2"/>
    <w:rsid w:val="00194795"/>
    <w:rsid w:val="001B7668"/>
    <w:rsid w:val="001C6181"/>
    <w:rsid w:val="001D5719"/>
    <w:rsid w:val="002117D2"/>
    <w:rsid w:val="00245A5E"/>
    <w:rsid w:val="002514F0"/>
    <w:rsid w:val="00251B38"/>
    <w:rsid w:val="00276913"/>
    <w:rsid w:val="002A15D8"/>
    <w:rsid w:val="002B140E"/>
    <w:rsid w:val="002E10C8"/>
    <w:rsid w:val="002F4574"/>
    <w:rsid w:val="002F53CF"/>
    <w:rsid w:val="002F7036"/>
    <w:rsid w:val="003364F0"/>
    <w:rsid w:val="00341A42"/>
    <w:rsid w:val="003444ED"/>
    <w:rsid w:val="00373F2E"/>
    <w:rsid w:val="003A61FB"/>
    <w:rsid w:val="003A69A1"/>
    <w:rsid w:val="004342D8"/>
    <w:rsid w:val="00436859"/>
    <w:rsid w:val="00440382"/>
    <w:rsid w:val="00446730"/>
    <w:rsid w:val="00452B04"/>
    <w:rsid w:val="00463A97"/>
    <w:rsid w:val="00476259"/>
    <w:rsid w:val="0048593D"/>
    <w:rsid w:val="004A0BA9"/>
    <w:rsid w:val="004A561A"/>
    <w:rsid w:val="004C29E9"/>
    <w:rsid w:val="004D4198"/>
    <w:rsid w:val="004E00ED"/>
    <w:rsid w:val="004E06FA"/>
    <w:rsid w:val="004E5D57"/>
    <w:rsid w:val="005273A0"/>
    <w:rsid w:val="005427A1"/>
    <w:rsid w:val="005846E2"/>
    <w:rsid w:val="00590DC6"/>
    <w:rsid w:val="00591E96"/>
    <w:rsid w:val="00593097"/>
    <w:rsid w:val="005A0810"/>
    <w:rsid w:val="005B0B93"/>
    <w:rsid w:val="005B5348"/>
    <w:rsid w:val="005C0B2E"/>
    <w:rsid w:val="005D0813"/>
    <w:rsid w:val="005F6CEC"/>
    <w:rsid w:val="00610904"/>
    <w:rsid w:val="0061148F"/>
    <w:rsid w:val="00625B47"/>
    <w:rsid w:val="006414A4"/>
    <w:rsid w:val="00643484"/>
    <w:rsid w:val="006702BC"/>
    <w:rsid w:val="006806C4"/>
    <w:rsid w:val="00696ABA"/>
    <w:rsid w:val="006A4651"/>
    <w:rsid w:val="006C088F"/>
    <w:rsid w:val="006D5712"/>
    <w:rsid w:val="006E593C"/>
    <w:rsid w:val="006F0FF2"/>
    <w:rsid w:val="006F6DD9"/>
    <w:rsid w:val="0070031F"/>
    <w:rsid w:val="007008F4"/>
    <w:rsid w:val="00712F21"/>
    <w:rsid w:val="00713644"/>
    <w:rsid w:val="00737933"/>
    <w:rsid w:val="00765218"/>
    <w:rsid w:val="007659F0"/>
    <w:rsid w:val="00783F7E"/>
    <w:rsid w:val="007978C0"/>
    <w:rsid w:val="007A014D"/>
    <w:rsid w:val="007D2F42"/>
    <w:rsid w:val="007D77E1"/>
    <w:rsid w:val="00804FD1"/>
    <w:rsid w:val="0080743B"/>
    <w:rsid w:val="00823BFD"/>
    <w:rsid w:val="00823DB7"/>
    <w:rsid w:val="00827DBB"/>
    <w:rsid w:val="00834AA6"/>
    <w:rsid w:val="008369B2"/>
    <w:rsid w:val="008643E2"/>
    <w:rsid w:val="008648D7"/>
    <w:rsid w:val="008709C3"/>
    <w:rsid w:val="008A25A7"/>
    <w:rsid w:val="008C5B32"/>
    <w:rsid w:val="008D131C"/>
    <w:rsid w:val="008D1A94"/>
    <w:rsid w:val="008D3DC6"/>
    <w:rsid w:val="008E51FC"/>
    <w:rsid w:val="008F1AA2"/>
    <w:rsid w:val="008F4A1A"/>
    <w:rsid w:val="008F5133"/>
    <w:rsid w:val="009032F7"/>
    <w:rsid w:val="0091178E"/>
    <w:rsid w:val="00913CCE"/>
    <w:rsid w:val="00916CF8"/>
    <w:rsid w:val="00924207"/>
    <w:rsid w:val="0092769C"/>
    <w:rsid w:val="00945D27"/>
    <w:rsid w:val="009558AB"/>
    <w:rsid w:val="00990BEA"/>
    <w:rsid w:val="009B718B"/>
    <w:rsid w:val="009D0638"/>
    <w:rsid w:val="00A24955"/>
    <w:rsid w:val="00A24CA7"/>
    <w:rsid w:val="00A270F0"/>
    <w:rsid w:val="00A52656"/>
    <w:rsid w:val="00A52A26"/>
    <w:rsid w:val="00A5687E"/>
    <w:rsid w:val="00A7076A"/>
    <w:rsid w:val="00A914A7"/>
    <w:rsid w:val="00AB29EA"/>
    <w:rsid w:val="00AB6EF3"/>
    <w:rsid w:val="00AC03E2"/>
    <w:rsid w:val="00AC3DB9"/>
    <w:rsid w:val="00AD1B14"/>
    <w:rsid w:val="00AE7509"/>
    <w:rsid w:val="00B04E85"/>
    <w:rsid w:val="00B175D5"/>
    <w:rsid w:val="00B25B25"/>
    <w:rsid w:val="00B3570D"/>
    <w:rsid w:val="00B80D4B"/>
    <w:rsid w:val="00B92C9B"/>
    <w:rsid w:val="00B97FA5"/>
    <w:rsid w:val="00BD1A41"/>
    <w:rsid w:val="00BD7788"/>
    <w:rsid w:val="00BF2352"/>
    <w:rsid w:val="00BF5B1D"/>
    <w:rsid w:val="00C145A4"/>
    <w:rsid w:val="00C238C5"/>
    <w:rsid w:val="00C42236"/>
    <w:rsid w:val="00C44D30"/>
    <w:rsid w:val="00C5060C"/>
    <w:rsid w:val="00C72C80"/>
    <w:rsid w:val="00C76B4C"/>
    <w:rsid w:val="00C91424"/>
    <w:rsid w:val="00CD6D56"/>
    <w:rsid w:val="00CF7BAC"/>
    <w:rsid w:val="00D07497"/>
    <w:rsid w:val="00D12CC4"/>
    <w:rsid w:val="00D16B45"/>
    <w:rsid w:val="00D4413C"/>
    <w:rsid w:val="00D627CE"/>
    <w:rsid w:val="00D7062E"/>
    <w:rsid w:val="00D7507C"/>
    <w:rsid w:val="00D7583E"/>
    <w:rsid w:val="00D90E5B"/>
    <w:rsid w:val="00D92E3C"/>
    <w:rsid w:val="00DA51E1"/>
    <w:rsid w:val="00DC5613"/>
    <w:rsid w:val="00DF6855"/>
    <w:rsid w:val="00E3334A"/>
    <w:rsid w:val="00E560F5"/>
    <w:rsid w:val="00E719C5"/>
    <w:rsid w:val="00EB4FAD"/>
    <w:rsid w:val="00EE2035"/>
    <w:rsid w:val="00EE395D"/>
    <w:rsid w:val="00F334E0"/>
    <w:rsid w:val="00F60FE9"/>
    <w:rsid w:val="00F64AD6"/>
    <w:rsid w:val="00F901F4"/>
    <w:rsid w:val="00FA0059"/>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uiPriority w:val="34"/>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Z6YWEJNPDQQR-896559167-665</_dlc_DocId>
    <_dlc_DocIdUrl xmlns="28130d43-1b56-4a10-ad88-2cd38123f4c1">
      <Url>https://intranetas.lrs.lt/29/_layouts/15/DocIdRedir.aspx?ID=Z6YWEJNPDQQR-896559167-665</Url>
      <Description>Z6YWEJNPDQQR-896559167-665</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0DF5D4BE-09B3-4BCF-838E-343C8B2787D7}">
  <ds:schemaRefs>
    <ds:schemaRef ds:uri="http://schemas.openxmlformats.org/officeDocument/2006/bibliography"/>
  </ds:schemaRefs>
</ds:datastoreItem>
</file>

<file path=customXml/itemProps3.xml><?xml version="1.0" encoding="utf-8"?>
<ds:datastoreItem xmlns:ds="http://schemas.openxmlformats.org/officeDocument/2006/customXml" ds:itemID="{23983547-4271-4B91-A86F-E4389A815939}"/>
</file>

<file path=customXml/itemProps4.xml><?xml version="1.0" encoding="utf-8"?>
<ds:datastoreItem xmlns:ds="http://schemas.openxmlformats.org/officeDocument/2006/customXml" ds:itemID="{06B92486-8F42-40CF-AFE1-1DCC8738E046}"/>
</file>

<file path=customXml/itemProps5.xml><?xml version="1.0" encoding="utf-8"?>
<ds:datastoreItem xmlns:ds="http://schemas.openxmlformats.org/officeDocument/2006/customXml" ds:itemID="{30A28C6C-A391-4E76-8CF5-F312A863C999}"/>
</file>

<file path=customXml/itemProps6.xml><?xml version="1.0" encoding="utf-8"?>
<ds:datastoreItem xmlns:ds="http://schemas.openxmlformats.org/officeDocument/2006/customXml" ds:itemID="{3B210B66-02BD-4598-AAEE-75DC06364FAC}"/>
</file>

<file path=docProps/app.xml><?xml version="1.0" encoding="utf-8"?>
<Properties xmlns="http://schemas.openxmlformats.org/officeDocument/2006/extended-properties" xmlns:vt="http://schemas.openxmlformats.org/officeDocument/2006/docPropsVTypes">
  <Template>Normal</Template>
  <TotalTime>262</TotalTime>
  <Pages>3</Pages>
  <Words>4660</Words>
  <Characters>2657</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12</cp:revision>
  <cp:lastPrinted>2025-10-30T09:49:00Z</cp:lastPrinted>
  <dcterms:created xsi:type="dcterms:W3CDTF">2026-03-09T10:08:00Z</dcterms:created>
  <dcterms:modified xsi:type="dcterms:W3CDTF">2026-04-30T07:57:00Z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32400527-078d-4a83-9555-927418b61638</vt:lpwstr>
  </property>
</Properties>
</file>