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4D7EB3" w:rsidRDefault="00576E5E" w:rsidP="00576E5E">
      <w:pPr>
        <w:jc w:val="center"/>
        <w:rPr>
          <w:rFonts w:ascii="Times New Roman" w:hAnsi="Times New Roman"/>
          <w:sz w:val="24"/>
          <w:szCs w:val="24"/>
        </w:rPr>
      </w:pPr>
      <w:r w:rsidRPr="004D7EB3">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4D7EB3" w:rsidRDefault="00576E5E" w:rsidP="00576E5E">
      <w:pPr>
        <w:ind w:firstLine="851"/>
        <w:jc w:val="center"/>
        <w:rPr>
          <w:rFonts w:ascii="Times New Roman" w:hAnsi="Times New Roman"/>
          <w:sz w:val="24"/>
          <w:szCs w:val="24"/>
        </w:rPr>
      </w:pPr>
    </w:p>
    <w:p w:rsidR="00576E5E" w:rsidRPr="004D7EB3" w:rsidRDefault="00576E5E" w:rsidP="00576E5E">
      <w:pPr>
        <w:jc w:val="center"/>
        <w:rPr>
          <w:rFonts w:ascii="Times New Roman" w:hAnsi="Times New Roman"/>
          <w:b/>
          <w:bCs/>
          <w:sz w:val="24"/>
          <w:szCs w:val="24"/>
        </w:rPr>
      </w:pPr>
      <w:r w:rsidRPr="004D7EB3">
        <w:rPr>
          <w:rFonts w:ascii="Times New Roman" w:hAnsi="Times New Roman"/>
          <w:b/>
          <w:bCs/>
          <w:sz w:val="24"/>
          <w:szCs w:val="24"/>
        </w:rPr>
        <w:t>LIETUVOS RESPUBLIKOS SEIMO</w:t>
      </w:r>
    </w:p>
    <w:p w:rsidR="00576E5E" w:rsidRPr="004D7EB3" w:rsidRDefault="00576E5E" w:rsidP="00576E5E">
      <w:pPr>
        <w:jc w:val="center"/>
        <w:rPr>
          <w:rFonts w:ascii="Times New Roman" w:hAnsi="Times New Roman"/>
          <w:b/>
          <w:bCs/>
          <w:spacing w:val="4"/>
          <w:sz w:val="24"/>
          <w:szCs w:val="24"/>
        </w:rPr>
      </w:pPr>
      <w:r w:rsidRPr="004D7EB3">
        <w:rPr>
          <w:rFonts w:ascii="Times New Roman" w:hAnsi="Times New Roman"/>
          <w:b/>
          <w:bCs/>
          <w:spacing w:val="4"/>
          <w:sz w:val="24"/>
          <w:szCs w:val="24"/>
        </w:rPr>
        <w:t>PETICIJŲ KOMISIJA</w:t>
      </w:r>
    </w:p>
    <w:p w:rsidR="00576E5E" w:rsidRPr="004D7EB3" w:rsidRDefault="00576E5E" w:rsidP="00576E5E">
      <w:pPr>
        <w:ind w:right="11" w:firstLine="851"/>
        <w:jc w:val="center"/>
        <w:rPr>
          <w:rFonts w:ascii="Times New Roman" w:hAnsi="Times New Roman"/>
          <w:b/>
          <w:spacing w:val="4"/>
          <w:sz w:val="24"/>
          <w:szCs w:val="24"/>
        </w:rPr>
      </w:pP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IŠVADA</w:t>
      </w: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 xml:space="preserve">DĖL </w:t>
      </w:r>
      <w:r w:rsidR="00FE7DA1">
        <w:rPr>
          <w:rFonts w:ascii="Times New Roman" w:hAnsi="Times New Roman"/>
          <w:b/>
          <w:sz w:val="24"/>
          <w:szCs w:val="24"/>
        </w:rPr>
        <w:t>EDVARDO LAUŽINSKO</w:t>
      </w:r>
      <w:r w:rsidR="00CC2653">
        <w:rPr>
          <w:rFonts w:ascii="Times New Roman" w:hAnsi="Times New Roman"/>
          <w:b/>
          <w:sz w:val="24"/>
          <w:szCs w:val="24"/>
        </w:rPr>
        <w:t xml:space="preserve"> </w:t>
      </w:r>
      <w:r w:rsidRPr="004D7EB3">
        <w:rPr>
          <w:rFonts w:ascii="Times New Roman" w:hAnsi="Times New Roman"/>
          <w:b/>
          <w:sz w:val="24"/>
          <w:szCs w:val="24"/>
        </w:rPr>
        <w:t>PETICIJO</w:t>
      </w:r>
      <w:r w:rsidR="004C24E7">
        <w:rPr>
          <w:rFonts w:ascii="Times New Roman" w:hAnsi="Times New Roman"/>
          <w:b/>
          <w:sz w:val="24"/>
          <w:szCs w:val="24"/>
        </w:rPr>
        <w:t>S</w:t>
      </w:r>
    </w:p>
    <w:p w:rsidR="00576E5E" w:rsidRPr="004D7EB3" w:rsidRDefault="00576E5E" w:rsidP="00576E5E">
      <w:pPr>
        <w:pStyle w:val="Betarp"/>
        <w:ind w:firstLine="851"/>
        <w:jc w:val="center"/>
        <w:rPr>
          <w:rFonts w:ascii="Times New Roman" w:hAnsi="Times New Roman"/>
          <w:b/>
          <w:sz w:val="24"/>
          <w:szCs w:val="24"/>
        </w:rPr>
      </w:pP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202</w:t>
      </w:r>
      <w:r w:rsidR="00EB27D6">
        <w:rPr>
          <w:rFonts w:ascii="Times New Roman" w:hAnsi="Times New Roman"/>
          <w:sz w:val="24"/>
          <w:szCs w:val="24"/>
        </w:rPr>
        <w:t>3</w:t>
      </w:r>
      <w:r w:rsidRPr="004D7EB3">
        <w:rPr>
          <w:rFonts w:ascii="Times New Roman" w:hAnsi="Times New Roman"/>
          <w:sz w:val="24"/>
          <w:szCs w:val="24"/>
        </w:rPr>
        <w:t xml:space="preserve"> m.</w:t>
      </w:r>
      <w:r w:rsidR="00A63E72">
        <w:rPr>
          <w:rFonts w:ascii="Times New Roman" w:hAnsi="Times New Roman"/>
          <w:sz w:val="24"/>
          <w:szCs w:val="24"/>
        </w:rPr>
        <w:t xml:space="preserve"> </w:t>
      </w:r>
      <w:r w:rsidR="0097779B">
        <w:rPr>
          <w:rFonts w:ascii="Times New Roman" w:hAnsi="Times New Roman"/>
          <w:sz w:val="24"/>
          <w:szCs w:val="24"/>
        </w:rPr>
        <w:t xml:space="preserve">rugpjūčio </w:t>
      </w:r>
      <w:r w:rsidR="00A726FC">
        <w:rPr>
          <w:rFonts w:ascii="Times New Roman" w:hAnsi="Times New Roman"/>
          <w:sz w:val="24"/>
          <w:szCs w:val="24"/>
        </w:rPr>
        <w:t>30</w:t>
      </w:r>
      <w:r w:rsidR="00494994">
        <w:rPr>
          <w:rFonts w:ascii="Times New Roman" w:hAnsi="Times New Roman"/>
          <w:sz w:val="24"/>
          <w:szCs w:val="24"/>
        </w:rPr>
        <w:t xml:space="preserve"> </w:t>
      </w:r>
      <w:r w:rsidRPr="004D7EB3">
        <w:rPr>
          <w:rFonts w:ascii="Times New Roman" w:hAnsi="Times New Roman"/>
          <w:sz w:val="24"/>
          <w:szCs w:val="24"/>
        </w:rPr>
        <w:t>d.</w:t>
      </w:r>
      <w:r w:rsidR="00A17B6D">
        <w:rPr>
          <w:rFonts w:ascii="Times New Roman" w:hAnsi="Times New Roman"/>
          <w:sz w:val="24"/>
          <w:szCs w:val="24"/>
        </w:rPr>
        <w:t xml:space="preserve"> </w:t>
      </w: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Vilnius</w:t>
      </w:r>
    </w:p>
    <w:p w:rsidR="00576E5E" w:rsidRPr="004D7EB3" w:rsidRDefault="00576E5E" w:rsidP="00576E5E">
      <w:pPr>
        <w:pStyle w:val="Betarp"/>
        <w:tabs>
          <w:tab w:val="left" w:pos="1134"/>
        </w:tabs>
        <w:spacing w:line="360" w:lineRule="auto"/>
        <w:ind w:firstLine="851"/>
        <w:jc w:val="both"/>
        <w:rPr>
          <w:rFonts w:ascii="Times New Roman" w:hAnsi="Times New Roman"/>
          <w:sz w:val="24"/>
          <w:szCs w:val="24"/>
        </w:rPr>
      </w:pPr>
    </w:p>
    <w:p w:rsidR="00E5184F" w:rsidRPr="00607BB4" w:rsidRDefault="00576E5E" w:rsidP="00607BB4">
      <w:pPr>
        <w:pStyle w:val="AssecoParagraphNormalFirstLine"/>
        <w:spacing w:line="360" w:lineRule="auto"/>
        <w:ind w:firstLine="720"/>
        <w:rPr>
          <w:rFonts w:ascii="Times New Roman" w:hAnsi="Times New Roman"/>
          <w:color w:val="000000" w:themeColor="text1"/>
          <w:sz w:val="24"/>
          <w:szCs w:val="24"/>
        </w:rPr>
      </w:pPr>
      <w:r w:rsidRPr="00607BB4">
        <w:rPr>
          <w:rFonts w:ascii="Times New Roman" w:hAnsi="Times New Roman"/>
          <w:color w:val="000000" w:themeColor="text1"/>
          <w:sz w:val="24"/>
          <w:szCs w:val="24"/>
        </w:rPr>
        <w:t>Lietuvos Respublikos Seimo Peticijų komisij</w:t>
      </w:r>
      <w:r w:rsidR="006E53DD" w:rsidRPr="00607BB4">
        <w:rPr>
          <w:rFonts w:ascii="Times New Roman" w:hAnsi="Times New Roman"/>
          <w:color w:val="000000" w:themeColor="text1"/>
          <w:sz w:val="24"/>
          <w:szCs w:val="24"/>
        </w:rPr>
        <w:t>a</w:t>
      </w:r>
      <w:r w:rsidRPr="00607BB4">
        <w:rPr>
          <w:rFonts w:ascii="Times New Roman" w:hAnsi="Times New Roman"/>
          <w:color w:val="000000" w:themeColor="text1"/>
          <w:sz w:val="24"/>
          <w:szCs w:val="24"/>
        </w:rPr>
        <w:t xml:space="preserve"> 202</w:t>
      </w:r>
      <w:r w:rsidR="00EB27D6" w:rsidRPr="00607BB4">
        <w:rPr>
          <w:rFonts w:ascii="Times New Roman" w:hAnsi="Times New Roman"/>
          <w:color w:val="000000" w:themeColor="text1"/>
          <w:sz w:val="24"/>
          <w:szCs w:val="24"/>
        </w:rPr>
        <w:t>3</w:t>
      </w:r>
      <w:r w:rsidRPr="00607BB4">
        <w:rPr>
          <w:rFonts w:ascii="Times New Roman" w:hAnsi="Times New Roman"/>
          <w:color w:val="000000" w:themeColor="text1"/>
          <w:sz w:val="24"/>
          <w:szCs w:val="24"/>
        </w:rPr>
        <w:t xml:space="preserve"> m. </w:t>
      </w:r>
      <w:r w:rsidR="0097779B" w:rsidRPr="00607BB4">
        <w:rPr>
          <w:rFonts w:ascii="Times New Roman" w:hAnsi="Times New Roman"/>
          <w:color w:val="000000" w:themeColor="text1"/>
          <w:sz w:val="24"/>
          <w:szCs w:val="24"/>
        </w:rPr>
        <w:t>rugpjūčio 30</w:t>
      </w:r>
      <w:r w:rsidR="00114DB1" w:rsidRPr="00607BB4">
        <w:rPr>
          <w:rFonts w:ascii="Times New Roman" w:hAnsi="Times New Roman"/>
          <w:color w:val="000000" w:themeColor="text1"/>
          <w:sz w:val="24"/>
          <w:szCs w:val="24"/>
        </w:rPr>
        <w:t xml:space="preserve"> </w:t>
      </w:r>
      <w:r w:rsidRPr="00607BB4">
        <w:rPr>
          <w:rFonts w:ascii="Times New Roman" w:hAnsi="Times New Roman"/>
          <w:color w:val="000000" w:themeColor="text1"/>
          <w:sz w:val="24"/>
          <w:szCs w:val="24"/>
        </w:rPr>
        <w:t xml:space="preserve">d. posėdyje iš esmės </w:t>
      </w:r>
      <w:r w:rsidR="007A504A" w:rsidRPr="00607BB4">
        <w:rPr>
          <w:rFonts w:ascii="Times New Roman" w:hAnsi="Times New Roman"/>
          <w:color w:val="000000" w:themeColor="text1"/>
          <w:sz w:val="24"/>
          <w:szCs w:val="24"/>
        </w:rPr>
        <w:t>iš</w:t>
      </w:r>
      <w:r w:rsidR="00C703AF" w:rsidRPr="00607BB4">
        <w:rPr>
          <w:rFonts w:ascii="Times New Roman" w:hAnsi="Times New Roman"/>
          <w:color w:val="000000" w:themeColor="text1"/>
          <w:sz w:val="24"/>
          <w:szCs w:val="24"/>
        </w:rPr>
        <w:t>nagrinė</w:t>
      </w:r>
      <w:r w:rsidR="006E53DD" w:rsidRPr="00607BB4">
        <w:rPr>
          <w:rFonts w:ascii="Times New Roman" w:hAnsi="Times New Roman"/>
          <w:color w:val="000000" w:themeColor="text1"/>
          <w:sz w:val="24"/>
          <w:szCs w:val="24"/>
        </w:rPr>
        <w:t>jo</w:t>
      </w:r>
      <w:r w:rsidRPr="00607BB4">
        <w:rPr>
          <w:rFonts w:ascii="Times New Roman" w:hAnsi="Times New Roman"/>
          <w:color w:val="000000" w:themeColor="text1"/>
          <w:sz w:val="24"/>
          <w:szCs w:val="24"/>
        </w:rPr>
        <w:t xml:space="preserve"> </w:t>
      </w:r>
      <w:r w:rsidR="00FE7DA1" w:rsidRPr="00607BB4">
        <w:rPr>
          <w:rFonts w:ascii="Times New Roman" w:hAnsi="Times New Roman"/>
          <w:color w:val="000000" w:themeColor="text1"/>
          <w:sz w:val="24"/>
          <w:szCs w:val="24"/>
        </w:rPr>
        <w:t xml:space="preserve">Edvardo </w:t>
      </w:r>
      <w:proofErr w:type="spellStart"/>
      <w:r w:rsidR="00FE7DA1" w:rsidRPr="00607BB4">
        <w:rPr>
          <w:rFonts w:ascii="Times New Roman" w:hAnsi="Times New Roman"/>
          <w:color w:val="000000" w:themeColor="text1"/>
          <w:sz w:val="24"/>
          <w:szCs w:val="24"/>
        </w:rPr>
        <w:t>Laužinsko</w:t>
      </w:r>
      <w:proofErr w:type="spellEnd"/>
      <w:r w:rsidR="0097779B" w:rsidRPr="00607BB4">
        <w:rPr>
          <w:rFonts w:ascii="Times New Roman" w:hAnsi="Times New Roman"/>
          <w:color w:val="000000" w:themeColor="text1"/>
          <w:sz w:val="24"/>
          <w:szCs w:val="24"/>
        </w:rPr>
        <w:t xml:space="preserve"> </w:t>
      </w:r>
      <w:r w:rsidRPr="00607BB4">
        <w:rPr>
          <w:rFonts w:ascii="Times New Roman" w:hAnsi="Times New Roman"/>
          <w:color w:val="000000" w:themeColor="text1"/>
          <w:sz w:val="24"/>
          <w:szCs w:val="24"/>
        </w:rPr>
        <w:t>peticij</w:t>
      </w:r>
      <w:r w:rsidR="006E53DD" w:rsidRPr="00607BB4">
        <w:rPr>
          <w:rFonts w:ascii="Times New Roman" w:hAnsi="Times New Roman"/>
          <w:color w:val="000000" w:themeColor="text1"/>
          <w:sz w:val="24"/>
          <w:szCs w:val="24"/>
        </w:rPr>
        <w:t xml:space="preserve">ą ir priėmė sprendimą </w:t>
      </w:r>
      <w:r w:rsidR="00FB44D3" w:rsidRPr="00607BB4">
        <w:rPr>
          <w:rFonts w:ascii="Times New Roman" w:hAnsi="Times New Roman"/>
          <w:color w:val="000000" w:themeColor="text1"/>
          <w:sz w:val="24"/>
          <w:szCs w:val="24"/>
        </w:rPr>
        <w:t xml:space="preserve">teikti Seimui išvadą </w:t>
      </w:r>
      <w:r w:rsidR="00CF2010" w:rsidRPr="00607BB4">
        <w:rPr>
          <w:rFonts w:ascii="Times New Roman" w:hAnsi="Times New Roman"/>
          <w:color w:val="000000" w:themeColor="text1"/>
          <w:sz w:val="24"/>
          <w:szCs w:val="24"/>
        </w:rPr>
        <w:t>atmesti šioje peticijoje pateikt</w:t>
      </w:r>
      <w:r w:rsidR="00A646FE" w:rsidRPr="00607BB4">
        <w:rPr>
          <w:rFonts w:ascii="Times New Roman" w:hAnsi="Times New Roman"/>
          <w:color w:val="000000" w:themeColor="text1"/>
          <w:sz w:val="24"/>
          <w:szCs w:val="24"/>
        </w:rPr>
        <w:t>ą</w:t>
      </w:r>
      <w:r w:rsidR="001764E1" w:rsidRPr="00607BB4">
        <w:rPr>
          <w:rFonts w:ascii="Times New Roman" w:hAnsi="Times New Roman"/>
          <w:color w:val="000000" w:themeColor="text1"/>
          <w:sz w:val="24"/>
          <w:szCs w:val="24"/>
        </w:rPr>
        <w:t xml:space="preserve"> </w:t>
      </w:r>
      <w:r w:rsidR="00CF2010" w:rsidRPr="00607BB4">
        <w:rPr>
          <w:rFonts w:ascii="Times New Roman" w:hAnsi="Times New Roman"/>
          <w:color w:val="000000" w:themeColor="text1"/>
          <w:sz w:val="24"/>
          <w:szCs w:val="24"/>
        </w:rPr>
        <w:t>pasiūlym</w:t>
      </w:r>
      <w:r w:rsidR="00A646FE" w:rsidRPr="00607BB4">
        <w:rPr>
          <w:rFonts w:ascii="Times New Roman" w:hAnsi="Times New Roman"/>
          <w:color w:val="000000" w:themeColor="text1"/>
          <w:sz w:val="24"/>
          <w:szCs w:val="24"/>
        </w:rPr>
        <w:t>ą</w:t>
      </w:r>
      <w:r w:rsidR="00C02462" w:rsidRPr="00607BB4">
        <w:rPr>
          <w:rFonts w:ascii="Times New Roman" w:hAnsi="Times New Roman"/>
          <w:color w:val="000000" w:themeColor="text1"/>
          <w:sz w:val="24"/>
          <w:szCs w:val="24"/>
        </w:rPr>
        <w:t xml:space="preserve"> </w:t>
      </w:r>
      <w:r w:rsidR="00607BB4" w:rsidRPr="00607BB4">
        <w:rPr>
          <w:rFonts w:ascii="Times New Roman" w:hAnsi="Times New Roman"/>
          <w:sz w:val="24"/>
          <w:szCs w:val="24"/>
        </w:rPr>
        <w:t>panaikinti Lietuvos Respublikos baudžiamojo proceso kodekso 442 straipsnio 2 dalies nuostatas, nustatančias ribojimus skųsti apeliacinės instancijos teismų (apygardos teismų ar Lietuvos apeliacinio teismo) priimamas nutartis.</w:t>
      </w:r>
      <w:r w:rsidR="00607BB4">
        <w:rPr>
          <w:rFonts w:ascii="Times New Roman" w:hAnsi="Times New Roman"/>
          <w:sz w:val="24"/>
          <w:szCs w:val="24"/>
        </w:rPr>
        <w:t xml:space="preserve"> </w:t>
      </w:r>
      <w:r w:rsidR="0004543A" w:rsidRPr="00607BB4">
        <w:rPr>
          <w:rFonts w:ascii="Times New Roman" w:hAnsi="Times New Roman"/>
          <w:color w:val="000000" w:themeColor="text1"/>
          <w:sz w:val="24"/>
          <w:szCs w:val="24"/>
        </w:rPr>
        <w:t xml:space="preserve">Sprendimas priimtas atsižvelgus į </w:t>
      </w:r>
      <w:r w:rsidR="00F13970" w:rsidRPr="00607BB4">
        <w:rPr>
          <w:rFonts w:ascii="Times New Roman" w:hAnsi="Times New Roman"/>
          <w:color w:val="000000" w:themeColor="text1"/>
          <w:sz w:val="24"/>
          <w:szCs w:val="24"/>
        </w:rPr>
        <w:t xml:space="preserve">Lietuvos Respublikos </w:t>
      </w:r>
      <w:r w:rsidR="00A646FE" w:rsidRPr="00607BB4">
        <w:rPr>
          <w:rFonts w:ascii="Times New Roman" w:hAnsi="Times New Roman"/>
          <w:color w:val="000000" w:themeColor="text1"/>
          <w:sz w:val="24"/>
          <w:szCs w:val="24"/>
        </w:rPr>
        <w:t xml:space="preserve">teisingumo </w:t>
      </w:r>
      <w:r w:rsidR="00F13970" w:rsidRPr="00607BB4">
        <w:rPr>
          <w:rFonts w:ascii="Times New Roman" w:hAnsi="Times New Roman"/>
          <w:color w:val="000000" w:themeColor="text1"/>
          <w:sz w:val="24"/>
          <w:szCs w:val="24"/>
        </w:rPr>
        <w:t>ministerijos</w:t>
      </w:r>
      <w:r w:rsidR="0004543A" w:rsidRPr="00607BB4">
        <w:rPr>
          <w:rFonts w:ascii="Times New Roman" w:hAnsi="Times New Roman"/>
          <w:color w:val="000000" w:themeColor="text1"/>
          <w:sz w:val="24"/>
          <w:szCs w:val="24"/>
        </w:rPr>
        <w:t xml:space="preserve"> argumentus, kurie pateikiami šioje išvadoje.</w:t>
      </w:r>
    </w:p>
    <w:p w:rsidR="00330AD3" w:rsidRPr="00330AD3" w:rsidRDefault="00330AD3" w:rsidP="00330AD3">
      <w:pPr>
        <w:spacing w:line="360" w:lineRule="auto"/>
        <w:ind w:firstLine="851"/>
        <w:jc w:val="both"/>
        <w:rPr>
          <w:rFonts w:ascii="Times New Roman" w:hAnsi="Times New Roman"/>
          <w:iCs/>
          <w:sz w:val="24"/>
          <w:szCs w:val="24"/>
        </w:rPr>
      </w:pPr>
      <w:r w:rsidRPr="00330AD3">
        <w:rPr>
          <w:rFonts w:ascii="Times New Roman" w:hAnsi="Times New Roman"/>
          <w:iCs/>
          <w:sz w:val="24"/>
          <w:szCs w:val="24"/>
        </w:rPr>
        <w:t>Pažymėtina, kad B</w:t>
      </w:r>
      <w:r w:rsidR="00737080">
        <w:rPr>
          <w:rFonts w:ascii="Times New Roman" w:hAnsi="Times New Roman"/>
          <w:iCs/>
          <w:sz w:val="24"/>
          <w:szCs w:val="24"/>
        </w:rPr>
        <w:t>audžiamojo proceso kodekso</w:t>
      </w:r>
      <w:r w:rsidRPr="00330AD3">
        <w:rPr>
          <w:rFonts w:ascii="Times New Roman" w:hAnsi="Times New Roman"/>
          <w:iCs/>
          <w:sz w:val="24"/>
          <w:szCs w:val="24"/>
        </w:rPr>
        <w:t xml:space="preserve"> X dalyje (439–442 straipsniai) reglamentuotos nuostatos, susijusios su žemesniųjų teismų nutarčių apskundimu aukštesniesiems teismams ir skundų nagrinėjimu. </w:t>
      </w:r>
      <w:r w:rsidR="00737080" w:rsidRPr="00737080">
        <w:rPr>
          <w:rFonts w:ascii="Times New Roman" w:hAnsi="Times New Roman"/>
          <w:iCs/>
          <w:sz w:val="24"/>
          <w:szCs w:val="24"/>
        </w:rPr>
        <w:t xml:space="preserve">Baudžiamojo proceso kodekso </w:t>
      </w:r>
      <w:r w:rsidRPr="00330AD3">
        <w:rPr>
          <w:rFonts w:ascii="Times New Roman" w:hAnsi="Times New Roman"/>
          <w:iCs/>
          <w:sz w:val="24"/>
          <w:szCs w:val="24"/>
        </w:rPr>
        <w:t>439 straipsnio 1 dalyje nu</w:t>
      </w:r>
      <w:r w:rsidR="00737080">
        <w:rPr>
          <w:rFonts w:ascii="Times New Roman" w:hAnsi="Times New Roman"/>
          <w:iCs/>
          <w:sz w:val="24"/>
          <w:szCs w:val="24"/>
        </w:rPr>
        <w:t>statyta</w:t>
      </w:r>
      <w:r w:rsidRPr="00330AD3">
        <w:rPr>
          <w:rFonts w:ascii="Times New Roman" w:hAnsi="Times New Roman"/>
          <w:iCs/>
          <w:sz w:val="24"/>
          <w:szCs w:val="24"/>
        </w:rPr>
        <w:t xml:space="preserve">, kad bylos nagrinėjimo teisme dalyviai bei kiti asmenys turi teisę </w:t>
      </w:r>
      <w:r w:rsidR="00737080" w:rsidRPr="00737080">
        <w:rPr>
          <w:rFonts w:ascii="Times New Roman" w:hAnsi="Times New Roman"/>
          <w:iCs/>
          <w:sz w:val="24"/>
          <w:szCs w:val="24"/>
        </w:rPr>
        <w:t xml:space="preserve">Baudžiamojo proceso kodekso </w:t>
      </w:r>
      <w:r w:rsidRPr="00330AD3">
        <w:rPr>
          <w:rFonts w:ascii="Times New Roman" w:hAnsi="Times New Roman"/>
          <w:iCs/>
          <w:sz w:val="24"/>
          <w:szCs w:val="24"/>
        </w:rPr>
        <w:t xml:space="preserve">X dalyje nustatyta tvarka apskųsti žemesniųjų teismų bylos parengimo nagrinėti ar teisiamajame posėdyje priimtas nutartis, taip pat </w:t>
      </w:r>
      <w:r w:rsidR="00594F69" w:rsidRPr="00594F69">
        <w:rPr>
          <w:rFonts w:ascii="Times New Roman" w:hAnsi="Times New Roman"/>
          <w:iCs/>
          <w:sz w:val="24"/>
          <w:szCs w:val="24"/>
        </w:rPr>
        <w:t>Baudžiamojo proceso kodeks</w:t>
      </w:r>
      <w:r w:rsidR="00594F69">
        <w:rPr>
          <w:rFonts w:ascii="Times New Roman" w:hAnsi="Times New Roman"/>
          <w:iCs/>
          <w:sz w:val="24"/>
          <w:szCs w:val="24"/>
        </w:rPr>
        <w:t>e</w:t>
      </w:r>
      <w:r w:rsidR="00594F69" w:rsidRPr="00594F69">
        <w:rPr>
          <w:rFonts w:ascii="Times New Roman" w:hAnsi="Times New Roman"/>
          <w:iCs/>
          <w:sz w:val="24"/>
          <w:szCs w:val="24"/>
        </w:rPr>
        <w:t xml:space="preserve"> </w:t>
      </w:r>
      <w:r w:rsidRPr="00330AD3">
        <w:rPr>
          <w:rFonts w:ascii="Times New Roman" w:hAnsi="Times New Roman"/>
          <w:iCs/>
          <w:sz w:val="24"/>
          <w:szCs w:val="24"/>
        </w:rPr>
        <w:t xml:space="preserve">numatytais atvejais – kitas teismų priimtas nutartis aukštesniesiems teismams, išskyrus atvejus, kai </w:t>
      </w:r>
      <w:r w:rsidR="00594F69" w:rsidRPr="00594F69">
        <w:rPr>
          <w:rFonts w:ascii="Times New Roman" w:hAnsi="Times New Roman"/>
          <w:iCs/>
          <w:sz w:val="24"/>
          <w:szCs w:val="24"/>
        </w:rPr>
        <w:t>Baudžiamojo proceso kodeks</w:t>
      </w:r>
      <w:r w:rsidR="00594F69">
        <w:rPr>
          <w:rFonts w:ascii="Times New Roman" w:hAnsi="Times New Roman"/>
          <w:iCs/>
          <w:sz w:val="24"/>
          <w:szCs w:val="24"/>
        </w:rPr>
        <w:t>as</w:t>
      </w:r>
      <w:r w:rsidRPr="00330AD3">
        <w:rPr>
          <w:rFonts w:ascii="Times New Roman" w:hAnsi="Times New Roman"/>
          <w:iCs/>
          <w:sz w:val="24"/>
          <w:szCs w:val="24"/>
        </w:rPr>
        <w:t xml:space="preserve"> numato specialią atskirų teismo nutarčių apskundimo tvarką. </w:t>
      </w:r>
      <w:r w:rsidR="00594F69" w:rsidRPr="00594F69">
        <w:rPr>
          <w:rFonts w:ascii="Times New Roman" w:hAnsi="Times New Roman"/>
          <w:iCs/>
          <w:sz w:val="24"/>
          <w:szCs w:val="24"/>
        </w:rPr>
        <w:t xml:space="preserve">Baudžiamojo proceso kodekso </w:t>
      </w:r>
      <w:r w:rsidRPr="00330AD3">
        <w:rPr>
          <w:rFonts w:ascii="Times New Roman" w:hAnsi="Times New Roman"/>
          <w:iCs/>
          <w:sz w:val="24"/>
          <w:szCs w:val="24"/>
        </w:rPr>
        <w:t>440 straipsnio 2 dalyje nurodoma, kad skundas dėl apylinkės teismo nutarties paduodamas apygardos teismui, dėl apygardos teismo nutarties – Lietuvos apeliaciniam teismui per septynias dienas nuo nutarties gavimo dienos.</w:t>
      </w:r>
      <w:r w:rsidRPr="00330AD3">
        <w:rPr>
          <w:rFonts w:ascii="Times New Roman" w:hAnsi="Times New Roman"/>
          <w:sz w:val="24"/>
          <w:szCs w:val="24"/>
        </w:rPr>
        <w:t xml:space="preserve"> </w:t>
      </w:r>
      <w:r w:rsidRPr="00330AD3">
        <w:rPr>
          <w:rFonts w:ascii="Times New Roman" w:hAnsi="Times New Roman"/>
          <w:iCs/>
          <w:sz w:val="24"/>
          <w:szCs w:val="24"/>
        </w:rPr>
        <w:t xml:space="preserve">Apygardos teismo ar Lietuvos apeliacinio teismo nutartis dėl skundo įsigalioja nuo jos priėmimo dienos ir yra </w:t>
      </w:r>
      <w:r w:rsidRPr="0026765F">
        <w:rPr>
          <w:rFonts w:ascii="Times New Roman" w:hAnsi="Times New Roman"/>
          <w:sz w:val="24"/>
          <w:szCs w:val="24"/>
        </w:rPr>
        <w:t>neskundžiama</w:t>
      </w:r>
      <w:r w:rsidRPr="0026765F">
        <w:rPr>
          <w:rFonts w:ascii="Times New Roman" w:hAnsi="Times New Roman"/>
          <w:iCs/>
          <w:sz w:val="24"/>
          <w:szCs w:val="24"/>
        </w:rPr>
        <w:t xml:space="preserve"> </w:t>
      </w:r>
      <w:r w:rsidRPr="00330AD3">
        <w:rPr>
          <w:rFonts w:ascii="Times New Roman" w:hAnsi="Times New Roman"/>
          <w:iCs/>
          <w:sz w:val="24"/>
          <w:szCs w:val="24"/>
        </w:rPr>
        <w:t>(</w:t>
      </w:r>
      <w:r w:rsidR="00594F69" w:rsidRPr="00594F69">
        <w:rPr>
          <w:rFonts w:ascii="Times New Roman" w:hAnsi="Times New Roman"/>
          <w:iCs/>
          <w:sz w:val="24"/>
          <w:szCs w:val="24"/>
        </w:rPr>
        <w:t xml:space="preserve">Baudžiamojo proceso kodekso </w:t>
      </w:r>
      <w:r w:rsidRPr="00330AD3">
        <w:rPr>
          <w:rFonts w:ascii="Times New Roman" w:hAnsi="Times New Roman"/>
          <w:iCs/>
          <w:sz w:val="24"/>
          <w:szCs w:val="24"/>
        </w:rPr>
        <w:t xml:space="preserve">442 straipsnio 2 dalis). Pareiškėjas atkreipia dėmesį, kad </w:t>
      </w:r>
      <w:r w:rsidR="00594F69" w:rsidRPr="00594F69">
        <w:rPr>
          <w:rFonts w:ascii="Times New Roman" w:hAnsi="Times New Roman"/>
          <w:iCs/>
          <w:sz w:val="24"/>
          <w:szCs w:val="24"/>
        </w:rPr>
        <w:t xml:space="preserve">Baudžiamojo proceso kodekso </w:t>
      </w:r>
      <w:r w:rsidRPr="00330AD3">
        <w:rPr>
          <w:rFonts w:ascii="Times New Roman" w:hAnsi="Times New Roman"/>
          <w:iCs/>
          <w:sz w:val="24"/>
          <w:szCs w:val="24"/>
        </w:rPr>
        <w:t xml:space="preserve">442 straipsnio 2 dalies nuostatos leidžia piktnaudžiauti apeliacinės instancijos teismų teisėjų įgaliojimais priimant neskundžiamus procesinius sprendimus, todėl siūlo panaikinti </w:t>
      </w:r>
      <w:r w:rsidR="00594F69" w:rsidRPr="00594F69">
        <w:rPr>
          <w:rFonts w:ascii="Times New Roman" w:hAnsi="Times New Roman"/>
          <w:iCs/>
          <w:sz w:val="24"/>
          <w:szCs w:val="24"/>
        </w:rPr>
        <w:t xml:space="preserve">Baudžiamojo proceso kodekso </w:t>
      </w:r>
      <w:r w:rsidRPr="00330AD3">
        <w:rPr>
          <w:rFonts w:ascii="Times New Roman" w:hAnsi="Times New Roman"/>
          <w:iCs/>
          <w:sz w:val="24"/>
          <w:szCs w:val="24"/>
        </w:rPr>
        <w:t xml:space="preserve">442 straipsnio 2 dalies nuostatas, numatančias ribojimus skųsti apeliacinės instancijos teismų (apygardos teismų ar Lietuvos apeliacinio teismo) priimamas nutartis kasaciniam teismui. Kitaip tariant, pareiškėjo siūlymai suponuoja prielaidas nustatyti dviejų pakopų pirmosios instancijos teismų priimamų nutarčių apskundimo sistemą, sudarant </w:t>
      </w:r>
      <w:r w:rsidRPr="00330AD3">
        <w:rPr>
          <w:rFonts w:ascii="Times New Roman" w:hAnsi="Times New Roman"/>
          <w:iCs/>
          <w:sz w:val="24"/>
          <w:szCs w:val="24"/>
        </w:rPr>
        <w:lastRenderedPageBreak/>
        <w:t>galimybes skųsti minėtus pirmosios instancijos teismų sprendimus ne tik apeliaciniam, bet ir kasaciniam teismui.</w:t>
      </w:r>
    </w:p>
    <w:p w:rsidR="00330AD3" w:rsidRPr="00330AD3" w:rsidRDefault="00594F69" w:rsidP="00330AD3">
      <w:pPr>
        <w:spacing w:line="360" w:lineRule="auto"/>
        <w:ind w:firstLine="851"/>
        <w:jc w:val="both"/>
        <w:rPr>
          <w:rFonts w:ascii="Times New Roman" w:hAnsi="Times New Roman"/>
          <w:b/>
          <w:bCs/>
          <w:sz w:val="24"/>
          <w:szCs w:val="24"/>
        </w:rPr>
      </w:pPr>
      <w:r>
        <w:rPr>
          <w:rFonts w:ascii="Times New Roman" w:hAnsi="Times New Roman"/>
          <w:iCs/>
          <w:sz w:val="24"/>
          <w:szCs w:val="24"/>
        </w:rPr>
        <w:t>Teisingumo ministerija, v</w:t>
      </w:r>
      <w:r w:rsidR="00330AD3" w:rsidRPr="00330AD3">
        <w:rPr>
          <w:rFonts w:ascii="Times New Roman" w:hAnsi="Times New Roman"/>
          <w:iCs/>
          <w:sz w:val="24"/>
          <w:szCs w:val="24"/>
        </w:rPr>
        <w:t>ertin</w:t>
      </w:r>
      <w:r>
        <w:rPr>
          <w:rFonts w:ascii="Times New Roman" w:hAnsi="Times New Roman"/>
          <w:iCs/>
          <w:sz w:val="24"/>
          <w:szCs w:val="24"/>
        </w:rPr>
        <w:t>dama</w:t>
      </w:r>
      <w:r w:rsidR="00330AD3" w:rsidRPr="00330AD3">
        <w:rPr>
          <w:rFonts w:ascii="Times New Roman" w:hAnsi="Times New Roman"/>
          <w:iCs/>
          <w:sz w:val="24"/>
          <w:szCs w:val="24"/>
        </w:rPr>
        <w:t xml:space="preserve"> pareiškėjo pateikt</w:t>
      </w:r>
      <w:r w:rsidR="00A5233E">
        <w:rPr>
          <w:rFonts w:ascii="Times New Roman" w:hAnsi="Times New Roman"/>
          <w:iCs/>
          <w:sz w:val="24"/>
          <w:szCs w:val="24"/>
        </w:rPr>
        <w:t>ą</w:t>
      </w:r>
      <w:r w:rsidR="00330AD3" w:rsidRPr="00330AD3">
        <w:rPr>
          <w:rFonts w:ascii="Times New Roman" w:hAnsi="Times New Roman"/>
          <w:iCs/>
          <w:sz w:val="24"/>
          <w:szCs w:val="24"/>
        </w:rPr>
        <w:t xml:space="preserve"> </w:t>
      </w:r>
      <w:r w:rsidR="00A5233E">
        <w:rPr>
          <w:rFonts w:ascii="Times New Roman" w:hAnsi="Times New Roman"/>
          <w:iCs/>
          <w:sz w:val="24"/>
          <w:szCs w:val="24"/>
        </w:rPr>
        <w:t>pa</w:t>
      </w:r>
      <w:r w:rsidR="00330AD3" w:rsidRPr="00330AD3">
        <w:rPr>
          <w:rFonts w:ascii="Times New Roman" w:hAnsi="Times New Roman"/>
          <w:iCs/>
          <w:sz w:val="24"/>
          <w:szCs w:val="24"/>
        </w:rPr>
        <w:t>siūlym</w:t>
      </w:r>
      <w:r w:rsidR="00A5233E">
        <w:rPr>
          <w:rFonts w:ascii="Times New Roman" w:hAnsi="Times New Roman"/>
          <w:iCs/>
          <w:sz w:val="24"/>
          <w:szCs w:val="24"/>
        </w:rPr>
        <w:t>ą</w:t>
      </w:r>
      <w:r>
        <w:rPr>
          <w:rFonts w:ascii="Times New Roman" w:hAnsi="Times New Roman"/>
          <w:iCs/>
          <w:sz w:val="24"/>
          <w:szCs w:val="24"/>
        </w:rPr>
        <w:t>,</w:t>
      </w:r>
      <w:r w:rsidR="00330AD3" w:rsidRPr="00330AD3">
        <w:rPr>
          <w:rFonts w:ascii="Times New Roman" w:hAnsi="Times New Roman"/>
          <w:iCs/>
          <w:sz w:val="24"/>
          <w:szCs w:val="24"/>
        </w:rPr>
        <w:t xml:space="preserve"> pirmiausia atkreip</w:t>
      </w:r>
      <w:r>
        <w:rPr>
          <w:rFonts w:ascii="Times New Roman" w:hAnsi="Times New Roman"/>
          <w:iCs/>
          <w:sz w:val="24"/>
          <w:szCs w:val="24"/>
        </w:rPr>
        <w:t>ia</w:t>
      </w:r>
      <w:r w:rsidR="00330AD3" w:rsidRPr="00330AD3">
        <w:rPr>
          <w:rFonts w:ascii="Times New Roman" w:hAnsi="Times New Roman"/>
          <w:iCs/>
          <w:sz w:val="24"/>
          <w:szCs w:val="24"/>
        </w:rPr>
        <w:t xml:space="preserve"> dėmesį į </w:t>
      </w:r>
      <w:r w:rsidR="007D3BF5">
        <w:rPr>
          <w:rFonts w:ascii="Times New Roman" w:hAnsi="Times New Roman"/>
          <w:iCs/>
          <w:sz w:val="24"/>
          <w:szCs w:val="24"/>
        </w:rPr>
        <w:t xml:space="preserve">Lietuvos Respublikos </w:t>
      </w:r>
      <w:r w:rsidR="00330AD3" w:rsidRPr="00330AD3">
        <w:rPr>
          <w:rFonts w:ascii="Times New Roman" w:hAnsi="Times New Roman"/>
          <w:iCs/>
          <w:sz w:val="24"/>
          <w:szCs w:val="24"/>
        </w:rPr>
        <w:t>Konstitucinio Teismo plėtojamą praktiką nagrinėjamais klausimais</w:t>
      </w:r>
      <w:r w:rsidR="00330AD3" w:rsidRPr="00330AD3">
        <w:rPr>
          <w:rFonts w:ascii="Times New Roman" w:hAnsi="Times New Roman"/>
          <w:sz w:val="24"/>
          <w:szCs w:val="24"/>
        </w:rPr>
        <w:t xml:space="preserve">, kurioje išaiškinta, kad iš </w:t>
      </w:r>
      <w:r w:rsidR="007D3BF5">
        <w:rPr>
          <w:rFonts w:ascii="Times New Roman" w:hAnsi="Times New Roman"/>
          <w:sz w:val="24"/>
          <w:szCs w:val="24"/>
        </w:rPr>
        <w:t xml:space="preserve">Lietuvos Respublikos </w:t>
      </w:r>
      <w:r w:rsidR="00330AD3" w:rsidRPr="00330AD3">
        <w:rPr>
          <w:rFonts w:ascii="Times New Roman" w:hAnsi="Times New Roman"/>
          <w:sz w:val="24"/>
          <w:szCs w:val="24"/>
        </w:rPr>
        <w:t xml:space="preserve">Konstitucijos kylanti bendrosios kompetencijos teismų </w:t>
      </w:r>
      <w:proofErr w:type="spellStart"/>
      <w:r w:rsidR="00330AD3" w:rsidRPr="00330AD3">
        <w:rPr>
          <w:rFonts w:ascii="Times New Roman" w:hAnsi="Times New Roman"/>
          <w:sz w:val="24"/>
          <w:szCs w:val="24"/>
        </w:rPr>
        <w:t>instancinė</w:t>
      </w:r>
      <w:proofErr w:type="spellEnd"/>
      <w:r w:rsidR="00330AD3" w:rsidRPr="00330AD3">
        <w:rPr>
          <w:rFonts w:ascii="Times New Roman" w:hAnsi="Times New Roman"/>
          <w:sz w:val="24"/>
          <w:szCs w:val="24"/>
        </w:rPr>
        <w:t xml:space="preserve"> sistema suponuoja tai, jog bet kurį pirmosios instancijos bendrosios kompetencijos teismo baigiamąjį aktą turi būti galima nustatyta tvarka apskųsti </w:t>
      </w:r>
      <w:r w:rsidR="00330AD3" w:rsidRPr="00A5233E">
        <w:rPr>
          <w:rFonts w:ascii="Times New Roman" w:hAnsi="Times New Roman"/>
          <w:iCs/>
          <w:sz w:val="24"/>
          <w:szCs w:val="24"/>
        </w:rPr>
        <w:t>bent vienos aukštesnės instancijos bendrosios kompetencijos teismui</w:t>
      </w:r>
      <w:r w:rsidR="00330AD3" w:rsidRPr="00A5233E">
        <w:rPr>
          <w:rFonts w:ascii="Times New Roman" w:hAnsi="Times New Roman"/>
          <w:iCs/>
          <w:sz w:val="24"/>
          <w:szCs w:val="24"/>
          <w:vertAlign w:val="superscript"/>
        </w:rPr>
        <w:footnoteReference w:id="1"/>
      </w:r>
      <w:r w:rsidR="00330AD3" w:rsidRPr="00330AD3">
        <w:rPr>
          <w:rFonts w:ascii="Times New Roman" w:hAnsi="Times New Roman"/>
          <w:sz w:val="24"/>
          <w:szCs w:val="24"/>
        </w:rPr>
        <w:t xml:space="preserve">. Kiekvienu baigiamuoju teismo aktu atitinkamoje byloje yra įvykdomas teisingumas, be to, atitinkamoje byloje priimtas baigiamasis teismo aktas – teisės taikymo aktas, kuriuo ta byla yra užbaigiama. Pažymėtina ir tai, kad iki teismo baigiamojo akto priėmimo byloje teismui tenka priimti ir kitus įvairaus turinio ir formos procesinius sprendimus, kuriais byla nėra užbaigiama. Tačiau tokie teismo procesiniai sprendimai </w:t>
      </w:r>
      <w:r w:rsidR="00330AD3" w:rsidRPr="00873243">
        <w:rPr>
          <w:rFonts w:ascii="Times New Roman" w:hAnsi="Times New Roman"/>
          <w:iCs/>
          <w:sz w:val="24"/>
          <w:szCs w:val="24"/>
        </w:rPr>
        <w:t>nėra baigiamieji teismo aktai</w:t>
      </w:r>
      <w:r w:rsidR="00330AD3" w:rsidRPr="00873243">
        <w:rPr>
          <w:rFonts w:ascii="Times New Roman" w:hAnsi="Times New Roman"/>
          <w:sz w:val="24"/>
          <w:szCs w:val="24"/>
        </w:rPr>
        <w:t>.</w:t>
      </w:r>
      <w:r w:rsidR="00330AD3" w:rsidRPr="00330AD3">
        <w:rPr>
          <w:rFonts w:ascii="Times New Roman" w:hAnsi="Times New Roman"/>
          <w:sz w:val="24"/>
          <w:szCs w:val="24"/>
        </w:rPr>
        <w:t xml:space="preserve"> Konstitucija nereikalauja įstatymu užtikrinti galimybę apskųsti </w:t>
      </w:r>
      <w:r w:rsidR="00330AD3" w:rsidRPr="00873243">
        <w:rPr>
          <w:rFonts w:ascii="Times New Roman" w:hAnsi="Times New Roman"/>
          <w:iCs/>
          <w:sz w:val="24"/>
          <w:szCs w:val="24"/>
        </w:rPr>
        <w:t>bet kurį byloje priimtą teismo procesinį sprendimą</w:t>
      </w:r>
      <w:r w:rsidR="00330AD3" w:rsidRPr="00330AD3">
        <w:rPr>
          <w:rFonts w:ascii="Times New Roman" w:hAnsi="Times New Roman"/>
          <w:sz w:val="24"/>
          <w:szCs w:val="24"/>
        </w:rPr>
        <w:t xml:space="preserve"> (ne baigiamąjį aktą)</w:t>
      </w:r>
      <w:r w:rsidR="00330AD3" w:rsidRPr="00330AD3">
        <w:rPr>
          <w:rFonts w:ascii="Times New Roman" w:hAnsi="Times New Roman"/>
          <w:sz w:val="24"/>
          <w:szCs w:val="24"/>
          <w:vertAlign w:val="superscript"/>
        </w:rPr>
        <w:footnoteReference w:id="2"/>
      </w:r>
      <w:r>
        <w:rPr>
          <w:rFonts w:ascii="Times New Roman" w:hAnsi="Times New Roman"/>
          <w:sz w:val="24"/>
          <w:szCs w:val="24"/>
        </w:rPr>
        <w:t>.</w:t>
      </w:r>
      <w:r w:rsidR="00330AD3" w:rsidRPr="00330AD3">
        <w:rPr>
          <w:rFonts w:ascii="Times New Roman" w:hAnsi="Times New Roman"/>
          <w:b/>
          <w:bCs/>
          <w:sz w:val="24"/>
          <w:szCs w:val="24"/>
        </w:rPr>
        <w:t xml:space="preserve"> </w:t>
      </w:r>
      <w:r w:rsidR="00330AD3" w:rsidRPr="00330AD3">
        <w:rPr>
          <w:rFonts w:ascii="Times New Roman" w:hAnsi="Times New Roman"/>
          <w:sz w:val="24"/>
          <w:szCs w:val="24"/>
        </w:rPr>
        <w:t xml:space="preserve">Iš pateiktos Konstitucinio Teismo praktikos seka, kad iš Konstitucijos kylantys imperatyvai nustato reikalavimus pirmosios instancijos </w:t>
      </w:r>
      <w:bookmarkStart w:id="0" w:name="_GoBack"/>
      <w:bookmarkEnd w:id="0"/>
      <w:r w:rsidR="00330AD3" w:rsidRPr="00330AD3">
        <w:rPr>
          <w:rFonts w:ascii="Times New Roman" w:hAnsi="Times New Roman"/>
          <w:sz w:val="24"/>
          <w:szCs w:val="24"/>
        </w:rPr>
        <w:t xml:space="preserve">teismų baigiamųjų aktų apskundimo tvarkai, įpareigojant įstatymų leidėją nustatyti tokį teisinį reguliavimą, kuriuo remiantis šiuos teismo baigiamuosius aktus būtų galima apskųsti bent vienam aukštesnės instancijos teismui. Tuo tarpu teismo priimamiems tarpiniams procesiniams sprendimams baudžiamajame procese Konstitucijos nuostatos nenumato analogiškų imperatyvų, todėl įstatymų leidėjas turi </w:t>
      </w:r>
      <w:proofErr w:type="spellStart"/>
      <w:r w:rsidR="00330AD3" w:rsidRPr="00330AD3">
        <w:rPr>
          <w:rFonts w:ascii="Times New Roman" w:hAnsi="Times New Roman"/>
          <w:sz w:val="24"/>
          <w:szCs w:val="24"/>
        </w:rPr>
        <w:t>diskreciją</w:t>
      </w:r>
      <w:proofErr w:type="spellEnd"/>
      <w:r w:rsidR="00330AD3" w:rsidRPr="00330AD3">
        <w:rPr>
          <w:rFonts w:ascii="Times New Roman" w:hAnsi="Times New Roman"/>
          <w:sz w:val="24"/>
          <w:szCs w:val="24"/>
        </w:rPr>
        <w:t xml:space="preserve"> nustatyti tokį teisinį reguliavimą, kuriuo remiantis minėti teismų priimami tarpiniai procesiniai sprendimai gali būti galutiniai ir neskundžiami. </w:t>
      </w:r>
    </w:p>
    <w:p w:rsidR="00330AD3" w:rsidRPr="00330AD3" w:rsidRDefault="00594F69" w:rsidP="00330AD3">
      <w:pPr>
        <w:spacing w:line="360" w:lineRule="auto"/>
        <w:ind w:firstLine="851"/>
        <w:jc w:val="both"/>
        <w:rPr>
          <w:rFonts w:ascii="Times New Roman" w:hAnsi="Times New Roman"/>
          <w:iCs/>
          <w:sz w:val="24"/>
          <w:szCs w:val="24"/>
        </w:rPr>
      </w:pPr>
      <w:r>
        <w:rPr>
          <w:rFonts w:ascii="Times New Roman" w:hAnsi="Times New Roman"/>
          <w:sz w:val="24"/>
          <w:szCs w:val="24"/>
        </w:rPr>
        <w:t>Teisingumo ministerija</w:t>
      </w:r>
      <w:r w:rsidR="00330AD3" w:rsidRPr="00330AD3">
        <w:rPr>
          <w:rFonts w:ascii="Times New Roman" w:hAnsi="Times New Roman"/>
          <w:sz w:val="24"/>
          <w:szCs w:val="24"/>
        </w:rPr>
        <w:t xml:space="preserve"> atkreip</w:t>
      </w:r>
      <w:r>
        <w:rPr>
          <w:rFonts w:ascii="Times New Roman" w:hAnsi="Times New Roman"/>
          <w:sz w:val="24"/>
          <w:szCs w:val="24"/>
        </w:rPr>
        <w:t>ia</w:t>
      </w:r>
      <w:r w:rsidR="00330AD3" w:rsidRPr="00330AD3">
        <w:rPr>
          <w:rFonts w:ascii="Times New Roman" w:hAnsi="Times New Roman"/>
          <w:sz w:val="24"/>
          <w:szCs w:val="24"/>
        </w:rPr>
        <w:t xml:space="preserve"> dėmes</w:t>
      </w:r>
      <w:r>
        <w:rPr>
          <w:rFonts w:ascii="Times New Roman" w:hAnsi="Times New Roman"/>
          <w:sz w:val="24"/>
          <w:szCs w:val="24"/>
        </w:rPr>
        <w:t>į ir</w:t>
      </w:r>
      <w:r w:rsidR="00330AD3" w:rsidRPr="00330AD3">
        <w:rPr>
          <w:rFonts w:ascii="Times New Roman" w:hAnsi="Times New Roman"/>
          <w:sz w:val="24"/>
          <w:szCs w:val="24"/>
        </w:rPr>
        <w:t xml:space="preserve"> į tai, kad </w:t>
      </w:r>
      <w:r w:rsidRPr="00594F69">
        <w:rPr>
          <w:rFonts w:ascii="Times New Roman" w:hAnsi="Times New Roman"/>
          <w:iCs/>
          <w:sz w:val="24"/>
          <w:szCs w:val="24"/>
        </w:rPr>
        <w:t xml:space="preserve">Baudžiamojo proceso kodekso </w:t>
      </w:r>
      <w:r w:rsidR="00330AD3" w:rsidRPr="00330AD3">
        <w:rPr>
          <w:rFonts w:ascii="Times New Roman" w:hAnsi="Times New Roman"/>
          <w:iCs/>
          <w:sz w:val="24"/>
          <w:szCs w:val="24"/>
        </w:rPr>
        <w:t xml:space="preserve">440 straipsnio 2 dalies nuostatos nereglamentuoja teismų baigiamųjų aktų, kuriais užbaigiamos bylos apskundimo tvarkos, t. y. šios nuostatos numato </w:t>
      </w:r>
      <w:r w:rsidR="00330AD3" w:rsidRPr="00D43A96">
        <w:rPr>
          <w:rFonts w:ascii="Times New Roman" w:hAnsi="Times New Roman"/>
          <w:sz w:val="24"/>
          <w:szCs w:val="24"/>
        </w:rPr>
        <w:t>tarpinių</w:t>
      </w:r>
      <w:r w:rsidR="00330AD3" w:rsidRPr="00D43A96">
        <w:rPr>
          <w:rFonts w:ascii="Times New Roman" w:hAnsi="Times New Roman"/>
          <w:iCs/>
          <w:sz w:val="24"/>
          <w:szCs w:val="24"/>
        </w:rPr>
        <w:t xml:space="preserve"> </w:t>
      </w:r>
      <w:r w:rsidR="00330AD3" w:rsidRPr="00330AD3">
        <w:rPr>
          <w:rFonts w:ascii="Times New Roman" w:hAnsi="Times New Roman"/>
          <w:iCs/>
          <w:sz w:val="24"/>
          <w:szCs w:val="24"/>
        </w:rPr>
        <w:t>pirmosios instancijos teismo procesinių sprendimų</w:t>
      </w:r>
      <w:r w:rsidR="00E87C51">
        <w:rPr>
          <w:rFonts w:ascii="Times New Roman" w:hAnsi="Times New Roman"/>
          <w:iCs/>
          <w:sz w:val="24"/>
          <w:szCs w:val="24"/>
        </w:rPr>
        <w:t>,</w:t>
      </w:r>
      <w:r w:rsidR="00330AD3" w:rsidRPr="00330AD3">
        <w:rPr>
          <w:rFonts w:ascii="Times New Roman" w:hAnsi="Times New Roman"/>
          <w:iCs/>
          <w:sz w:val="24"/>
          <w:szCs w:val="24"/>
        </w:rPr>
        <w:t xml:space="preserve"> priimamų baudžiamajame procese</w:t>
      </w:r>
      <w:r w:rsidR="00E87C51">
        <w:rPr>
          <w:rFonts w:ascii="Times New Roman" w:hAnsi="Times New Roman"/>
          <w:iCs/>
          <w:sz w:val="24"/>
          <w:szCs w:val="24"/>
        </w:rPr>
        <w:t>,</w:t>
      </w:r>
      <w:r w:rsidR="00330AD3" w:rsidRPr="00330AD3">
        <w:rPr>
          <w:rFonts w:ascii="Times New Roman" w:hAnsi="Times New Roman"/>
          <w:iCs/>
          <w:sz w:val="24"/>
          <w:szCs w:val="24"/>
        </w:rPr>
        <w:t xml:space="preserve"> apskundimo galimybes. Tai reiškia, kad anksčiau nurodyti ir iš Konstitucinio Teismo praktikos kylantys imperatyvai – užtikrinti, kad teismo procesinį sprendimą </w:t>
      </w:r>
      <w:r w:rsidR="00330AD3" w:rsidRPr="00330AD3">
        <w:rPr>
          <w:rFonts w:ascii="Times New Roman" w:hAnsi="Times New Roman"/>
          <w:sz w:val="24"/>
          <w:szCs w:val="24"/>
        </w:rPr>
        <w:t xml:space="preserve">turi būti galima nustatyta tvarka apskųsti </w:t>
      </w:r>
      <w:r w:rsidR="00330AD3" w:rsidRPr="00794A35">
        <w:rPr>
          <w:rFonts w:ascii="Times New Roman" w:hAnsi="Times New Roman"/>
          <w:iCs/>
          <w:sz w:val="24"/>
          <w:szCs w:val="24"/>
        </w:rPr>
        <w:t>bent vienos aukštesnės instancijos bendrosios kompetencijos teismui</w:t>
      </w:r>
      <w:r w:rsidR="00330AD3" w:rsidRPr="00330AD3">
        <w:rPr>
          <w:rFonts w:ascii="Times New Roman" w:hAnsi="Times New Roman"/>
          <w:i/>
          <w:iCs/>
          <w:sz w:val="24"/>
          <w:szCs w:val="24"/>
        </w:rPr>
        <w:t xml:space="preserve"> – </w:t>
      </w:r>
      <w:r w:rsidRPr="00594F69">
        <w:rPr>
          <w:rFonts w:ascii="Times New Roman" w:hAnsi="Times New Roman"/>
          <w:sz w:val="24"/>
          <w:szCs w:val="24"/>
        </w:rPr>
        <w:t xml:space="preserve">Baudžiamojo proceso kodekso </w:t>
      </w:r>
      <w:r w:rsidR="00330AD3" w:rsidRPr="00330AD3">
        <w:rPr>
          <w:rFonts w:ascii="Times New Roman" w:hAnsi="Times New Roman"/>
          <w:iCs/>
          <w:sz w:val="24"/>
          <w:szCs w:val="24"/>
        </w:rPr>
        <w:t xml:space="preserve">440 straipsnio 2 dalies nuostatoms nėra taikomi. Nepaisant to, minėtos </w:t>
      </w:r>
      <w:r w:rsidRPr="00594F69">
        <w:rPr>
          <w:rFonts w:ascii="Times New Roman" w:hAnsi="Times New Roman"/>
          <w:iCs/>
          <w:sz w:val="24"/>
          <w:szCs w:val="24"/>
        </w:rPr>
        <w:t xml:space="preserve">Baudžiamojo proceso kodekso </w:t>
      </w:r>
      <w:r w:rsidR="00330AD3" w:rsidRPr="00330AD3">
        <w:rPr>
          <w:rFonts w:ascii="Times New Roman" w:hAnsi="Times New Roman"/>
          <w:iCs/>
          <w:sz w:val="24"/>
          <w:szCs w:val="24"/>
        </w:rPr>
        <w:t xml:space="preserve">440 straipsnio 2 dalies nuostatos numato vienpakopį </w:t>
      </w:r>
      <w:r w:rsidR="00330AD3" w:rsidRPr="001F0B1A">
        <w:rPr>
          <w:rFonts w:ascii="Times New Roman" w:hAnsi="Times New Roman"/>
          <w:sz w:val="24"/>
          <w:szCs w:val="24"/>
        </w:rPr>
        <w:t>tarpinių</w:t>
      </w:r>
      <w:r w:rsidR="00330AD3" w:rsidRPr="001F0B1A">
        <w:rPr>
          <w:rFonts w:ascii="Times New Roman" w:hAnsi="Times New Roman"/>
          <w:iCs/>
          <w:sz w:val="24"/>
          <w:szCs w:val="24"/>
        </w:rPr>
        <w:t xml:space="preserve"> </w:t>
      </w:r>
      <w:r w:rsidR="00330AD3" w:rsidRPr="00330AD3">
        <w:rPr>
          <w:rFonts w:ascii="Times New Roman" w:hAnsi="Times New Roman"/>
          <w:iCs/>
          <w:sz w:val="24"/>
          <w:szCs w:val="24"/>
        </w:rPr>
        <w:t xml:space="preserve">pirmosios instancijos teismo procesinių sprendimų apskundimo modelį ir užtikrina aukštesnį teisinio reguliavimo standartą negu reikalauja Konstitucijos nuostatos ir plėtojama Konstitucinio Teismo praktika. Atsižvelgiant į tai darytina išvada, kad pareiškėjo ginčijamos </w:t>
      </w:r>
      <w:r w:rsidR="00823345" w:rsidRPr="00823345">
        <w:rPr>
          <w:rFonts w:ascii="Times New Roman" w:hAnsi="Times New Roman"/>
          <w:sz w:val="24"/>
          <w:szCs w:val="24"/>
        </w:rPr>
        <w:t>Baudžiamojo proceso kodekso</w:t>
      </w:r>
      <w:r w:rsidR="00330AD3" w:rsidRPr="00330AD3">
        <w:rPr>
          <w:rFonts w:ascii="Times New Roman" w:hAnsi="Times New Roman"/>
          <w:sz w:val="24"/>
          <w:szCs w:val="24"/>
        </w:rPr>
        <w:t xml:space="preserve"> </w:t>
      </w:r>
      <w:r w:rsidR="00330AD3" w:rsidRPr="00330AD3">
        <w:rPr>
          <w:rFonts w:ascii="Times New Roman" w:hAnsi="Times New Roman"/>
          <w:iCs/>
          <w:sz w:val="24"/>
          <w:szCs w:val="24"/>
        </w:rPr>
        <w:t xml:space="preserve">440 straipsnio 2 dalies nuostatos ne tik yra pagrįstos ir teisėtos, bet ir nustato aukštas procesines garantijas baudžiamajame procese, viršijančias konstitucinius minimalius standartus. Galiausiai tokias išvadas patvirtina ir Lietuvos apeliacinio teismo praktika, kurioje yra išaiškinta, kad ne visos teismų priimtos nutartys, </w:t>
      </w:r>
      <w:r w:rsidR="00330AD3" w:rsidRPr="001F0B1A">
        <w:rPr>
          <w:rFonts w:ascii="Times New Roman" w:hAnsi="Times New Roman"/>
          <w:sz w:val="24"/>
          <w:szCs w:val="24"/>
        </w:rPr>
        <w:t>kuriomis byla nėra išnagrinėjama iš esmės</w:t>
      </w:r>
      <w:r w:rsidR="00330AD3" w:rsidRPr="00330AD3">
        <w:rPr>
          <w:rFonts w:ascii="Times New Roman" w:hAnsi="Times New Roman"/>
          <w:iCs/>
          <w:sz w:val="24"/>
          <w:szCs w:val="24"/>
        </w:rPr>
        <w:t>, gali būti skundžiamos. Tai pagrįsta tuo, kad teisinis reglamentavimas negali sudaryti prielaidų vilkinti baudžiamųjų bylų nagrinėjimą, proceso dalyviams piktnaudžiauti procesinėmis ir kitomis teisėmis, todėl tam tikri ribojimai dėl proceso dalyvių teisės apskųsti teismo procesinius veiksmus yra galimi</w:t>
      </w:r>
      <w:r w:rsidR="00330AD3" w:rsidRPr="00330AD3">
        <w:rPr>
          <w:rFonts w:ascii="Times New Roman" w:hAnsi="Times New Roman"/>
          <w:iCs/>
          <w:sz w:val="24"/>
          <w:szCs w:val="24"/>
          <w:vertAlign w:val="superscript"/>
        </w:rPr>
        <w:footnoteReference w:id="3"/>
      </w:r>
      <w:r w:rsidR="00823345">
        <w:rPr>
          <w:rFonts w:ascii="Times New Roman" w:hAnsi="Times New Roman"/>
          <w:iCs/>
          <w:sz w:val="24"/>
          <w:szCs w:val="24"/>
        </w:rPr>
        <w:t>.</w:t>
      </w:r>
    </w:p>
    <w:p w:rsidR="00330AD3" w:rsidRPr="00330AD3" w:rsidRDefault="00823345" w:rsidP="00330AD3">
      <w:pPr>
        <w:spacing w:line="360" w:lineRule="auto"/>
        <w:ind w:firstLine="851"/>
        <w:jc w:val="both"/>
        <w:rPr>
          <w:rFonts w:ascii="Times New Roman" w:hAnsi="Times New Roman"/>
          <w:iCs/>
          <w:sz w:val="24"/>
          <w:szCs w:val="24"/>
        </w:rPr>
      </w:pPr>
      <w:r>
        <w:rPr>
          <w:rFonts w:ascii="Times New Roman" w:hAnsi="Times New Roman"/>
          <w:iCs/>
          <w:sz w:val="24"/>
          <w:szCs w:val="24"/>
        </w:rPr>
        <w:t>P</w:t>
      </w:r>
      <w:r w:rsidR="00330AD3" w:rsidRPr="00330AD3">
        <w:rPr>
          <w:rFonts w:ascii="Times New Roman" w:hAnsi="Times New Roman"/>
          <w:iCs/>
          <w:sz w:val="24"/>
          <w:szCs w:val="24"/>
        </w:rPr>
        <w:t>areiškėjo siūlom</w:t>
      </w:r>
      <w:r w:rsidR="0003295D">
        <w:rPr>
          <w:rFonts w:ascii="Times New Roman" w:hAnsi="Times New Roman"/>
          <w:iCs/>
          <w:sz w:val="24"/>
          <w:szCs w:val="24"/>
        </w:rPr>
        <w:t>a</w:t>
      </w:r>
      <w:r w:rsidR="00330AD3" w:rsidRPr="00330AD3">
        <w:rPr>
          <w:rFonts w:ascii="Times New Roman" w:hAnsi="Times New Roman"/>
          <w:iCs/>
          <w:sz w:val="24"/>
          <w:szCs w:val="24"/>
        </w:rPr>
        <w:t xml:space="preserve"> teisėkūros iniciatyv</w:t>
      </w:r>
      <w:r w:rsidR="0003295D">
        <w:rPr>
          <w:rFonts w:ascii="Times New Roman" w:hAnsi="Times New Roman"/>
          <w:iCs/>
          <w:sz w:val="24"/>
          <w:szCs w:val="24"/>
        </w:rPr>
        <w:t>a</w:t>
      </w:r>
      <w:r w:rsidR="00330AD3" w:rsidRPr="00330AD3">
        <w:rPr>
          <w:rFonts w:ascii="Times New Roman" w:hAnsi="Times New Roman"/>
          <w:iCs/>
          <w:sz w:val="24"/>
          <w:szCs w:val="24"/>
        </w:rPr>
        <w:t xml:space="preserve"> siekiama įtvirtinti dviejų pakopų pirmosios instancijos teismų priimamų tarpinių sprendimų apskundimo sistemą, t. y. sudaryti galimybes apeliacinės instancijos teismo nutartį</w:t>
      </w:r>
      <w:r w:rsidR="000529BD">
        <w:rPr>
          <w:rFonts w:ascii="Times New Roman" w:hAnsi="Times New Roman"/>
          <w:iCs/>
          <w:sz w:val="24"/>
          <w:szCs w:val="24"/>
        </w:rPr>
        <w:t>,</w:t>
      </w:r>
      <w:r w:rsidR="00330AD3" w:rsidRPr="00330AD3">
        <w:rPr>
          <w:rFonts w:ascii="Times New Roman" w:hAnsi="Times New Roman"/>
          <w:iCs/>
          <w:sz w:val="24"/>
          <w:szCs w:val="24"/>
        </w:rPr>
        <w:t xml:space="preserve"> priimtą dėl pirmosios instancijos teismo skundžiamo tarpinio sprendimo (nutarties)</w:t>
      </w:r>
      <w:r w:rsidR="000529BD">
        <w:rPr>
          <w:rFonts w:ascii="Times New Roman" w:hAnsi="Times New Roman"/>
          <w:iCs/>
          <w:sz w:val="24"/>
          <w:szCs w:val="24"/>
        </w:rPr>
        <w:t>,</w:t>
      </w:r>
      <w:r w:rsidR="00330AD3" w:rsidRPr="00330AD3">
        <w:rPr>
          <w:rFonts w:ascii="Times New Roman" w:hAnsi="Times New Roman"/>
          <w:iCs/>
          <w:sz w:val="24"/>
          <w:szCs w:val="24"/>
        </w:rPr>
        <w:t xml:space="preserve"> skųsti kasaciniam teismui (Lietuvos Aukščiausiajam Teismui). Šiame kontekste tikslinga atkreipti dėmesį į Lietuvos nacionaliniame teisiniame reguliavime įtvirtintą ribotos kasacijos baudžiamajame procese modelį ir jo ypatumus.  </w:t>
      </w:r>
      <w:r w:rsidRPr="00823345">
        <w:rPr>
          <w:rFonts w:ascii="Times New Roman" w:hAnsi="Times New Roman"/>
          <w:iCs/>
          <w:sz w:val="24"/>
          <w:szCs w:val="24"/>
        </w:rPr>
        <w:t xml:space="preserve">Baudžiamojo proceso kodekso </w:t>
      </w:r>
      <w:r w:rsidR="00330AD3" w:rsidRPr="00330AD3">
        <w:rPr>
          <w:rFonts w:ascii="Times New Roman" w:hAnsi="Times New Roman"/>
          <w:iCs/>
          <w:sz w:val="24"/>
          <w:szCs w:val="24"/>
        </w:rPr>
        <w:t>367 straipsnio 4 dalyje, aiškinamoje kartu su 326 straipsnio 1 ir 5 dalimis ir 318 straipsnio 1 dalimi, yra numatyta, kad kasaciniam teismui gali būti skundžiamos apeliacinės instancijos teismo nutartys</w:t>
      </w:r>
      <w:r w:rsidR="000F501A">
        <w:rPr>
          <w:rFonts w:ascii="Times New Roman" w:hAnsi="Times New Roman"/>
          <w:iCs/>
          <w:sz w:val="24"/>
          <w:szCs w:val="24"/>
        </w:rPr>
        <w:t>,</w:t>
      </w:r>
      <w:r w:rsidR="00330AD3" w:rsidRPr="00330AD3">
        <w:rPr>
          <w:rFonts w:ascii="Times New Roman" w:hAnsi="Times New Roman"/>
          <w:iCs/>
          <w:sz w:val="24"/>
          <w:szCs w:val="24"/>
        </w:rPr>
        <w:t xml:space="preserve"> priimtos </w:t>
      </w:r>
      <w:r w:rsidR="00330AD3" w:rsidRPr="000F501A">
        <w:rPr>
          <w:rFonts w:ascii="Times New Roman" w:hAnsi="Times New Roman"/>
          <w:sz w:val="24"/>
          <w:szCs w:val="24"/>
        </w:rPr>
        <w:t>tik</w:t>
      </w:r>
      <w:r w:rsidR="00330AD3" w:rsidRPr="000F501A">
        <w:rPr>
          <w:rFonts w:ascii="Times New Roman" w:hAnsi="Times New Roman"/>
          <w:iCs/>
          <w:sz w:val="24"/>
          <w:szCs w:val="24"/>
        </w:rPr>
        <w:t xml:space="preserve"> </w:t>
      </w:r>
      <w:r w:rsidR="00330AD3" w:rsidRPr="00330AD3">
        <w:rPr>
          <w:rFonts w:ascii="Times New Roman" w:hAnsi="Times New Roman"/>
          <w:iCs/>
          <w:sz w:val="24"/>
          <w:szCs w:val="24"/>
        </w:rPr>
        <w:t xml:space="preserve">dėl </w:t>
      </w:r>
      <w:r w:rsidR="000F501A">
        <w:rPr>
          <w:rFonts w:ascii="Times New Roman" w:hAnsi="Times New Roman"/>
          <w:iCs/>
          <w:sz w:val="24"/>
          <w:szCs w:val="24"/>
        </w:rPr>
        <w:t xml:space="preserve">šių </w:t>
      </w:r>
      <w:r w:rsidR="00330AD3" w:rsidRPr="00330AD3">
        <w:rPr>
          <w:rFonts w:ascii="Times New Roman" w:hAnsi="Times New Roman"/>
          <w:iCs/>
          <w:sz w:val="24"/>
          <w:szCs w:val="24"/>
        </w:rPr>
        <w:t xml:space="preserve">pirmosios instancijos teismo ar teisėjo nutarčių: a) nutarčių nutraukti baudžiamąją bylą ir b) nutarčių, priimtų išnagrinėjus bylą dėl priverčiamųjų medicinos priemonių taikymo. Pažymėtina, kad išvardinti teismo procesiniai sprendimai nėra vertinami kaip </w:t>
      </w:r>
      <w:r w:rsidR="00330AD3" w:rsidRPr="00884CF6">
        <w:rPr>
          <w:rFonts w:ascii="Times New Roman" w:hAnsi="Times New Roman"/>
          <w:sz w:val="24"/>
          <w:szCs w:val="24"/>
        </w:rPr>
        <w:t>tarpiniai</w:t>
      </w:r>
      <w:r w:rsidR="00330AD3" w:rsidRPr="00884CF6">
        <w:rPr>
          <w:rFonts w:ascii="Times New Roman" w:hAnsi="Times New Roman"/>
          <w:iCs/>
          <w:sz w:val="24"/>
          <w:szCs w:val="24"/>
        </w:rPr>
        <w:t xml:space="preserve"> </w:t>
      </w:r>
      <w:r w:rsidR="00330AD3" w:rsidRPr="00330AD3">
        <w:rPr>
          <w:rFonts w:ascii="Times New Roman" w:hAnsi="Times New Roman"/>
          <w:iCs/>
          <w:sz w:val="24"/>
          <w:szCs w:val="24"/>
        </w:rPr>
        <w:t xml:space="preserve">ir yra traktuojami kaip teismo </w:t>
      </w:r>
      <w:r w:rsidR="00330AD3" w:rsidRPr="00884CF6">
        <w:rPr>
          <w:rFonts w:ascii="Times New Roman" w:hAnsi="Times New Roman"/>
          <w:sz w:val="24"/>
          <w:szCs w:val="24"/>
        </w:rPr>
        <w:t>baigiamieji aktai</w:t>
      </w:r>
      <w:r w:rsidR="00330AD3" w:rsidRPr="00330AD3">
        <w:rPr>
          <w:rFonts w:ascii="Times New Roman" w:hAnsi="Times New Roman"/>
          <w:iCs/>
          <w:sz w:val="24"/>
          <w:szCs w:val="24"/>
        </w:rPr>
        <w:t xml:space="preserve">, kuriais užbaigiamas bylos nagrinėjimas. Taigi galiojančios </w:t>
      </w:r>
      <w:r w:rsidRPr="00823345">
        <w:rPr>
          <w:rFonts w:ascii="Times New Roman" w:hAnsi="Times New Roman"/>
          <w:iCs/>
          <w:sz w:val="24"/>
          <w:szCs w:val="24"/>
        </w:rPr>
        <w:t>Baudžiamojo proceso kodekso</w:t>
      </w:r>
      <w:r w:rsidR="00330AD3" w:rsidRPr="00330AD3">
        <w:rPr>
          <w:rFonts w:ascii="Times New Roman" w:hAnsi="Times New Roman"/>
          <w:iCs/>
          <w:sz w:val="24"/>
          <w:szCs w:val="24"/>
        </w:rPr>
        <w:t xml:space="preserve"> nuostatos nenumato galimybių skųsti kasacinės instancijos teismui žemesniųjų instancijos teismų baudžiamajame procese priimamų </w:t>
      </w:r>
      <w:r w:rsidR="00330AD3" w:rsidRPr="00192F22">
        <w:rPr>
          <w:rFonts w:ascii="Times New Roman" w:hAnsi="Times New Roman"/>
          <w:sz w:val="24"/>
          <w:szCs w:val="24"/>
        </w:rPr>
        <w:t>tarpinių</w:t>
      </w:r>
      <w:r w:rsidR="00330AD3" w:rsidRPr="00192F22">
        <w:rPr>
          <w:rFonts w:ascii="Times New Roman" w:hAnsi="Times New Roman"/>
          <w:iCs/>
          <w:sz w:val="24"/>
          <w:szCs w:val="24"/>
        </w:rPr>
        <w:t xml:space="preserve"> </w:t>
      </w:r>
      <w:r w:rsidR="00330AD3" w:rsidRPr="00330AD3">
        <w:rPr>
          <w:rFonts w:ascii="Times New Roman" w:hAnsi="Times New Roman"/>
          <w:iCs/>
          <w:sz w:val="24"/>
          <w:szCs w:val="24"/>
        </w:rPr>
        <w:t xml:space="preserve">procesinių sprendimų (nutarčių). Teisę į kasaciją pagal Lietuvos nacionalinio teisinio reguliavimo ypatumus galima įgyvendinti </w:t>
      </w:r>
      <w:r w:rsidR="00330AD3" w:rsidRPr="00F4116E">
        <w:rPr>
          <w:rFonts w:ascii="Times New Roman" w:hAnsi="Times New Roman"/>
          <w:sz w:val="24"/>
          <w:szCs w:val="24"/>
        </w:rPr>
        <w:t>tik</w:t>
      </w:r>
      <w:r w:rsidR="00330AD3" w:rsidRPr="00330AD3">
        <w:rPr>
          <w:rFonts w:ascii="Times New Roman" w:hAnsi="Times New Roman"/>
          <w:iCs/>
          <w:sz w:val="24"/>
          <w:szCs w:val="24"/>
        </w:rPr>
        <w:t xml:space="preserve"> skundžiant galutinį teismo </w:t>
      </w:r>
      <w:r w:rsidR="00330AD3" w:rsidRPr="00F4116E">
        <w:rPr>
          <w:rFonts w:ascii="Times New Roman" w:hAnsi="Times New Roman"/>
          <w:sz w:val="24"/>
          <w:szCs w:val="24"/>
        </w:rPr>
        <w:t>baigiamąjį aktą</w:t>
      </w:r>
      <w:r w:rsidR="00330AD3" w:rsidRPr="00330AD3">
        <w:rPr>
          <w:rFonts w:ascii="Times New Roman" w:hAnsi="Times New Roman"/>
          <w:iCs/>
          <w:sz w:val="24"/>
          <w:szCs w:val="24"/>
        </w:rPr>
        <w:t xml:space="preserve"> ir </w:t>
      </w:r>
      <w:r w:rsidR="00330AD3" w:rsidRPr="00F4116E">
        <w:rPr>
          <w:rFonts w:ascii="Times New Roman" w:hAnsi="Times New Roman"/>
          <w:sz w:val="24"/>
          <w:szCs w:val="24"/>
        </w:rPr>
        <w:t>tik</w:t>
      </w:r>
      <w:r w:rsidR="00330AD3" w:rsidRPr="00330AD3">
        <w:rPr>
          <w:rFonts w:ascii="Times New Roman" w:hAnsi="Times New Roman"/>
          <w:iCs/>
          <w:sz w:val="24"/>
          <w:szCs w:val="24"/>
        </w:rPr>
        <w:t xml:space="preserve"> esant ribotiems pagrindams, numatytiems </w:t>
      </w:r>
      <w:r w:rsidRPr="00823345">
        <w:rPr>
          <w:rFonts w:ascii="Times New Roman" w:hAnsi="Times New Roman"/>
          <w:iCs/>
          <w:sz w:val="24"/>
          <w:szCs w:val="24"/>
        </w:rPr>
        <w:t xml:space="preserve">Baudžiamojo proceso kodekso </w:t>
      </w:r>
      <w:r w:rsidR="00330AD3" w:rsidRPr="00330AD3">
        <w:rPr>
          <w:rFonts w:ascii="Times New Roman" w:hAnsi="Times New Roman"/>
          <w:iCs/>
          <w:sz w:val="24"/>
          <w:szCs w:val="24"/>
        </w:rPr>
        <w:t xml:space="preserve">369 straipsnio 1 dalyje, kurioje nurodoma, kad įsiteisėję nuosprendis ar nutartis apskundžiami ir bylos nagrinėjamos kasacine tvarka, jeigu: 1) netinkamai pritaikytas baudžiamasis įstatymas; 2) padaryta esminių </w:t>
      </w:r>
      <w:r w:rsidRPr="00823345">
        <w:rPr>
          <w:rFonts w:ascii="Times New Roman" w:hAnsi="Times New Roman"/>
          <w:iCs/>
          <w:sz w:val="24"/>
          <w:szCs w:val="24"/>
        </w:rPr>
        <w:t>Baudžiamojo proceso kodekso</w:t>
      </w:r>
      <w:r w:rsidR="00330AD3" w:rsidRPr="00330AD3">
        <w:rPr>
          <w:rFonts w:ascii="Times New Roman" w:hAnsi="Times New Roman"/>
          <w:iCs/>
          <w:sz w:val="24"/>
          <w:szCs w:val="24"/>
        </w:rPr>
        <w:t xml:space="preserve"> pažeidimų</w:t>
      </w:r>
      <w:r w:rsidR="00330AD3" w:rsidRPr="00330AD3">
        <w:rPr>
          <w:rFonts w:ascii="Times New Roman" w:hAnsi="Times New Roman"/>
          <w:iCs/>
          <w:sz w:val="24"/>
          <w:szCs w:val="24"/>
          <w:vertAlign w:val="superscript"/>
        </w:rPr>
        <w:footnoteReference w:id="4"/>
      </w:r>
      <w:r w:rsidR="00330AD3" w:rsidRPr="00330AD3">
        <w:rPr>
          <w:rFonts w:ascii="Times New Roman" w:hAnsi="Times New Roman"/>
          <w:iCs/>
          <w:sz w:val="24"/>
          <w:szCs w:val="24"/>
        </w:rPr>
        <w:t>. Atkreiptinas dėmesys, kad tai yra pamatinės Lietuvos baudžiamojo proceso įstatymo nuostatos, kuriomis paremtas kasacijos institutas ir jo esminiai principai. Tuo tarpu, siekiant įgyvendinti pareiškėjo</w:t>
      </w:r>
      <w:r w:rsidR="00F4116E">
        <w:rPr>
          <w:rFonts w:ascii="Times New Roman" w:hAnsi="Times New Roman"/>
          <w:iCs/>
          <w:sz w:val="24"/>
          <w:szCs w:val="24"/>
        </w:rPr>
        <w:t xml:space="preserve"> siūlomą</w:t>
      </w:r>
      <w:r w:rsidR="00330AD3" w:rsidRPr="00330AD3">
        <w:rPr>
          <w:rFonts w:ascii="Times New Roman" w:hAnsi="Times New Roman"/>
          <w:iCs/>
          <w:sz w:val="24"/>
          <w:szCs w:val="24"/>
        </w:rPr>
        <w:t xml:space="preserve"> iniciatyv</w:t>
      </w:r>
      <w:r w:rsidR="00F4116E">
        <w:rPr>
          <w:rFonts w:ascii="Times New Roman" w:hAnsi="Times New Roman"/>
          <w:iCs/>
          <w:sz w:val="24"/>
          <w:szCs w:val="24"/>
        </w:rPr>
        <w:t>ą</w:t>
      </w:r>
      <w:r w:rsidR="00330AD3" w:rsidRPr="00330AD3">
        <w:rPr>
          <w:rFonts w:ascii="Times New Roman" w:hAnsi="Times New Roman"/>
          <w:iCs/>
          <w:sz w:val="24"/>
          <w:szCs w:val="24"/>
        </w:rPr>
        <w:t>, t. y. įtvirtinti galimybę tarpinius žemesnės instancijos teismų procesinius sprendimus (nutartis) skųsti kasaciniam teismui, reikėtų iš pa</w:t>
      </w:r>
      <w:r>
        <w:rPr>
          <w:rFonts w:ascii="Times New Roman" w:hAnsi="Times New Roman"/>
          <w:iCs/>
          <w:sz w:val="24"/>
          <w:szCs w:val="24"/>
        </w:rPr>
        <w:t>grindų</w:t>
      </w:r>
      <w:r w:rsidR="00330AD3" w:rsidRPr="00330AD3">
        <w:rPr>
          <w:rFonts w:ascii="Times New Roman" w:hAnsi="Times New Roman"/>
          <w:iCs/>
          <w:sz w:val="24"/>
          <w:szCs w:val="24"/>
        </w:rPr>
        <w:t xml:space="preserve"> reformuoti </w:t>
      </w:r>
      <w:r w:rsidRPr="00823345">
        <w:rPr>
          <w:rFonts w:ascii="Times New Roman" w:hAnsi="Times New Roman"/>
          <w:iCs/>
          <w:sz w:val="24"/>
          <w:szCs w:val="24"/>
        </w:rPr>
        <w:t xml:space="preserve">Baudžiamojo proceso kodekso </w:t>
      </w:r>
      <w:r w:rsidR="00330AD3" w:rsidRPr="00330AD3">
        <w:rPr>
          <w:rFonts w:ascii="Times New Roman" w:hAnsi="Times New Roman"/>
          <w:iCs/>
          <w:sz w:val="24"/>
          <w:szCs w:val="24"/>
        </w:rPr>
        <w:t>nuostatas, reglamentuojančias kasacijos institutą, kas išbalansuotų Lietuvos baudžiamojo proceso įstatymo normų sistemą, iškreiptų kasacijos instituto esmę, be kita ko, sudarytų prielaidas baudžiamojo proceso vilkinimui.</w:t>
      </w:r>
    </w:p>
    <w:p w:rsidR="00B9387D" w:rsidRPr="00E33292" w:rsidRDefault="00B9387D" w:rsidP="00330AD3">
      <w:pPr>
        <w:pStyle w:val="Betarp"/>
        <w:tabs>
          <w:tab w:val="left" w:pos="1134"/>
        </w:tabs>
        <w:spacing w:line="360" w:lineRule="auto"/>
        <w:ind w:firstLine="851"/>
        <w:jc w:val="both"/>
        <w:rPr>
          <w:rFonts w:ascii="Times New Roman" w:hAnsi="Times New Roman"/>
          <w:color w:val="000000" w:themeColor="text1"/>
          <w:sz w:val="24"/>
          <w:szCs w:val="24"/>
          <w:lang w:eastAsia="ar-SA"/>
        </w:rPr>
      </w:pPr>
      <w:r w:rsidRPr="00E33292">
        <w:rPr>
          <w:rFonts w:ascii="Times New Roman" w:hAnsi="Times New Roman"/>
          <w:color w:val="000000" w:themeColor="text1"/>
          <w:sz w:val="24"/>
          <w:szCs w:val="24"/>
          <w:lang w:eastAsia="ar-SA"/>
        </w:rPr>
        <w:t xml:space="preserve">Vadovaujantis Lietuvos Respublikos peticijų įstatymo 12 straipsnio 3 dalimi, Seimo Peticijų komisijos išvada dėl </w:t>
      </w:r>
      <w:r w:rsidR="00FE7DA1">
        <w:rPr>
          <w:rFonts w:ascii="Times New Roman" w:hAnsi="Times New Roman"/>
          <w:color w:val="000000" w:themeColor="text1"/>
          <w:sz w:val="24"/>
          <w:szCs w:val="24"/>
          <w:lang w:eastAsia="ar-SA"/>
        </w:rPr>
        <w:t xml:space="preserve">E. </w:t>
      </w:r>
      <w:proofErr w:type="spellStart"/>
      <w:r w:rsidR="00FE7DA1">
        <w:rPr>
          <w:rFonts w:ascii="Times New Roman" w:hAnsi="Times New Roman"/>
          <w:color w:val="000000" w:themeColor="text1"/>
          <w:sz w:val="24"/>
          <w:szCs w:val="24"/>
          <w:lang w:eastAsia="ar-SA"/>
        </w:rPr>
        <w:t>Laužinsko</w:t>
      </w:r>
      <w:proofErr w:type="spellEnd"/>
      <w:r w:rsidRPr="00B9387D">
        <w:rPr>
          <w:rFonts w:ascii="Times New Roman" w:hAnsi="Times New Roman"/>
          <w:color w:val="000000" w:themeColor="text1"/>
          <w:sz w:val="24"/>
          <w:szCs w:val="24"/>
          <w:lang w:eastAsia="ar-SA"/>
        </w:rPr>
        <w:t xml:space="preserve"> </w:t>
      </w:r>
      <w:r w:rsidRPr="00E33292">
        <w:rPr>
          <w:rFonts w:ascii="Times New Roman" w:hAnsi="Times New Roman"/>
          <w:color w:val="000000" w:themeColor="text1"/>
          <w:sz w:val="24"/>
          <w:szCs w:val="24"/>
          <w:lang w:eastAsia="ar-SA"/>
        </w:rPr>
        <w:t>peticijoje pateikt</w:t>
      </w:r>
      <w:r w:rsidR="00FE7DA1">
        <w:rPr>
          <w:rFonts w:ascii="Times New Roman" w:hAnsi="Times New Roman"/>
          <w:color w:val="000000" w:themeColor="text1"/>
          <w:sz w:val="24"/>
          <w:szCs w:val="24"/>
          <w:lang w:eastAsia="ar-SA"/>
        </w:rPr>
        <w:t>o</w:t>
      </w:r>
      <w:r w:rsidRPr="00E33292">
        <w:rPr>
          <w:rFonts w:ascii="Times New Roman" w:hAnsi="Times New Roman"/>
          <w:color w:val="000000" w:themeColor="text1"/>
          <w:sz w:val="24"/>
          <w:szCs w:val="24"/>
          <w:lang w:eastAsia="ar-SA"/>
        </w:rPr>
        <w:t xml:space="preserve"> pasiūlym</w:t>
      </w:r>
      <w:r w:rsidR="00FE7DA1">
        <w:rPr>
          <w:rFonts w:ascii="Times New Roman" w:hAnsi="Times New Roman"/>
          <w:color w:val="000000" w:themeColor="text1"/>
          <w:sz w:val="24"/>
          <w:szCs w:val="24"/>
          <w:lang w:eastAsia="ar-SA"/>
        </w:rPr>
        <w:t>o</w:t>
      </w:r>
      <w:r w:rsidRPr="00E33292">
        <w:rPr>
          <w:rFonts w:ascii="Times New Roman" w:hAnsi="Times New Roman"/>
          <w:color w:val="000000" w:themeColor="text1"/>
          <w:sz w:val="24"/>
          <w:szCs w:val="24"/>
          <w:lang w:eastAsia="ar-SA"/>
        </w:rPr>
        <w:t xml:space="preserve"> atmetimo teikiama Seimui, taip pat siūloma įtraukti į Seimo </w:t>
      </w:r>
      <w:r>
        <w:rPr>
          <w:rFonts w:ascii="Times New Roman" w:hAnsi="Times New Roman"/>
          <w:color w:val="000000" w:themeColor="text1"/>
          <w:sz w:val="24"/>
          <w:szCs w:val="24"/>
          <w:lang w:eastAsia="ar-SA"/>
        </w:rPr>
        <w:t>rudens</w:t>
      </w:r>
      <w:r w:rsidRPr="001D0926">
        <w:rPr>
          <w:rFonts w:ascii="Times New Roman" w:hAnsi="Times New Roman"/>
          <w:color w:val="000000" w:themeColor="text1"/>
          <w:sz w:val="24"/>
          <w:szCs w:val="24"/>
          <w:lang w:eastAsia="ar-SA"/>
        </w:rPr>
        <w:t xml:space="preserve"> (VI</w:t>
      </w:r>
      <w:r>
        <w:rPr>
          <w:rFonts w:ascii="Times New Roman" w:hAnsi="Times New Roman"/>
          <w:color w:val="000000" w:themeColor="text1"/>
          <w:sz w:val="24"/>
          <w:szCs w:val="24"/>
          <w:lang w:eastAsia="ar-SA"/>
        </w:rPr>
        <w:t>I</w:t>
      </w:r>
      <w:r w:rsidRPr="001D0926">
        <w:rPr>
          <w:rFonts w:ascii="Times New Roman" w:hAnsi="Times New Roman"/>
          <w:color w:val="000000" w:themeColor="text1"/>
          <w:sz w:val="24"/>
          <w:szCs w:val="24"/>
          <w:lang w:eastAsia="ar-SA"/>
        </w:rPr>
        <w:t>)</w:t>
      </w:r>
      <w:r w:rsidRPr="00E33292">
        <w:rPr>
          <w:rFonts w:ascii="Times New Roman" w:hAnsi="Times New Roman"/>
          <w:color w:val="000000" w:themeColor="text1"/>
          <w:sz w:val="24"/>
          <w:szCs w:val="24"/>
          <w:lang w:eastAsia="ar-SA"/>
        </w:rPr>
        <w:t xml:space="preserve"> sesijos darbotvarkę Seimo nutarimo „Dėl Lietuvos Respublikos Seimo Peticijų komisijos išvados dėl </w:t>
      </w:r>
      <w:r w:rsidR="00FE7DA1">
        <w:rPr>
          <w:rFonts w:ascii="Times New Roman" w:hAnsi="Times New Roman"/>
          <w:color w:val="000000" w:themeColor="text1"/>
          <w:sz w:val="24"/>
          <w:szCs w:val="24"/>
          <w:lang w:eastAsia="ar-SA"/>
        </w:rPr>
        <w:t xml:space="preserve">Edvardo </w:t>
      </w:r>
      <w:proofErr w:type="spellStart"/>
      <w:r w:rsidR="00FE7DA1">
        <w:rPr>
          <w:rFonts w:ascii="Times New Roman" w:hAnsi="Times New Roman"/>
          <w:color w:val="000000" w:themeColor="text1"/>
          <w:sz w:val="24"/>
          <w:szCs w:val="24"/>
          <w:lang w:eastAsia="ar-SA"/>
        </w:rPr>
        <w:t>Laužinsko</w:t>
      </w:r>
      <w:proofErr w:type="spellEnd"/>
      <w:r w:rsidRPr="00B9387D">
        <w:rPr>
          <w:rFonts w:ascii="Times New Roman" w:hAnsi="Times New Roman"/>
          <w:color w:val="000000" w:themeColor="text1"/>
          <w:sz w:val="24"/>
          <w:szCs w:val="24"/>
          <w:lang w:eastAsia="ar-SA"/>
        </w:rPr>
        <w:t xml:space="preserve"> </w:t>
      </w:r>
      <w:r w:rsidRPr="00E33292">
        <w:rPr>
          <w:rFonts w:ascii="Times New Roman" w:hAnsi="Times New Roman"/>
          <w:color w:val="000000" w:themeColor="text1"/>
          <w:sz w:val="24"/>
          <w:szCs w:val="24"/>
          <w:lang w:eastAsia="ar-SA"/>
        </w:rPr>
        <w:t>peticijos“ projektą.</w:t>
      </w:r>
    </w:p>
    <w:p w:rsidR="0048328A" w:rsidRDefault="0048328A" w:rsidP="00135346">
      <w:pPr>
        <w:pStyle w:val="Betarp"/>
        <w:tabs>
          <w:tab w:val="left" w:pos="1134"/>
        </w:tabs>
        <w:spacing w:line="360" w:lineRule="auto"/>
        <w:jc w:val="both"/>
        <w:rPr>
          <w:rFonts w:ascii="Times New Roman" w:hAnsi="Times New Roman"/>
          <w:sz w:val="24"/>
          <w:szCs w:val="24"/>
          <w:lang w:eastAsia="ar-SA"/>
        </w:rPr>
      </w:pPr>
    </w:p>
    <w:p w:rsidR="009F0E0F" w:rsidRDefault="009F0E0F" w:rsidP="00135346">
      <w:pPr>
        <w:pStyle w:val="Betarp"/>
        <w:tabs>
          <w:tab w:val="left" w:pos="1134"/>
        </w:tabs>
        <w:spacing w:line="360" w:lineRule="auto"/>
        <w:jc w:val="both"/>
        <w:rPr>
          <w:rFonts w:ascii="Times New Roman" w:hAnsi="Times New Roman"/>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r w:rsidRPr="00135346">
        <w:rPr>
          <w:rFonts w:ascii="Times New Roman" w:hAnsi="Times New Roman"/>
          <w:sz w:val="24"/>
          <w:szCs w:val="24"/>
          <w:lang w:eastAsia="ar-SA"/>
        </w:rPr>
        <w:t>Komisijos pirminink</w:t>
      </w:r>
      <w:r w:rsidR="00AE3015">
        <w:rPr>
          <w:rFonts w:ascii="Times New Roman" w:hAnsi="Times New Roman"/>
          <w:sz w:val="24"/>
          <w:szCs w:val="24"/>
          <w:lang w:eastAsia="ar-SA"/>
        </w:rPr>
        <w:t>as</w:t>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t>E</w:t>
      </w:r>
      <w:r w:rsidR="005263DF">
        <w:rPr>
          <w:rFonts w:ascii="Times New Roman" w:hAnsi="Times New Roman"/>
          <w:sz w:val="24"/>
          <w:szCs w:val="24"/>
          <w:lang w:eastAsia="ar-SA"/>
        </w:rPr>
        <w:t>dmundas Pupinis</w:t>
      </w:r>
    </w:p>
    <w:p w:rsidR="00DA38BD" w:rsidRDefault="00DA38BD" w:rsidP="00883671">
      <w:pPr>
        <w:pStyle w:val="Betarp"/>
        <w:tabs>
          <w:tab w:val="left" w:pos="1134"/>
        </w:tabs>
        <w:spacing w:line="360" w:lineRule="auto"/>
        <w:jc w:val="both"/>
        <w:rPr>
          <w:rFonts w:ascii="Times New Roman" w:hAnsi="Times New Roman"/>
          <w:sz w:val="24"/>
          <w:szCs w:val="24"/>
          <w:lang w:eastAsia="ar-SA"/>
        </w:rPr>
      </w:pPr>
    </w:p>
    <w:p w:rsidR="002E6D8A" w:rsidRDefault="002E6D8A" w:rsidP="00883671">
      <w:pPr>
        <w:pStyle w:val="Betarp"/>
        <w:tabs>
          <w:tab w:val="left" w:pos="1134"/>
        </w:tabs>
        <w:spacing w:line="360" w:lineRule="auto"/>
        <w:jc w:val="both"/>
        <w:rPr>
          <w:rFonts w:ascii="Times New Roman" w:hAnsi="Times New Roman"/>
          <w:sz w:val="24"/>
          <w:szCs w:val="24"/>
          <w:lang w:eastAsia="ar-SA"/>
        </w:rPr>
      </w:pPr>
    </w:p>
    <w:p w:rsidR="00BB3866" w:rsidRDefault="00BB3866" w:rsidP="00883671">
      <w:pPr>
        <w:pStyle w:val="Betarp"/>
        <w:tabs>
          <w:tab w:val="left" w:pos="1134"/>
        </w:tabs>
        <w:spacing w:line="360" w:lineRule="auto"/>
        <w:jc w:val="both"/>
        <w:rPr>
          <w:rFonts w:ascii="Times New Roman" w:hAnsi="Times New Roman"/>
          <w:sz w:val="24"/>
          <w:szCs w:val="24"/>
          <w:lang w:eastAsia="ar-SA"/>
        </w:rPr>
      </w:pPr>
    </w:p>
    <w:p w:rsidR="00BB3866" w:rsidRDefault="00BB3866" w:rsidP="00883671">
      <w:pPr>
        <w:pStyle w:val="Betarp"/>
        <w:tabs>
          <w:tab w:val="left" w:pos="1134"/>
        </w:tabs>
        <w:spacing w:line="360" w:lineRule="auto"/>
        <w:jc w:val="both"/>
        <w:rPr>
          <w:rFonts w:ascii="Times New Roman" w:hAnsi="Times New Roman"/>
          <w:sz w:val="24"/>
          <w:szCs w:val="24"/>
          <w:lang w:eastAsia="ar-SA"/>
        </w:rPr>
      </w:pPr>
    </w:p>
    <w:p w:rsidR="00BF63A3" w:rsidRDefault="00BF63A3" w:rsidP="00883671">
      <w:pPr>
        <w:pStyle w:val="Betarp"/>
        <w:tabs>
          <w:tab w:val="left" w:pos="1134"/>
        </w:tabs>
        <w:spacing w:line="360" w:lineRule="auto"/>
        <w:jc w:val="both"/>
        <w:rPr>
          <w:rFonts w:ascii="Times New Roman" w:hAnsi="Times New Roman"/>
          <w:sz w:val="24"/>
          <w:szCs w:val="24"/>
          <w:lang w:eastAsia="ar-SA"/>
        </w:rPr>
      </w:pPr>
    </w:p>
    <w:p w:rsidR="00BF63A3" w:rsidRDefault="00BF63A3" w:rsidP="00883671">
      <w:pPr>
        <w:pStyle w:val="Betarp"/>
        <w:tabs>
          <w:tab w:val="left" w:pos="1134"/>
        </w:tabs>
        <w:spacing w:line="360" w:lineRule="auto"/>
        <w:jc w:val="both"/>
        <w:rPr>
          <w:rFonts w:ascii="Times New Roman" w:hAnsi="Times New Roman"/>
          <w:sz w:val="24"/>
          <w:szCs w:val="24"/>
          <w:lang w:eastAsia="ar-SA"/>
        </w:rPr>
      </w:pPr>
    </w:p>
    <w:p w:rsidR="00BF63A3" w:rsidRDefault="00BF63A3" w:rsidP="00883671">
      <w:pPr>
        <w:pStyle w:val="Betarp"/>
        <w:tabs>
          <w:tab w:val="left" w:pos="1134"/>
        </w:tabs>
        <w:spacing w:line="360" w:lineRule="auto"/>
        <w:jc w:val="both"/>
        <w:rPr>
          <w:rFonts w:ascii="Times New Roman" w:hAnsi="Times New Roman"/>
          <w:sz w:val="24"/>
          <w:szCs w:val="24"/>
          <w:lang w:eastAsia="ar-SA"/>
        </w:rPr>
      </w:pPr>
    </w:p>
    <w:p w:rsidR="00BF63A3" w:rsidRDefault="00BF63A3" w:rsidP="00883671">
      <w:pPr>
        <w:pStyle w:val="Betarp"/>
        <w:tabs>
          <w:tab w:val="left" w:pos="1134"/>
        </w:tabs>
        <w:spacing w:line="360" w:lineRule="auto"/>
        <w:jc w:val="both"/>
        <w:rPr>
          <w:rFonts w:ascii="Times New Roman" w:hAnsi="Times New Roman"/>
          <w:sz w:val="24"/>
          <w:szCs w:val="24"/>
          <w:lang w:eastAsia="ar-SA"/>
        </w:rPr>
      </w:pPr>
    </w:p>
    <w:p w:rsidR="00BF63A3" w:rsidRDefault="00BF63A3" w:rsidP="00883671">
      <w:pPr>
        <w:pStyle w:val="Betarp"/>
        <w:tabs>
          <w:tab w:val="left" w:pos="1134"/>
        </w:tabs>
        <w:spacing w:line="360" w:lineRule="auto"/>
        <w:jc w:val="both"/>
        <w:rPr>
          <w:rFonts w:ascii="Times New Roman" w:hAnsi="Times New Roman"/>
          <w:sz w:val="24"/>
          <w:szCs w:val="24"/>
          <w:lang w:eastAsia="ar-SA"/>
        </w:rPr>
      </w:pPr>
    </w:p>
    <w:p w:rsidR="00BF63A3" w:rsidRDefault="00BF63A3" w:rsidP="00883671">
      <w:pPr>
        <w:pStyle w:val="Betarp"/>
        <w:tabs>
          <w:tab w:val="left" w:pos="1134"/>
        </w:tabs>
        <w:spacing w:line="360" w:lineRule="auto"/>
        <w:jc w:val="both"/>
        <w:rPr>
          <w:rFonts w:ascii="Times New Roman" w:hAnsi="Times New Roman"/>
          <w:sz w:val="24"/>
          <w:szCs w:val="24"/>
          <w:lang w:eastAsia="ar-SA"/>
        </w:rPr>
      </w:pPr>
    </w:p>
    <w:p w:rsidR="00BF63A3" w:rsidRDefault="00BF63A3" w:rsidP="00883671">
      <w:pPr>
        <w:pStyle w:val="Betarp"/>
        <w:tabs>
          <w:tab w:val="left" w:pos="1134"/>
        </w:tabs>
        <w:spacing w:line="360" w:lineRule="auto"/>
        <w:jc w:val="both"/>
        <w:rPr>
          <w:rFonts w:ascii="Times New Roman" w:hAnsi="Times New Roman"/>
          <w:sz w:val="24"/>
          <w:szCs w:val="24"/>
          <w:lang w:eastAsia="ar-SA"/>
        </w:rPr>
      </w:pPr>
    </w:p>
    <w:p w:rsidR="00BF63A3" w:rsidRDefault="00BF63A3" w:rsidP="00883671">
      <w:pPr>
        <w:pStyle w:val="Betarp"/>
        <w:tabs>
          <w:tab w:val="left" w:pos="1134"/>
        </w:tabs>
        <w:spacing w:line="360" w:lineRule="auto"/>
        <w:jc w:val="both"/>
        <w:rPr>
          <w:rFonts w:ascii="Times New Roman" w:hAnsi="Times New Roman"/>
          <w:sz w:val="24"/>
          <w:szCs w:val="24"/>
          <w:lang w:eastAsia="ar-SA"/>
        </w:rPr>
      </w:pPr>
    </w:p>
    <w:p w:rsidR="00BF63A3" w:rsidRDefault="00BF63A3" w:rsidP="00883671">
      <w:pPr>
        <w:pStyle w:val="Betarp"/>
        <w:tabs>
          <w:tab w:val="left" w:pos="1134"/>
        </w:tabs>
        <w:spacing w:line="360" w:lineRule="auto"/>
        <w:jc w:val="both"/>
        <w:rPr>
          <w:rFonts w:ascii="Times New Roman" w:hAnsi="Times New Roman"/>
          <w:sz w:val="24"/>
          <w:szCs w:val="24"/>
          <w:lang w:eastAsia="ar-SA"/>
        </w:rPr>
      </w:pPr>
    </w:p>
    <w:p w:rsidR="00BF63A3" w:rsidRDefault="00BF63A3" w:rsidP="00883671">
      <w:pPr>
        <w:pStyle w:val="Betarp"/>
        <w:tabs>
          <w:tab w:val="left" w:pos="1134"/>
        </w:tabs>
        <w:spacing w:line="360" w:lineRule="auto"/>
        <w:jc w:val="both"/>
        <w:rPr>
          <w:rFonts w:ascii="Times New Roman" w:hAnsi="Times New Roman"/>
          <w:sz w:val="24"/>
          <w:szCs w:val="24"/>
          <w:lang w:eastAsia="ar-SA"/>
        </w:rPr>
      </w:pPr>
    </w:p>
    <w:p w:rsidR="00BF63A3" w:rsidRDefault="00BF63A3" w:rsidP="00883671">
      <w:pPr>
        <w:pStyle w:val="Betarp"/>
        <w:tabs>
          <w:tab w:val="left" w:pos="1134"/>
        </w:tabs>
        <w:spacing w:line="360" w:lineRule="auto"/>
        <w:jc w:val="both"/>
        <w:rPr>
          <w:rFonts w:ascii="Times New Roman" w:hAnsi="Times New Roman"/>
          <w:sz w:val="24"/>
          <w:szCs w:val="24"/>
          <w:lang w:eastAsia="ar-SA"/>
        </w:rPr>
      </w:pPr>
    </w:p>
    <w:p w:rsidR="00BF63A3" w:rsidRDefault="00BF63A3" w:rsidP="00883671">
      <w:pPr>
        <w:pStyle w:val="Betarp"/>
        <w:tabs>
          <w:tab w:val="left" w:pos="1134"/>
        </w:tabs>
        <w:spacing w:line="360" w:lineRule="auto"/>
        <w:jc w:val="both"/>
        <w:rPr>
          <w:rFonts w:ascii="Times New Roman" w:hAnsi="Times New Roman"/>
          <w:sz w:val="24"/>
          <w:szCs w:val="24"/>
          <w:lang w:eastAsia="ar-SA"/>
        </w:rPr>
      </w:pPr>
    </w:p>
    <w:p w:rsidR="00BF63A3" w:rsidRDefault="00BF63A3" w:rsidP="00883671">
      <w:pPr>
        <w:pStyle w:val="Betarp"/>
        <w:tabs>
          <w:tab w:val="left" w:pos="1134"/>
        </w:tabs>
        <w:spacing w:line="360" w:lineRule="auto"/>
        <w:jc w:val="both"/>
        <w:rPr>
          <w:rFonts w:ascii="Times New Roman" w:hAnsi="Times New Roman"/>
          <w:sz w:val="24"/>
          <w:szCs w:val="24"/>
          <w:lang w:eastAsia="ar-SA"/>
        </w:rPr>
      </w:pPr>
    </w:p>
    <w:p w:rsidR="00BF63A3" w:rsidRDefault="00BF63A3" w:rsidP="00883671">
      <w:pPr>
        <w:pStyle w:val="Betarp"/>
        <w:tabs>
          <w:tab w:val="left" w:pos="1134"/>
        </w:tabs>
        <w:spacing w:line="360" w:lineRule="auto"/>
        <w:jc w:val="both"/>
        <w:rPr>
          <w:rFonts w:ascii="Times New Roman" w:hAnsi="Times New Roman"/>
          <w:sz w:val="24"/>
          <w:szCs w:val="24"/>
          <w:lang w:eastAsia="ar-SA"/>
        </w:rPr>
      </w:pPr>
    </w:p>
    <w:p w:rsidR="00BF63A3" w:rsidRDefault="00BF63A3" w:rsidP="00883671">
      <w:pPr>
        <w:pStyle w:val="Betarp"/>
        <w:tabs>
          <w:tab w:val="left" w:pos="1134"/>
        </w:tabs>
        <w:spacing w:line="360" w:lineRule="auto"/>
        <w:jc w:val="both"/>
        <w:rPr>
          <w:rFonts w:ascii="Times New Roman" w:hAnsi="Times New Roman"/>
          <w:sz w:val="24"/>
          <w:szCs w:val="24"/>
          <w:lang w:eastAsia="ar-SA"/>
        </w:rPr>
      </w:pPr>
    </w:p>
    <w:p w:rsidR="00CA423F" w:rsidRDefault="00CA423F" w:rsidP="00883671">
      <w:pPr>
        <w:pStyle w:val="Betarp"/>
        <w:tabs>
          <w:tab w:val="left" w:pos="1134"/>
        </w:tabs>
        <w:spacing w:line="360" w:lineRule="auto"/>
        <w:jc w:val="both"/>
        <w:rPr>
          <w:rFonts w:ascii="Times New Roman" w:hAnsi="Times New Roman"/>
          <w:sz w:val="24"/>
          <w:szCs w:val="24"/>
          <w:lang w:eastAsia="ar-SA"/>
        </w:rPr>
      </w:pPr>
    </w:p>
    <w:p w:rsidR="003F5F33" w:rsidRDefault="00E466EA" w:rsidP="00883671">
      <w:pPr>
        <w:pStyle w:val="Betarp"/>
        <w:tabs>
          <w:tab w:val="left" w:pos="1134"/>
        </w:tabs>
        <w:spacing w:line="360" w:lineRule="auto"/>
        <w:jc w:val="both"/>
        <w:rPr>
          <w:rFonts w:ascii="Times New Roman" w:hAnsi="Times New Roman"/>
          <w:sz w:val="24"/>
          <w:szCs w:val="24"/>
        </w:rPr>
      </w:pPr>
      <w:r>
        <w:rPr>
          <w:rFonts w:ascii="Times New Roman" w:hAnsi="Times New Roman"/>
          <w:sz w:val="24"/>
          <w:szCs w:val="24"/>
          <w:lang w:eastAsia="ar-SA"/>
        </w:rPr>
        <w:t>R</w:t>
      </w:r>
      <w:r w:rsidR="00135346" w:rsidRPr="00135346">
        <w:rPr>
          <w:rFonts w:ascii="Times New Roman" w:hAnsi="Times New Roman"/>
          <w:sz w:val="24"/>
          <w:szCs w:val="24"/>
          <w:lang w:eastAsia="ar-SA"/>
        </w:rPr>
        <w:t>asa Grici</w:t>
      </w:r>
      <w:r w:rsidR="00135346" w:rsidRPr="00135346">
        <w:rPr>
          <w:rFonts w:ascii="Times New Roman" w:hAnsi="Times New Roman" w:hint="eastAsia"/>
          <w:sz w:val="24"/>
          <w:szCs w:val="24"/>
          <w:lang w:eastAsia="ar-SA"/>
        </w:rPr>
        <w:t>ū</w:t>
      </w:r>
      <w:r w:rsidR="00135346" w:rsidRPr="00135346">
        <w:rPr>
          <w:rFonts w:ascii="Times New Roman" w:hAnsi="Times New Roman"/>
          <w:sz w:val="24"/>
          <w:szCs w:val="24"/>
          <w:lang w:eastAsia="ar-SA"/>
        </w:rPr>
        <w:t>t</w:t>
      </w:r>
      <w:r w:rsidR="00135346" w:rsidRPr="00135346">
        <w:rPr>
          <w:rFonts w:ascii="Times New Roman" w:hAnsi="Times New Roman" w:hint="eastAsia"/>
          <w:sz w:val="24"/>
          <w:szCs w:val="24"/>
          <w:lang w:eastAsia="ar-SA"/>
        </w:rPr>
        <w:t>ė</w:t>
      </w:r>
      <w:r w:rsidR="00135346" w:rsidRPr="00135346">
        <w:rPr>
          <w:rFonts w:ascii="Times New Roman" w:hAnsi="Times New Roman"/>
          <w:sz w:val="24"/>
          <w:szCs w:val="24"/>
          <w:lang w:eastAsia="ar-SA"/>
        </w:rPr>
        <w:t>, tel. (8 5)  239 6817, el. p. rasa.griciute@lrs.lt</w:t>
      </w:r>
    </w:p>
    <w:sectPr w:rsidR="003F5F33" w:rsidSect="004624A4">
      <w:headerReference w:type="default" r:id="rId9"/>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95B" w:rsidRDefault="001B595B" w:rsidP="00A618F7">
      <w:r>
        <w:separator/>
      </w:r>
    </w:p>
  </w:endnote>
  <w:endnote w:type="continuationSeparator" w:id="0">
    <w:p w:rsidR="001B595B" w:rsidRDefault="001B595B"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95B" w:rsidRDefault="001B595B" w:rsidP="00A618F7">
      <w:r>
        <w:separator/>
      </w:r>
    </w:p>
  </w:footnote>
  <w:footnote w:type="continuationSeparator" w:id="0">
    <w:p w:rsidR="001B595B" w:rsidRDefault="001B595B" w:rsidP="00A618F7">
      <w:r>
        <w:continuationSeparator/>
      </w:r>
    </w:p>
  </w:footnote>
  <w:footnote w:id="1">
    <w:p w:rsidR="00330AD3" w:rsidRPr="00330AD3" w:rsidRDefault="00330AD3" w:rsidP="00330AD3">
      <w:pPr>
        <w:pStyle w:val="Puslapioinaostekstas"/>
        <w:jc w:val="both"/>
        <w:rPr>
          <w:lang w:val="lt-LT"/>
        </w:rPr>
      </w:pPr>
      <w:r w:rsidRPr="00330AD3">
        <w:rPr>
          <w:rStyle w:val="Puslapioinaosnuoroda"/>
          <w:lang w:val="lt-LT"/>
        </w:rPr>
        <w:footnoteRef/>
      </w:r>
      <w:r w:rsidRPr="00330AD3">
        <w:rPr>
          <w:lang w:val="lt-LT"/>
        </w:rPr>
        <w:t xml:space="preserve"> Konstitucinio Teismo 2006 m. sausio 16 d., 2006 m. kovo 28 d., 2006 m. rugsėjo 21 d., 2006 m. lapkričio 27 d., 2007 m. spalio 24 d. nutarimai</w:t>
      </w:r>
    </w:p>
  </w:footnote>
  <w:footnote w:id="2">
    <w:p w:rsidR="00330AD3" w:rsidRPr="00330AD3" w:rsidRDefault="00330AD3" w:rsidP="00330AD3">
      <w:pPr>
        <w:pStyle w:val="Puslapioinaostekstas"/>
        <w:jc w:val="both"/>
        <w:rPr>
          <w:lang w:val="lt-LT"/>
        </w:rPr>
      </w:pPr>
      <w:r w:rsidRPr="00330AD3">
        <w:rPr>
          <w:rStyle w:val="Puslapioinaosnuoroda"/>
          <w:lang w:val="lt-LT"/>
        </w:rPr>
        <w:footnoteRef/>
      </w:r>
      <w:r w:rsidRPr="00330AD3">
        <w:rPr>
          <w:lang w:val="lt-LT"/>
        </w:rPr>
        <w:t xml:space="preserve"> Konstitucinio Teismo 2007 m. spalio 24 d. nutarimas</w:t>
      </w:r>
    </w:p>
  </w:footnote>
  <w:footnote w:id="3">
    <w:p w:rsidR="00330AD3" w:rsidRPr="00330AD3" w:rsidRDefault="00330AD3" w:rsidP="00330AD3">
      <w:pPr>
        <w:pStyle w:val="Puslapioinaostekstas"/>
        <w:jc w:val="both"/>
        <w:rPr>
          <w:lang w:val="lt-LT"/>
        </w:rPr>
      </w:pPr>
      <w:r w:rsidRPr="00330AD3">
        <w:rPr>
          <w:rStyle w:val="Puslapioinaosnuoroda"/>
          <w:lang w:val="lt-LT"/>
        </w:rPr>
        <w:footnoteRef/>
      </w:r>
      <w:r w:rsidRPr="00330AD3">
        <w:rPr>
          <w:lang w:val="lt-LT"/>
        </w:rPr>
        <w:t xml:space="preserve"> Žr., pvz., Lietuvos apeliacinio teismo 2023 m. birželio 15 d. nutartį, priimtą baudžiamojoje byloje Nr. 1S-115-449/2023</w:t>
      </w:r>
    </w:p>
  </w:footnote>
  <w:footnote w:id="4">
    <w:p w:rsidR="00330AD3" w:rsidRPr="00330AD3" w:rsidRDefault="00330AD3" w:rsidP="00330AD3">
      <w:pPr>
        <w:pStyle w:val="Puslapioinaostekstas"/>
        <w:jc w:val="both"/>
        <w:rPr>
          <w:lang w:val="lt-LT"/>
        </w:rPr>
      </w:pPr>
      <w:r w:rsidRPr="00330AD3">
        <w:rPr>
          <w:rStyle w:val="Puslapioinaosnuoroda"/>
          <w:lang w:val="lt-LT"/>
        </w:rPr>
        <w:footnoteRef/>
      </w:r>
      <w:r w:rsidRPr="00330AD3">
        <w:rPr>
          <w:lang w:val="lt-LT"/>
        </w:rPr>
        <w:t xml:space="preserve"> </w:t>
      </w:r>
      <w:r w:rsidRPr="00330AD3">
        <w:rPr>
          <w:iCs/>
          <w:lang w:val="lt-LT"/>
        </w:rPr>
        <w:t>Pažymėtina, kad netinkamai pritaikytas baudžiamasis įstatymas yra tada, kai netinkamai pritaikytos Lietuvos Respublikos baudžiamojo kodekso bendrosios dalies normos, taip pat kai nusikalstamos veikos kvalifikuojamos ne pagal tuos Lietuvos Respublikos baudžiamojo kodekso straipsnius, dalis ir punktus, pagal kuriuos tai reikėjo daryti (BPK 369 straipsnio 2 dalis). Tuo tarpu esminiais BPK pažeidimais laikomi tokie BPK reikalavimų pažeidimai, dėl kurių buvo suvaržytos įstatymų garantuotos kaltinamojo teisės ar kurie sukliudė teismui išsamiai ir nešališkai išnagrinėti bylą ir priimti teisingą nuosprendį ar nutartį (BPK 369 straipsnio 3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1B595B" w:rsidRPr="00A618F7" w:rsidRDefault="001B595B">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6D2995">
          <w:rPr>
            <w:rFonts w:ascii="Times New Roman" w:hAnsi="Times New Roman"/>
            <w:noProof/>
            <w:sz w:val="24"/>
            <w:szCs w:val="24"/>
          </w:rPr>
          <w:t>4</w:t>
        </w:r>
        <w:r w:rsidRPr="00A618F7">
          <w:rPr>
            <w:rFonts w:ascii="Times New Roman" w:hAnsi="Times New Roman"/>
            <w:sz w:val="24"/>
            <w:szCs w:val="24"/>
          </w:rPr>
          <w:fldChar w:fldCharType="end"/>
        </w:r>
      </w:p>
    </w:sdtContent>
  </w:sdt>
  <w:p w:rsidR="001B595B" w:rsidRDefault="001B59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3290"/>
    <w:multiLevelType w:val="hybridMultilevel"/>
    <w:tmpl w:val="342ABEB8"/>
    <w:lvl w:ilvl="0" w:tplc="D71284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8"/>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1C3C"/>
    <w:rsid w:val="000054F5"/>
    <w:rsid w:val="00005876"/>
    <w:rsid w:val="00007646"/>
    <w:rsid w:val="00013CD3"/>
    <w:rsid w:val="0003295D"/>
    <w:rsid w:val="00032E3D"/>
    <w:rsid w:val="00035763"/>
    <w:rsid w:val="00041A0D"/>
    <w:rsid w:val="00042A1C"/>
    <w:rsid w:val="00043AB2"/>
    <w:rsid w:val="00043D82"/>
    <w:rsid w:val="0004523C"/>
    <w:rsid w:val="0004543A"/>
    <w:rsid w:val="000529BD"/>
    <w:rsid w:val="00054198"/>
    <w:rsid w:val="00054D78"/>
    <w:rsid w:val="00054FDF"/>
    <w:rsid w:val="00055048"/>
    <w:rsid w:val="000563F5"/>
    <w:rsid w:val="00063562"/>
    <w:rsid w:val="00064507"/>
    <w:rsid w:val="00065AB6"/>
    <w:rsid w:val="00066455"/>
    <w:rsid w:val="000676F6"/>
    <w:rsid w:val="00072C88"/>
    <w:rsid w:val="00074F1E"/>
    <w:rsid w:val="00094970"/>
    <w:rsid w:val="000A1F59"/>
    <w:rsid w:val="000A2419"/>
    <w:rsid w:val="000A35AE"/>
    <w:rsid w:val="000B008F"/>
    <w:rsid w:val="000B29C8"/>
    <w:rsid w:val="000B30C4"/>
    <w:rsid w:val="000B50F2"/>
    <w:rsid w:val="000B5A0C"/>
    <w:rsid w:val="000C6FF7"/>
    <w:rsid w:val="000D1836"/>
    <w:rsid w:val="000E1825"/>
    <w:rsid w:val="000F0F78"/>
    <w:rsid w:val="000F501A"/>
    <w:rsid w:val="00102ACA"/>
    <w:rsid w:val="001031E0"/>
    <w:rsid w:val="001048E0"/>
    <w:rsid w:val="001076F4"/>
    <w:rsid w:val="00107F15"/>
    <w:rsid w:val="00111A10"/>
    <w:rsid w:val="00111F6A"/>
    <w:rsid w:val="00112561"/>
    <w:rsid w:val="001143A8"/>
    <w:rsid w:val="00114DB1"/>
    <w:rsid w:val="0011643A"/>
    <w:rsid w:val="00116E33"/>
    <w:rsid w:val="00117ACF"/>
    <w:rsid w:val="0013103A"/>
    <w:rsid w:val="00134578"/>
    <w:rsid w:val="00135346"/>
    <w:rsid w:val="00140919"/>
    <w:rsid w:val="001427D0"/>
    <w:rsid w:val="00144359"/>
    <w:rsid w:val="00151A19"/>
    <w:rsid w:val="00151C06"/>
    <w:rsid w:val="00157442"/>
    <w:rsid w:val="001612AF"/>
    <w:rsid w:val="00172476"/>
    <w:rsid w:val="001764E1"/>
    <w:rsid w:val="0017707D"/>
    <w:rsid w:val="00184772"/>
    <w:rsid w:val="0018594A"/>
    <w:rsid w:val="0018768A"/>
    <w:rsid w:val="00190F20"/>
    <w:rsid w:val="00192F22"/>
    <w:rsid w:val="00197428"/>
    <w:rsid w:val="001976D0"/>
    <w:rsid w:val="001A1864"/>
    <w:rsid w:val="001B1B18"/>
    <w:rsid w:val="001B33A6"/>
    <w:rsid w:val="001B595B"/>
    <w:rsid w:val="001B5EC0"/>
    <w:rsid w:val="001C0504"/>
    <w:rsid w:val="001C1C6C"/>
    <w:rsid w:val="001C682D"/>
    <w:rsid w:val="001D06FE"/>
    <w:rsid w:val="001D0891"/>
    <w:rsid w:val="001D0926"/>
    <w:rsid w:val="001D14A2"/>
    <w:rsid w:val="001D580C"/>
    <w:rsid w:val="001D6691"/>
    <w:rsid w:val="001D67C8"/>
    <w:rsid w:val="001E36B6"/>
    <w:rsid w:val="001E3FE2"/>
    <w:rsid w:val="001F0B1A"/>
    <w:rsid w:val="001F2ABA"/>
    <w:rsid w:val="001F61D8"/>
    <w:rsid w:val="00204FA1"/>
    <w:rsid w:val="00211FC6"/>
    <w:rsid w:val="00212538"/>
    <w:rsid w:val="0022684C"/>
    <w:rsid w:val="00227101"/>
    <w:rsid w:val="00230C3F"/>
    <w:rsid w:val="00233F42"/>
    <w:rsid w:val="002368D3"/>
    <w:rsid w:val="00236F81"/>
    <w:rsid w:val="002442CA"/>
    <w:rsid w:val="002452AA"/>
    <w:rsid w:val="00245E31"/>
    <w:rsid w:val="00246EB6"/>
    <w:rsid w:val="00247207"/>
    <w:rsid w:val="0025131C"/>
    <w:rsid w:val="00255C9E"/>
    <w:rsid w:val="002600BA"/>
    <w:rsid w:val="00261648"/>
    <w:rsid w:val="002658CB"/>
    <w:rsid w:val="0026765F"/>
    <w:rsid w:val="00271439"/>
    <w:rsid w:val="00271F63"/>
    <w:rsid w:val="00273300"/>
    <w:rsid w:val="00280B58"/>
    <w:rsid w:val="002821BF"/>
    <w:rsid w:val="00282617"/>
    <w:rsid w:val="002875DE"/>
    <w:rsid w:val="00290605"/>
    <w:rsid w:val="00292C99"/>
    <w:rsid w:val="002944A5"/>
    <w:rsid w:val="002A2CA5"/>
    <w:rsid w:val="002A7DA2"/>
    <w:rsid w:val="002B23DA"/>
    <w:rsid w:val="002B39B0"/>
    <w:rsid w:val="002B4E3A"/>
    <w:rsid w:val="002B63E2"/>
    <w:rsid w:val="002B67D6"/>
    <w:rsid w:val="002C0240"/>
    <w:rsid w:val="002C094E"/>
    <w:rsid w:val="002C2F57"/>
    <w:rsid w:val="002C47F6"/>
    <w:rsid w:val="002D2770"/>
    <w:rsid w:val="002D61FF"/>
    <w:rsid w:val="002D6AC5"/>
    <w:rsid w:val="002E231E"/>
    <w:rsid w:val="002E6D8A"/>
    <w:rsid w:val="002F513C"/>
    <w:rsid w:val="002F5F3E"/>
    <w:rsid w:val="002F63FA"/>
    <w:rsid w:val="002F6759"/>
    <w:rsid w:val="00302517"/>
    <w:rsid w:val="00312705"/>
    <w:rsid w:val="00316238"/>
    <w:rsid w:val="00320508"/>
    <w:rsid w:val="0032176A"/>
    <w:rsid w:val="00330AD3"/>
    <w:rsid w:val="00333F29"/>
    <w:rsid w:val="00334E06"/>
    <w:rsid w:val="003364F0"/>
    <w:rsid w:val="00340CC8"/>
    <w:rsid w:val="00343064"/>
    <w:rsid w:val="00350191"/>
    <w:rsid w:val="003515CC"/>
    <w:rsid w:val="00355146"/>
    <w:rsid w:val="00373106"/>
    <w:rsid w:val="00382BF5"/>
    <w:rsid w:val="003964E1"/>
    <w:rsid w:val="003A59E2"/>
    <w:rsid w:val="003B1E99"/>
    <w:rsid w:val="003B5D73"/>
    <w:rsid w:val="003B69A3"/>
    <w:rsid w:val="003C249C"/>
    <w:rsid w:val="003D0471"/>
    <w:rsid w:val="003E2370"/>
    <w:rsid w:val="003E3ADC"/>
    <w:rsid w:val="003E63B7"/>
    <w:rsid w:val="003E694D"/>
    <w:rsid w:val="003E7934"/>
    <w:rsid w:val="003F27A8"/>
    <w:rsid w:val="003F3B6E"/>
    <w:rsid w:val="003F54B5"/>
    <w:rsid w:val="003F5F33"/>
    <w:rsid w:val="003F685E"/>
    <w:rsid w:val="004022D3"/>
    <w:rsid w:val="00402F72"/>
    <w:rsid w:val="00414E54"/>
    <w:rsid w:val="00416206"/>
    <w:rsid w:val="004202F5"/>
    <w:rsid w:val="004324C5"/>
    <w:rsid w:val="00435C07"/>
    <w:rsid w:val="0044187D"/>
    <w:rsid w:val="00447A41"/>
    <w:rsid w:val="00460840"/>
    <w:rsid w:val="004624A4"/>
    <w:rsid w:val="00471F84"/>
    <w:rsid w:val="004731D2"/>
    <w:rsid w:val="004819E5"/>
    <w:rsid w:val="0048328A"/>
    <w:rsid w:val="00487756"/>
    <w:rsid w:val="004919C2"/>
    <w:rsid w:val="00491F41"/>
    <w:rsid w:val="00494994"/>
    <w:rsid w:val="004A1E1A"/>
    <w:rsid w:val="004A36FA"/>
    <w:rsid w:val="004A4BE9"/>
    <w:rsid w:val="004A4DF3"/>
    <w:rsid w:val="004B44DC"/>
    <w:rsid w:val="004B5B02"/>
    <w:rsid w:val="004B78C8"/>
    <w:rsid w:val="004B7ACE"/>
    <w:rsid w:val="004C24E7"/>
    <w:rsid w:val="004C4A3F"/>
    <w:rsid w:val="004D13DA"/>
    <w:rsid w:val="004D1791"/>
    <w:rsid w:val="004D6DEE"/>
    <w:rsid w:val="004E1287"/>
    <w:rsid w:val="004E3BBF"/>
    <w:rsid w:val="004F3132"/>
    <w:rsid w:val="004F49F5"/>
    <w:rsid w:val="0050358C"/>
    <w:rsid w:val="005038B2"/>
    <w:rsid w:val="00505204"/>
    <w:rsid w:val="00505F5A"/>
    <w:rsid w:val="00506B82"/>
    <w:rsid w:val="0051109C"/>
    <w:rsid w:val="00512416"/>
    <w:rsid w:val="0051636C"/>
    <w:rsid w:val="005246AA"/>
    <w:rsid w:val="00524D2C"/>
    <w:rsid w:val="005263DF"/>
    <w:rsid w:val="00533925"/>
    <w:rsid w:val="00534504"/>
    <w:rsid w:val="00536470"/>
    <w:rsid w:val="005450CA"/>
    <w:rsid w:val="00545CA1"/>
    <w:rsid w:val="00547061"/>
    <w:rsid w:val="005502DA"/>
    <w:rsid w:val="005520F3"/>
    <w:rsid w:val="005619B5"/>
    <w:rsid w:val="00570082"/>
    <w:rsid w:val="00575A8D"/>
    <w:rsid w:val="00576E5E"/>
    <w:rsid w:val="00583C5F"/>
    <w:rsid w:val="00584987"/>
    <w:rsid w:val="00594F69"/>
    <w:rsid w:val="005977E0"/>
    <w:rsid w:val="005A10E2"/>
    <w:rsid w:val="005A4F8B"/>
    <w:rsid w:val="005A5045"/>
    <w:rsid w:val="005B1920"/>
    <w:rsid w:val="005C2B1F"/>
    <w:rsid w:val="005C497B"/>
    <w:rsid w:val="005C4FEC"/>
    <w:rsid w:val="005C5AB0"/>
    <w:rsid w:val="005C5B44"/>
    <w:rsid w:val="005C6765"/>
    <w:rsid w:val="005D314F"/>
    <w:rsid w:val="005D4877"/>
    <w:rsid w:val="005D5758"/>
    <w:rsid w:val="005E074A"/>
    <w:rsid w:val="005E0D50"/>
    <w:rsid w:val="005E2B10"/>
    <w:rsid w:val="005E4522"/>
    <w:rsid w:val="005F61EB"/>
    <w:rsid w:val="005F7F97"/>
    <w:rsid w:val="006016DD"/>
    <w:rsid w:val="00607BB4"/>
    <w:rsid w:val="00611CBD"/>
    <w:rsid w:val="006163A4"/>
    <w:rsid w:val="00621034"/>
    <w:rsid w:val="00624568"/>
    <w:rsid w:val="00632A07"/>
    <w:rsid w:val="00637B2E"/>
    <w:rsid w:val="00637B5A"/>
    <w:rsid w:val="0064094C"/>
    <w:rsid w:val="0064594B"/>
    <w:rsid w:val="0064673D"/>
    <w:rsid w:val="00662E5D"/>
    <w:rsid w:val="00664A6A"/>
    <w:rsid w:val="006677DE"/>
    <w:rsid w:val="00672CE6"/>
    <w:rsid w:val="006775A3"/>
    <w:rsid w:val="006879E7"/>
    <w:rsid w:val="00691256"/>
    <w:rsid w:val="006A714A"/>
    <w:rsid w:val="006B1114"/>
    <w:rsid w:val="006B7732"/>
    <w:rsid w:val="006C0447"/>
    <w:rsid w:val="006C6CB5"/>
    <w:rsid w:val="006D2995"/>
    <w:rsid w:val="006D60EA"/>
    <w:rsid w:val="006E2A05"/>
    <w:rsid w:val="006E3578"/>
    <w:rsid w:val="006E39CA"/>
    <w:rsid w:val="006E52E3"/>
    <w:rsid w:val="006E53DD"/>
    <w:rsid w:val="006E7DC2"/>
    <w:rsid w:val="006F02AC"/>
    <w:rsid w:val="006F155E"/>
    <w:rsid w:val="006F6977"/>
    <w:rsid w:val="00704CE6"/>
    <w:rsid w:val="00716955"/>
    <w:rsid w:val="00716FAA"/>
    <w:rsid w:val="00717C90"/>
    <w:rsid w:val="007244D3"/>
    <w:rsid w:val="0072480E"/>
    <w:rsid w:val="0073085E"/>
    <w:rsid w:val="00737080"/>
    <w:rsid w:val="00746659"/>
    <w:rsid w:val="00752F22"/>
    <w:rsid w:val="007616B6"/>
    <w:rsid w:val="00761D28"/>
    <w:rsid w:val="00767FBF"/>
    <w:rsid w:val="00776CE2"/>
    <w:rsid w:val="00777ADA"/>
    <w:rsid w:val="00781A5A"/>
    <w:rsid w:val="00783707"/>
    <w:rsid w:val="0079436F"/>
    <w:rsid w:val="00794A35"/>
    <w:rsid w:val="00795533"/>
    <w:rsid w:val="007A0C13"/>
    <w:rsid w:val="007A504A"/>
    <w:rsid w:val="007A6AD7"/>
    <w:rsid w:val="007B2D21"/>
    <w:rsid w:val="007B6AC5"/>
    <w:rsid w:val="007C0302"/>
    <w:rsid w:val="007C047B"/>
    <w:rsid w:val="007C4C61"/>
    <w:rsid w:val="007D16B6"/>
    <w:rsid w:val="007D3BF5"/>
    <w:rsid w:val="007D4E90"/>
    <w:rsid w:val="007E70EE"/>
    <w:rsid w:val="007F6A7C"/>
    <w:rsid w:val="007F7219"/>
    <w:rsid w:val="00804BD5"/>
    <w:rsid w:val="00805CE1"/>
    <w:rsid w:val="0082085B"/>
    <w:rsid w:val="00823345"/>
    <w:rsid w:val="0082419F"/>
    <w:rsid w:val="00824773"/>
    <w:rsid w:val="00831ABF"/>
    <w:rsid w:val="00836489"/>
    <w:rsid w:val="00840CD9"/>
    <w:rsid w:val="00840FE3"/>
    <w:rsid w:val="008434FB"/>
    <w:rsid w:val="00854AEE"/>
    <w:rsid w:val="00861944"/>
    <w:rsid w:val="0086456E"/>
    <w:rsid w:val="00871860"/>
    <w:rsid w:val="00873243"/>
    <w:rsid w:val="00873DCD"/>
    <w:rsid w:val="0087566D"/>
    <w:rsid w:val="0088091B"/>
    <w:rsid w:val="00881819"/>
    <w:rsid w:val="008831BA"/>
    <w:rsid w:val="00883671"/>
    <w:rsid w:val="00884CF6"/>
    <w:rsid w:val="008852EF"/>
    <w:rsid w:val="00886620"/>
    <w:rsid w:val="00890254"/>
    <w:rsid w:val="008945C5"/>
    <w:rsid w:val="00897545"/>
    <w:rsid w:val="008A43DB"/>
    <w:rsid w:val="008A5D53"/>
    <w:rsid w:val="008B00C5"/>
    <w:rsid w:val="008B40FD"/>
    <w:rsid w:val="008B46DE"/>
    <w:rsid w:val="008B7EB0"/>
    <w:rsid w:val="008C1E8D"/>
    <w:rsid w:val="008C382A"/>
    <w:rsid w:val="008D0679"/>
    <w:rsid w:val="008D0BEC"/>
    <w:rsid w:val="008D27FA"/>
    <w:rsid w:val="008D3789"/>
    <w:rsid w:val="008D434F"/>
    <w:rsid w:val="008E146F"/>
    <w:rsid w:val="008E6956"/>
    <w:rsid w:val="008E7B56"/>
    <w:rsid w:val="008F14D1"/>
    <w:rsid w:val="008F2D63"/>
    <w:rsid w:val="008F3913"/>
    <w:rsid w:val="009050D4"/>
    <w:rsid w:val="009130BE"/>
    <w:rsid w:val="00913592"/>
    <w:rsid w:val="00916F60"/>
    <w:rsid w:val="00917D6F"/>
    <w:rsid w:val="00940B8A"/>
    <w:rsid w:val="0094550E"/>
    <w:rsid w:val="00945932"/>
    <w:rsid w:val="00947680"/>
    <w:rsid w:val="00954BA8"/>
    <w:rsid w:val="00955C87"/>
    <w:rsid w:val="00960CD0"/>
    <w:rsid w:val="0096259C"/>
    <w:rsid w:val="00962D21"/>
    <w:rsid w:val="0096678A"/>
    <w:rsid w:val="009716F4"/>
    <w:rsid w:val="00972156"/>
    <w:rsid w:val="00973FA4"/>
    <w:rsid w:val="009752C4"/>
    <w:rsid w:val="0097779B"/>
    <w:rsid w:val="00990C68"/>
    <w:rsid w:val="0099486D"/>
    <w:rsid w:val="00997E64"/>
    <w:rsid w:val="009A1042"/>
    <w:rsid w:val="009A28EC"/>
    <w:rsid w:val="009A7E45"/>
    <w:rsid w:val="009C6A49"/>
    <w:rsid w:val="009C7031"/>
    <w:rsid w:val="009D368A"/>
    <w:rsid w:val="009D44CA"/>
    <w:rsid w:val="009D61C9"/>
    <w:rsid w:val="009D7F95"/>
    <w:rsid w:val="009F0E0F"/>
    <w:rsid w:val="009F2503"/>
    <w:rsid w:val="009F6A1C"/>
    <w:rsid w:val="009F74AC"/>
    <w:rsid w:val="00A0519B"/>
    <w:rsid w:val="00A11004"/>
    <w:rsid w:val="00A143BD"/>
    <w:rsid w:val="00A15302"/>
    <w:rsid w:val="00A154AF"/>
    <w:rsid w:val="00A17B6D"/>
    <w:rsid w:val="00A17D8B"/>
    <w:rsid w:val="00A2083E"/>
    <w:rsid w:val="00A24DB6"/>
    <w:rsid w:val="00A30897"/>
    <w:rsid w:val="00A3110E"/>
    <w:rsid w:val="00A31867"/>
    <w:rsid w:val="00A40019"/>
    <w:rsid w:val="00A406FC"/>
    <w:rsid w:val="00A43BD0"/>
    <w:rsid w:val="00A441B6"/>
    <w:rsid w:val="00A44BB1"/>
    <w:rsid w:val="00A46800"/>
    <w:rsid w:val="00A47BDB"/>
    <w:rsid w:val="00A5233E"/>
    <w:rsid w:val="00A54D7E"/>
    <w:rsid w:val="00A56BC2"/>
    <w:rsid w:val="00A61606"/>
    <w:rsid w:val="00A618F7"/>
    <w:rsid w:val="00A63E72"/>
    <w:rsid w:val="00A646FE"/>
    <w:rsid w:val="00A65887"/>
    <w:rsid w:val="00A726FC"/>
    <w:rsid w:val="00A74C81"/>
    <w:rsid w:val="00A855F9"/>
    <w:rsid w:val="00A8642B"/>
    <w:rsid w:val="00A87C5E"/>
    <w:rsid w:val="00A906A7"/>
    <w:rsid w:val="00A90743"/>
    <w:rsid w:val="00A96801"/>
    <w:rsid w:val="00AA1304"/>
    <w:rsid w:val="00AA6CD6"/>
    <w:rsid w:val="00AB6A08"/>
    <w:rsid w:val="00AC06DA"/>
    <w:rsid w:val="00AC13D8"/>
    <w:rsid w:val="00AC33D7"/>
    <w:rsid w:val="00AC688B"/>
    <w:rsid w:val="00AD200E"/>
    <w:rsid w:val="00AE1949"/>
    <w:rsid w:val="00AE2911"/>
    <w:rsid w:val="00AE3015"/>
    <w:rsid w:val="00AF1AF7"/>
    <w:rsid w:val="00AF1C09"/>
    <w:rsid w:val="00AF2260"/>
    <w:rsid w:val="00AF2ACD"/>
    <w:rsid w:val="00AF6454"/>
    <w:rsid w:val="00B02FB0"/>
    <w:rsid w:val="00B053EC"/>
    <w:rsid w:val="00B05A20"/>
    <w:rsid w:val="00B10E22"/>
    <w:rsid w:val="00B12827"/>
    <w:rsid w:val="00B13BD9"/>
    <w:rsid w:val="00B13C0D"/>
    <w:rsid w:val="00B207BF"/>
    <w:rsid w:val="00B222B9"/>
    <w:rsid w:val="00B2312A"/>
    <w:rsid w:val="00B24F01"/>
    <w:rsid w:val="00B276DB"/>
    <w:rsid w:val="00B27A99"/>
    <w:rsid w:val="00B302D6"/>
    <w:rsid w:val="00B33D6A"/>
    <w:rsid w:val="00B34F8A"/>
    <w:rsid w:val="00B5127D"/>
    <w:rsid w:val="00B57CA2"/>
    <w:rsid w:val="00B57CFF"/>
    <w:rsid w:val="00B62255"/>
    <w:rsid w:val="00B623CC"/>
    <w:rsid w:val="00B63344"/>
    <w:rsid w:val="00B660A6"/>
    <w:rsid w:val="00B67951"/>
    <w:rsid w:val="00B70DCA"/>
    <w:rsid w:val="00B70E01"/>
    <w:rsid w:val="00B74E60"/>
    <w:rsid w:val="00B75FFA"/>
    <w:rsid w:val="00B771B1"/>
    <w:rsid w:val="00B81CDD"/>
    <w:rsid w:val="00B876EF"/>
    <w:rsid w:val="00B9387D"/>
    <w:rsid w:val="00B9698B"/>
    <w:rsid w:val="00BA5940"/>
    <w:rsid w:val="00BA62C8"/>
    <w:rsid w:val="00BB3866"/>
    <w:rsid w:val="00BC11D0"/>
    <w:rsid w:val="00BC4505"/>
    <w:rsid w:val="00BD507D"/>
    <w:rsid w:val="00BF63A3"/>
    <w:rsid w:val="00BF7A90"/>
    <w:rsid w:val="00C02462"/>
    <w:rsid w:val="00C04105"/>
    <w:rsid w:val="00C073E5"/>
    <w:rsid w:val="00C10528"/>
    <w:rsid w:val="00C22E5B"/>
    <w:rsid w:val="00C2424F"/>
    <w:rsid w:val="00C24D0F"/>
    <w:rsid w:val="00C36236"/>
    <w:rsid w:val="00C37AAF"/>
    <w:rsid w:val="00C41478"/>
    <w:rsid w:val="00C45FA7"/>
    <w:rsid w:val="00C5018C"/>
    <w:rsid w:val="00C51EED"/>
    <w:rsid w:val="00C61088"/>
    <w:rsid w:val="00C61D14"/>
    <w:rsid w:val="00C61F31"/>
    <w:rsid w:val="00C703AF"/>
    <w:rsid w:val="00C73F52"/>
    <w:rsid w:val="00C81970"/>
    <w:rsid w:val="00C84E99"/>
    <w:rsid w:val="00C85EAA"/>
    <w:rsid w:val="00C90D1B"/>
    <w:rsid w:val="00C94265"/>
    <w:rsid w:val="00CA423F"/>
    <w:rsid w:val="00CA65A9"/>
    <w:rsid w:val="00CB491B"/>
    <w:rsid w:val="00CB6542"/>
    <w:rsid w:val="00CB65C3"/>
    <w:rsid w:val="00CC2653"/>
    <w:rsid w:val="00CD1B33"/>
    <w:rsid w:val="00CD23CA"/>
    <w:rsid w:val="00CE3076"/>
    <w:rsid w:val="00CE3F3A"/>
    <w:rsid w:val="00CF2010"/>
    <w:rsid w:val="00CF6EE3"/>
    <w:rsid w:val="00D015ED"/>
    <w:rsid w:val="00D10E52"/>
    <w:rsid w:val="00D34643"/>
    <w:rsid w:val="00D348F0"/>
    <w:rsid w:val="00D36574"/>
    <w:rsid w:val="00D36D0D"/>
    <w:rsid w:val="00D41C81"/>
    <w:rsid w:val="00D430F1"/>
    <w:rsid w:val="00D43A96"/>
    <w:rsid w:val="00D513DA"/>
    <w:rsid w:val="00D54B2C"/>
    <w:rsid w:val="00D64B1B"/>
    <w:rsid w:val="00D70C59"/>
    <w:rsid w:val="00D73D0B"/>
    <w:rsid w:val="00D75803"/>
    <w:rsid w:val="00D83393"/>
    <w:rsid w:val="00D84646"/>
    <w:rsid w:val="00D861E5"/>
    <w:rsid w:val="00D92EFB"/>
    <w:rsid w:val="00D93AB0"/>
    <w:rsid w:val="00DA0CCD"/>
    <w:rsid w:val="00DA38BD"/>
    <w:rsid w:val="00DB602A"/>
    <w:rsid w:val="00DC3D3E"/>
    <w:rsid w:val="00DC4B9E"/>
    <w:rsid w:val="00DD0283"/>
    <w:rsid w:val="00DD1A64"/>
    <w:rsid w:val="00DD24C8"/>
    <w:rsid w:val="00DD3E52"/>
    <w:rsid w:val="00DD493D"/>
    <w:rsid w:val="00DE3D96"/>
    <w:rsid w:val="00DF26D9"/>
    <w:rsid w:val="00DF4CDF"/>
    <w:rsid w:val="00E12ACA"/>
    <w:rsid w:val="00E23527"/>
    <w:rsid w:val="00E24D2A"/>
    <w:rsid w:val="00E25CBC"/>
    <w:rsid w:val="00E277C8"/>
    <w:rsid w:val="00E32608"/>
    <w:rsid w:val="00E32764"/>
    <w:rsid w:val="00E33292"/>
    <w:rsid w:val="00E36EE3"/>
    <w:rsid w:val="00E43CC1"/>
    <w:rsid w:val="00E466EA"/>
    <w:rsid w:val="00E47179"/>
    <w:rsid w:val="00E47A43"/>
    <w:rsid w:val="00E5133E"/>
    <w:rsid w:val="00E5184F"/>
    <w:rsid w:val="00E628D9"/>
    <w:rsid w:val="00E63F36"/>
    <w:rsid w:val="00E64D8E"/>
    <w:rsid w:val="00E66D4B"/>
    <w:rsid w:val="00E74523"/>
    <w:rsid w:val="00E74FF5"/>
    <w:rsid w:val="00E87C51"/>
    <w:rsid w:val="00EB27D6"/>
    <w:rsid w:val="00EB2CBF"/>
    <w:rsid w:val="00EB4DC2"/>
    <w:rsid w:val="00EB5893"/>
    <w:rsid w:val="00EB605B"/>
    <w:rsid w:val="00EF5655"/>
    <w:rsid w:val="00F02558"/>
    <w:rsid w:val="00F12000"/>
    <w:rsid w:val="00F13970"/>
    <w:rsid w:val="00F229DC"/>
    <w:rsid w:val="00F25EF4"/>
    <w:rsid w:val="00F30951"/>
    <w:rsid w:val="00F4116E"/>
    <w:rsid w:val="00F41C67"/>
    <w:rsid w:val="00F43C8D"/>
    <w:rsid w:val="00F45151"/>
    <w:rsid w:val="00F45F4F"/>
    <w:rsid w:val="00F53F45"/>
    <w:rsid w:val="00F55B27"/>
    <w:rsid w:val="00F601D4"/>
    <w:rsid w:val="00F60698"/>
    <w:rsid w:val="00F60B44"/>
    <w:rsid w:val="00F63111"/>
    <w:rsid w:val="00F64267"/>
    <w:rsid w:val="00F700AE"/>
    <w:rsid w:val="00F71C44"/>
    <w:rsid w:val="00F74B23"/>
    <w:rsid w:val="00F80EAA"/>
    <w:rsid w:val="00F84B60"/>
    <w:rsid w:val="00F90586"/>
    <w:rsid w:val="00F91C94"/>
    <w:rsid w:val="00F91F9F"/>
    <w:rsid w:val="00FA1DF2"/>
    <w:rsid w:val="00FA218A"/>
    <w:rsid w:val="00FA2C96"/>
    <w:rsid w:val="00FA7BD1"/>
    <w:rsid w:val="00FB2777"/>
    <w:rsid w:val="00FB44D3"/>
    <w:rsid w:val="00FD33C3"/>
    <w:rsid w:val="00FD59C1"/>
    <w:rsid w:val="00FE6600"/>
    <w:rsid w:val="00FE71AE"/>
    <w:rsid w:val="00FE7736"/>
    <w:rsid w:val="00FE7DA1"/>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76DB"/>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 w:type="paragraph" w:customStyle="1" w:styleId="Standard">
    <w:name w:val="Standard"/>
    <w:rsid w:val="008D3789"/>
    <w:pPr>
      <w:suppressAutoHyphens/>
      <w:autoSpaceDN w:val="0"/>
      <w:spacing w:after="0" w:line="240" w:lineRule="auto"/>
      <w:textAlignment w:val="baseline"/>
    </w:pPr>
    <w:rPr>
      <w:rFonts w:ascii="Times New Roman" w:eastAsia="Times New Roman" w:hAnsi="Times New Roman" w:cs="Times New Roman"/>
      <w:kern w:val="3"/>
      <w:sz w:val="24"/>
      <w:szCs w:val="20"/>
      <w:lang w:eastAsia="zh-CN"/>
    </w:rPr>
  </w:style>
  <w:style w:type="paragraph" w:customStyle="1" w:styleId="Footnote">
    <w:name w:val="Footnote"/>
    <w:basedOn w:val="Standard"/>
    <w:rsid w:val="008D378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227711">
      <w:bodyDiv w:val="1"/>
      <w:marLeft w:val="0"/>
      <w:marRight w:val="0"/>
      <w:marTop w:val="0"/>
      <w:marBottom w:val="0"/>
      <w:divBdr>
        <w:top w:val="none" w:sz="0" w:space="0" w:color="auto"/>
        <w:left w:val="none" w:sz="0" w:space="0" w:color="auto"/>
        <w:bottom w:val="none" w:sz="0" w:space="0" w:color="auto"/>
        <w:right w:val="none" w:sz="0" w:space="0" w:color="auto"/>
      </w:divBdr>
      <w:divsChild>
        <w:div w:id="158813451">
          <w:marLeft w:val="0"/>
          <w:marRight w:val="0"/>
          <w:marTop w:val="0"/>
          <w:marBottom w:val="0"/>
          <w:divBdr>
            <w:top w:val="none" w:sz="0" w:space="0" w:color="auto"/>
            <w:left w:val="none" w:sz="0" w:space="0" w:color="auto"/>
            <w:bottom w:val="none" w:sz="0" w:space="0" w:color="auto"/>
            <w:right w:val="none" w:sz="0" w:space="0" w:color="auto"/>
          </w:divBdr>
        </w:div>
        <w:div w:id="757169319">
          <w:marLeft w:val="0"/>
          <w:marRight w:val="0"/>
          <w:marTop w:val="0"/>
          <w:marBottom w:val="0"/>
          <w:divBdr>
            <w:top w:val="none" w:sz="0" w:space="0" w:color="auto"/>
            <w:left w:val="none" w:sz="0" w:space="0" w:color="auto"/>
            <w:bottom w:val="none" w:sz="0" w:space="0" w:color="auto"/>
            <w:right w:val="none" w:sz="0" w:space="0" w:color="auto"/>
          </w:divBdr>
        </w:div>
        <w:div w:id="903413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Z6YWEJNPDQQR-896559167-374</_dlc_DocId>
    <_dlc_DocIdUrl xmlns="28130d43-1b56-4a10-ad88-2cd38123f4c1">
      <Url>https://intranetas.lrs.lt/29/_layouts/15/DocIdRedir.aspx?ID=Z6YWEJNPDQQR-896559167-374</Url>
      <Description>Z6YWEJNPDQQR-896559167-374</Description>
    </_dlc_DocIdUrl>
  </documentManagement>
</p:properties>
</file>

<file path=customXml/itemProps1.xml><?xml version="1.0" encoding="utf-8"?>
<ds:datastoreItem xmlns:ds="http://schemas.openxmlformats.org/officeDocument/2006/customXml" ds:itemID="{EBD69BCD-E718-4C8E-A877-C43BB81C92D7}">
  <ds:schemaRefs>
    <ds:schemaRef ds:uri="http://schemas.openxmlformats.org/officeDocument/2006/bibliography"/>
  </ds:schemaRefs>
</ds:datastoreItem>
</file>

<file path=customXml/itemProps2.xml><?xml version="1.0" encoding="utf-8"?>
<ds:datastoreItem xmlns:ds="http://schemas.openxmlformats.org/officeDocument/2006/customXml" ds:itemID="{90AFA872-1531-408E-A188-FBE360E1A474}"/>
</file>

<file path=customXml/itemProps3.xml><?xml version="1.0" encoding="utf-8"?>
<ds:datastoreItem xmlns:ds="http://schemas.openxmlformats.org/officeDocument/2006/customXml" ds:itemID="{FDB5118A-D128-4164-B3F0-AA9202C69713}"/>
</file>

<file path=customXml/itemProps4.xml><?xml version="1.0" encoding="utf-8"?>
<ds:datastoreItem xmlns:ds="http://schemas.openxmlformats.org/officeDocument/2006/customXml" ds:itemID="{F9BE43BB-DEAF-4147-ADE5-07D0838694CF}"/>
</file>

<file path=customXml/itemProps5.xml><?xml version="1.0" encoding="utf-8"?>
<ds:datastoreItem xmlns:ds="http://schemas.openxmlformats.org/officeDocument/2006/customXml" ds:itemID="{76B8FFAC-59BA-41B6-A857-037491F0C3DC}"/>
</file>

<file path=docProps/app.xml><?xml version="1.0" encoding="utf-8"?>
<Properties xmlns="http://schemas.openxmlformats.org/officeDocument/2006/extended-properties" xmlns:vt="http://schemas.openxmlformats.org/officeDocument/2006/docPropsVTypes">
  <Template>Normal.dotm</Template>
  <TotalTime>41</TotalTime>
  <Pages>4</Pages>
  <Words>5750</Words>
  <Characters>3279</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GRICIŪTĖ Rasa</cp:lastModifiedBy>
  <cp:revision>27</cp:revision>
  <dcterms:created xsi:type="dcterms:W3CDTF">2023-08-17T11:42:00Z</dcterms:created>
  <dcterms:modified xsi:type="dcterms:W3CDTF">2023-09-04T06:54:00Z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56b9dcbf-f52c-4937-ae65-f3a40f1833b9</vt:lpwstr>
  </property>
</Properties>
</file>