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52520" w14:textId="437DD9CE" w:rsidR="009D7508" w:rsidRDefault="00262E8A" w:rsidP="000F6B96">
      <w:pPr>
        <w:ind w:firstLine="0"/>
        <w:jc w:val="center"/>
        <w:rPr>
          <w:rFonts w:cs="Arial"/>
        </w:rPr>
      </w:pPr>
      <w:bookmarkStart w:id="0" w:name="_GoBack"/>
      <w:bookmarkEnd w:id="0"/>
      <w:r w:rsidRPr="00262E8A">
        <w:rPr>
          <w:noProof/>
          <w:lang w:eastAsia="lt-LT"/>
        </w:rPr>
        <w:drawing>
          <wp:inline distT="0" distB="0" distL="0" distR="0" wp14:anchorId="442D631B" wp14:editId="78BBF6BE">
            <wp:extent cx="482600" cy="546947"/>
            <wp:effectExtent l="0" t="0" r="0" b="5715"/>
            <wp:docPr id="17" name="Paveikslėlis 17" descr="Lietuvo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veikslėlis 17" descr="Lietuvos herb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04" cy="55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7CEE4" w14:textId="77777777" w:rsidR="00743283" w:rsidRDefault="00262E8A" w:rsidP="00FA4300">
      <w:pPr>
        <w:pStyle w:val="Pavadinimas"/>
        <w:ind w:firstLine="0"/>
        <w:jc w:val="center"/>
        <w:rPr>
          <w:lang w:val="en-US"/>
        </w:rPr>
      </w:pPr>
      <w:bookmarkStart w:id="1" w:name="_Hlk126306791"/>
      <w:r w:rsidRPr="00262E8A">
        <w:t xml:space="preserve">LIETUVOS </w:t>
      </w:r>
      <w:r w:rsidR="00FA4300" w:rsidRPr="00FA4300">
        <w:rPr>
          <w:lang w:val="en-US"/>
        </w:rPr>
        <w:t xml:space="preserve">RESPUBLIKOS </w:t>
      </w:r>
    </w:p>
    <w:p w14:paraId="3DC4F2BB" w14:textId="77C2DD7C" w:rsidR="00262E8A" w:rsidRPr="00FA4300" w:rsidRDefault="00FA4300" w:rsidP="00FA4300">
      <w:pPr>
        <w:pStyle w:val="Pavadinimas"/>
        <w:ind w:firstLine="0"/>
        <w:jc w:val="center"/>
        <w:rPr>
          <w:lang w:val="en-US"/>
        </w:rPr>
      </w:pPr>
      <w:r w:rsidRPr="00FA4300">
        <w:rPr>
          <w:lang w:val="en-US"/>
        </w:rPr>
        <w:t>SOCIALINĖS APSAUGOS IR DARBO MINISTERIJA</w:t>
      </w:r>
    </w:p>
    <w:p w14:paraId="725A3405" w14:textId="39E34E00" w:rsidR="00DC43DE" w:rsidRDefault="00B35575" w:rsidP="0802ABF5">
      <w:pPr>
        <w:framePr w:w="4491" w:hSpace="180" w:wrap="around" w:vAnchor="text" w:hAnchor="page" w:x="6671" w:y="1"/>
        <w:spacing w:line="240" w:lineRule="auto"/>
        <w:ind w:right="132" w:firstLine="0"/>
        <w:suppressOverlap/>
        <w:rPr>
          <w:rFonts w:cs="Arial"/>
        </w:rPr>
      </w:pPr>
      <w:bookmarkStart w:id="2" w:name="_Hlk9512559"/>
      <w:r w:rsidRPr="0802ABF5">
        <w:rPr>
          <w:rFonts w:cs="Arial"/>
        </w:rPr>
        <w:t xml:space="preserve">                     </w:t>
      </w:r>
      <w:r w:rsidR="003D22B4">
        <w:rPr>
          <w:rFonts w:cs="Arial"/>
        </w:rPr>
        <w:t>Nr.</w:t>
      </w:r>
    </w:p>
    <w:p w14:paraId="6CC460A3" w14:textId="250F713F" w:rsidR="003D22B4" w:rsidRPr="00DC43DE" w:rsidRDefault="003D22B4" w:rsidP="0802ABF5">
      <w:pPr>
        <w:framePr w:w="4491" w:hSpace="180" w:wrap="around" w:vAnchor="text" w:hAnchor="page" w:x="6671" w:y="1"/>
        <w:spacing w:line="240" w:lineRule="auto"/>
        <w:ind w:right="132" w:firstLine="0"/>
        <w:suppressOverlap/>
        <w:rPr>
          <w:rFonts w:cs="Arial"/>
        </w:rPr>
      </w:pPr>
      <w:r>
        <w:rPr>
          <w:rFonts w:cs="Arial"/>
        </w:rPr>
        <w:t xml:space="preserve">Į </w:t>
      </w:r>
      <w:r w:rsidR="00A10256">
        <w:rPr>
          <w:rFonts w:cs="Arial"/>
        </w:rPr>
        <w:t xml:space="preserve">2026-02-03 Nr. </w:t>
      </w:r>
      <w:r w:rsidR="005744FD" w:rsidRPr="005744FD">
        <w:rPr>
          <w:rFonts w:cs="Arial"/>
        </w:rPr>
        <w:t>S-2026-331</w:t>
      </w:r>
    </w:p>
    <w:bookmarkEnd w:id="1"/>
    <w:bookmarkEnd w:id="2"/>
    <w:p w14:paraId="3776D245" w14:textId="77777777" w:rsidR="003D22B4" w:rsidRDefault="003D22B4" w:rsidP="003D22B4">
      <w:pPr>
        <w:pStyle w:val="Pavadinimas"/>
        <w:spacing w:after="0" w:line="300" w:lineRule="auto"/>
        <w:ind w:firstLine="0"/>
        <w:contextualSpacing w:val="0"/>
        <w:rPr>
          <w:rFonts w:eastAsia="Times New Roman" w:cs="Arial"/>
          <w:b w:val="0"/>
          <w:spacing w:val="0"/>
          <w:kern w:val="0"/>
          <w:szCs w:val="28"/>
        </w:rPr>
      </w:pPr>
      <w:r>
        <w:rPr>
          <w:rFonts w:eastAsia="Times New Roman" w:cs="Arial"/>
          <w:b w:val="0"/>
          <w:spacing w:val="0"/>
          <w:kern w:val="0"/>
          <w:szCs w:val="28"/>
        </w:rPr>
        <w:t>Lietuvos Respublikos Seimo</w:t>
      </w:r>
    </w:p>
    <w:p w14:paraId="4FA85CCD" w14:textId="44186DB9" w:rsidR="00515F50" w:rsidRPr="003D22B4" w:rsidRDefault="003D22B4" w:rsidP="003D22B4">
      <w:pPr>
        <w:pStyle w:val="Pavadinimas"/>
        <w:spacing w:after="0" w:line="300" w:lineRule="auto"/>
        <w:ind w:firstLine="0"/>
        <w:contextualSpacing w:val="0"/>
        <w:rPr>
          <w:rFonts w:eastAsia="Times New Roman" w:cs="Arial"/>
          <w:b w:val="0"/>
          <w:spacing w:val="0"/>
          <w:kern w:val="0"/>
          <w:szCs w:val="28"/>
        </w:rPr>
      </w:pPr>
      <w:r>
        <w:rPr>
          <w:rFonts w:eastAsia="Times New Roman" w:cs="Arial"/>
          <w:b w:val="0"/>
          <w:spacing w:val="0"/>
          <w:kern w:val="0"/>
          <w:szCs w:val="28"/>
        </w:rPr>
        <w:t>Peticijų komisijai</w:t>
      </w:r>
    </w:p>
    <w:p w14:paraId="5E90302D" w14:textId="77777777" w:rsidR="005744FD" w:rsidRDefault="005744FD" w:rsidP="002226FC"/>
    <w:p w14:paraId="5ECF0F6F" w14:textId="77777777" w:rsidR="005744FD" w:rsidRDefault="005744FD" w:rsidP="002226FC"/>
    <w:p w14:paraId="3087A953" w14:textId="77777777" w:rsidR="0091217A" w:rsidRPr="00475260" w:rsidRDefault="0091217A" w:rsidP="0091217A">
      <w:pPr>
        <w:pStyle w:val="Antrat1"/>
        <w:ind w:firstLine="0"/>
        <w:rPr>
          <w:b w:val="0"/>
        </w:rPr>
      </w:pPr>
      <w:r w:rsidRPr="00475260">
        <w:t xml:space="preserve">DĖL </w:t>
      </w:r>
      <w:r>
        <w:t>NUOMONĖS PATEIKIMO INOS DEREN KREIPIMESI IŠDĖSTYTAM SIŪLYMUI</w:t>
      </w:r>
    </w:p>
    <w:p w14:paraId="7DAEB54D" w14:textId="45AC82FD" w:rsidR="000204B9" w:rsidRDefault="00D141E1" w:rsidP="00A9785A">
      <w:pPr>
        <w:jc w:val="both"/>
        <w:rPr>
          <w:sz w:val="27"/>
          <w:szCs w:val="27"/>
        </w:rPr>
      </w:pPr>
      <w:r w:rsidRPr="000A2358">
        <w:rPr>
          <w:sz w:val="27"/>
          <w:szCs w:val="27"/>
        </w:rPr>
        <w:t>Socialinės apsaugos ir darbo ministerija</w:t>
      </w:r>
      <w:r w:rsidR="00D626FE">
        <w:rPr>
          <w:sz w:val="27"/>
          <w:szCs w:val="27"/>
        </w:rPr>
        <w:t xml:space="preserve"> (toliau – ministerija)</w:t>
      </w:r>
      <w:r w:rsidRPr="000A2358">
        <w:rPr>
          <w:sz w:val="27"/>
          <w:szCs w:val="27"/>
        </w:rPr>
        <w:t xml:space="preserve"> išnagrinėjo Inos Deren kreipimąsi dėl siūlymo inicijuoti Lietuvos Respublikos socialinio draudimo pensijų įstatymo pakeitimą</w:t>
      </w:r>
      <w:r w:rsidR="00ED1FA3">
        <w:rPr>
          <w:sz w:val="27"/>
          <w:szCs w:val="27"/>
        </w:rPr>
        <w:t xml:space="preserve"> ir nustatyti, kad </w:t>
      </w:r>
      <w:r w:rsidR="006E683F">
        <w:rPr>
          <w:sz w:val="27"/>
          <w:szCs w:val="27"/>
        </w:rPr>
        <w:t>„</w:t>
      </w:r>
      <w:r w:rsidR="00ED1FA3">
        <w:rPr>
          <w:sz w:val="27"/>
          <w:szCs w:val="27"/>
        </w:rPr>
        <w:t xml:space="preserve">sukakę senatvės pensijos amžių </w:t>
      </w:r>
      <w:r w:rsidR="001D5A8D">
        <w:rPr>
          <w:sz w:val="27"/>
          <w:szCs w:val="27"/>
        </w:rPr>
        <w:t>galėtų gauti netekto darbingumo pensiją</w:t>
      </w:r>
      <w:r w:rsidR="006E683F">
        <w:rPr>
          <w:sz w:val="27"/>
          <w:szCs w:val="27"/>
        </w:rPr>
        <w:t>“</w:t>
      </w:r>
      <w:r w:rsidR="001D5A8D">
        <w:rPr>
          <w:sz w:val="27"/>
          <w:szCs w:val="27"/>
        </w:rPr>
        <w:t xml:space="preserve">. </w:t>
      </w:r>
    </w:p>
    <w:p w14:paraId="54D6EFEE" w14:textId="2AB5555B" w:rsidR="005744FD" w:rsidRDefault="000204B9" w:rsidP="00A9785A">
      <w:pPr>
        <w:jc w:val="both"/>
        <w:rPr>
          <w:sz w:val="27"/>
          <w:szCs w:val="27"/>
        </w:rPr>
      </w:pPr>
      <w:r>
        <w:rPr>
          <w:sz w:val="27"/>
          <w:szCs w:val="27"/>
        </w:rPr>
        <w:t>P</w:t>
      </w:r>
      <w:r w:rsidR="001D5A8D">
        <w:rPr>
          <w:sz w:val="27"/>
          <w:szCs w:val="27"/>
        </w:rPr>
        <w:t>areiškėjos</w:t>
      </w:r>
      <w:r>
        <w:rPr>
          <w:sz w:val="27"/>
          <w:szCs w:val="27"/>
        </w:rPr>
        <w:t xml:space="preserve"> nuomone</w:t>
      </w:r>
      <w:r w:rsidR="001D5A8D">
        <w:rPr>
          <w:sz w:val="27"/>
          <w:szCs w:val="27"/>
        </w:rPr>
        <w:t>, tai, kad šiuo metu</w:t>
      </w:r>
      <w:r>
        <w:rPr>
          <w:sz w:val="27"/>
          <w:szCs w:val="27"/>
        </w:rPr>
        <w:t xml:space="preserve"> tik darbingo amžiaus asmenys, kuriems yra nustatytas </w:t>
      </w:r>
      <w:r w:rsidR="00FB08FA">
        <w:rPr>
          <w:sz w:val="27"/>
          <w:szCs w:val="27"/>
        </w:rPr>
        <w:t xml:space="preserve">45 </w:t>
      </w:r>
      <w:r w:rsidR="00245788">
        <w:rPr>
          <w:rFonts w:cs="Arial"/>
          <w:sz w:val="27"/>
          <w:szCs w:val="27"/>
        </w:rPr>
        <w:t>proc.</w:t>
      </w:r>
      <w:r w:rsidR="00245788">
        <w:rPr>
          <w:sz w:val="27"/>
          <w:szCs w:val="27"/>
        </w:rPr>
        <w:t xml:space="preserve"> </w:t>
      </w:r>
      <w:r w:rsidR="006E769B">
        <w:rPr>
          <w:sz w:val="27"/>
          <w:szCs w:val="27"/>
        </w:rPr>
        <w:t>ir didesnis netektas dalyvumas, gali gauti ne</w:t>
      </w:r>
      <w:r w:rsidR="00584C0B">
        <w:rPr>
          <w:sz w:val="27"/>
          <w:szCs w:val="27"/>
        </w:rPr>
        <w:t xml:space="preserve">galios pensiją, o sukakusiems senatvės pensijos amžių, senatvės pensija asmeniui su negalia perskaičiuojama pagal netekto dalyvumo procentus tik tada, jei </w:t>
      </w:r>
      <w:r w:rsidR="00DF4B6A">
        <w:rPr>
          <w:sz w:val="27"/>
          <w:szCs w:val="27"/>
        </w:rPr>
        <w:t xml:space="preserve">jiems yra nustatytas 70 </w:t>
      </w:r>
      <w:r w:rsidR="00245788">
        <w:rPr>
          <w:rFonts w:cs="Arial"/>
          <w:sz w:val="27"/>
          <w:szCs w:val="27"/>
        </w:rPr>
        <w:t>proc.</w:t>
      </w:r>
      <w:r w:rsidR="00245788">
        <w:rPr>
          <w:sz w:val="27"/>
          <w:szCs w:val="27"/>
        </w:rPr>
        <w:t xml:space="preserve"> </w:t>
      </w:r>
      <w:r w:rsidR="00DF4B6A">
        <w:rPr>
          <w:sz w:val="27"/>
          <w:szCs w:val="27"/>
        </w:rPr>
        <w:t xml:space="preserve">ir didesnis netektas dalyvumas, diskriminuoja asmenis pagal amžių. Todėl pareiškėja siūlo nustatyti </w:t>
      </w:r>
      <w:r w:rsidR="00063A6B">
        <w:rPr>
          <w:sz w:val="27"/>
          <w:szCs w:val="27"/>
        </w:rPr>
        <w:t xml:space="preserve">galimybę sukakusiems senatvės pensijos amžių asmenims, kartu su senatvės </w:t>
      </w:r>
      <w:r w:rsidR="00626761">
        <w:rPr>
          <w:sz w:val="27"/>
          <w:szCs w:val="27"/>
        </w:rPr>
        <w:t xml:space="preserve">pensija </w:t>
      </w:r>
      <w:r w:rsidR="008034F8">
        <w:rPr>
          <w:sz w:val="27"/>
          <w:szCs w:val="27"/>
        </w:rPr>
        <w:t xml:space="preserve">gauti ir negalios pensiją ar jos dalį kaip priedą prie senatvės pensijos. </w:t>
      </w:r>
    </w:p>
    <w:p w14:paraId="4BFCC665" w14:textId="09984028" w:rsidR="002226FC" w:rsidRDefault="00626761" w:rsidP="00A9785A">
      <w:pPr>
        <w:jc w:val="both"/>
      </w:pPr>
      <w:r>
        <w:t>Atkreipiame dėmesį, kad nuo pat Lietuvos Respublikos valstybinių socialinio draudimo pensijų įstatymo (</w:t>
      </w:r>
      <w:r w:rsidR="00CD6F7F">
        <w:t xml:space="preserve">nuo 2018 m. sausio 1 d. – Lietuvos Respublikos socialinio draudimo pensijų įstatymas; toliau – Pensijų įstatymas) įsigaliojimo </w:t>
      </w:r>
      <w:r w:rsidR="00DC23ED">
        <w:t>1995 m.</w:t>
      </w:r>
      <w:r w:rsidR="00EB443B">
        <w:t>,</w:t>
      </w:r>
      <w:r w:rsidR="00DC23ED">
        <w:t xml:space="preserve"> nebuvo nustatyta teisė gauti dviejų socialinio draudimo pensijų – senatvės ir negalios </w:t>
      </w:r>
      <w:r w:rsidR="007B105D">
        <w:t>–</w:t>
      </w:r>
      <w:r w:rsidR="00DC23ED">
        <w:t xml:space="preserve"> </w:t>
      </w:r>
      <w:r w:rsidR="007B105D">
        <w:t xml:space="preserve">vienu metu. Tokia teisė neegzistavo ir iki 1995 m. </w:t>
      </w:r>
      <w:r w:rsidR="00A32CE0">
        <w:t xml:space="preserve">2022 m. Lietuvos Respublikos Seime buvo įregistruota iniciatyva keisti Pensijų įstatymo 6 straipsnį, numatant, kad senatvės ir negalios pensija </w:t>
      </w:r>
      <w:r w:rsidR="00A36EA1">
        <w:t xml:space="preserve">būtų mokamos kartu. </w:t>
      </w:r>
      <w:r w:rsidR="005B29FA">
        <w:t xml:space="preserve">Lietuvos </w:t>
      </w:r>
      <w:r w:rsidR="00431017">
        <w:t>R</w:t>
      </w:r>
      <w:r w:rsidR="005B29FA">
        <w:t xml:space="preserve">espublikos </w:t>
      </w:r>
      <w:r w:rsidR="00431017">
        <w:t>S</w:t>
      </w:r>
      <w:r w:rsidR="005B29FA">
        <w:t xml:space="preserve">eimo </w:t>
      </w:r>
      <w:r w:rsidR="00431017">
        <w:t>teisės departamento išvadoje dėl siūlytos iniciatyvos buvo pažymėta, kad</w:t>
      </w:r>
      <w:r w:rsidR="0056316D">
        <w:t xml:space="preserve"> šis siūlomas teisinis reguliavimas </w:t>
      </w:r>
      <w:r w:rsidR="00932033">
        <w:lastRenderedPageBreak/>
        <w:t xml:space="preserve">galimai prieštarauja Lietuvos Respublikos Konstitucijoje įtvirtintam darnios pilietinės visuomenės </w:t>
      </w:r>
      <w:r w:rsidR="009B07FC">
        <w:t>ir teisinės valstybės principams, Konstitucijos 29 straipsnyje nustatytam draudimui varžyti žmogaus teises ar teikti jam privilegijų dėl jo socialinės padėties ir Konstitucijos 52 straipsniui</w:t>
      </w:r>
      <w:r w:rsidR="009D3CE5">
        <w:t>, pagal kurį</w:t>
      </w:r>
      <w:r w:rsidR="00077701">
        <w:t xml:space="preserve"> valstybė turi laiduoti piliečių teisę gauti senatvės ir invalidumo pensijas, paramą nedarbo, ligos, našlystės, maitintojo netekimo ir kitais įstatymų numatytais atvejais</w:t>
      </w:r>
      <w:r w:rsidR="00353F08">
        <w:t>. Tokiai Seimo teisininkų pozicijai pritarė ir Seimo Teisės ir teisėtvarkos komitetas</w:t>
      </w:r>
      <w:r w:rsidR="00E02042">
        <w:t xml:space="preserve"> bei </w:t>
      </w:r>
      <w:r w:rsidR="00FD0FC3">
        <w:t>pritarė, kad toks teisinio reguliavimo siūlymas prieštarauja Konstitucijos preambulė</w:t>
      </w:r>
      <w:r w:rsidR="001C0369">
        <w:t>je</w:t>
      </w:r>
      <w:r w:rsidR="00FD0FC3">
        <w:t xml:space="preserve"> įtvirtintam darnios pilietinės visuomenės ir teisinės valstybės principams, Konstitucijos 29 straipsniui ir Konstitucijos 52 straipsniui. (</w:t>
      </w:r>
      <w:hyperlink r:id="rId12" w:history="1">
        <w:r w:rsidR="00B11BA1" w:rsidRPr="00B11BA1">
          <w:rPr>
            <w:rStyle w:val="Hipersaitas"/>
          </w:rPr>
          <w:t>XIVP-1672 KOMITETO IŠVADA dėl Socialinio draudimo pensijų įstatymo Nr. I-549 6 straipsnio pakeitimo įstaty...</w:t>
        </w:r>
      </w:hyperlink>
      <w:r w:rsidR="00B11BA1">
        <w:t xml:space="preserve">) </w:t>
      </w:r>
    </w:p>
    <w:p w14:paraId="6F740AEA" w14:textId="15EBBCA4" w:rsidR="00B11BA1" w:rsidRDefault="00B11BA1" w:rsidP="00A9785A">
      <w:pPr>
        <w:jc w:val="both"/>
      </w:pPr>
      <w:r>
        <w:t xml:space="preserve">Kartu norime atkreipti dėmesį į tai, kad negalios pensijos apskaičiavimas nuo pat 1995 m. </w:t>
      </w:r>
      <w:r w:rsidR="00312C06">
        <w:t xml:space="preserve">buvo nustatytas toks, kad asmenys, kuriems buvo nustatoma lengviausia negalia (tuo metu tai buvo </w:t>
      </w:r>
      <w:r w:rsidR="00F56BE9">
        <w:t>III grupės invalidumas), jų pensijos buvo apskaičiuojamos taip pat, kaip asmenims su didesne negalia (tuo metu kaip II grupės invalidumas) ir mažinamos 50 proc. T</w:t>
      </w:r>
      <w:r w:rsidR="009D46C8">
        <w:t>okia šių pensijų apskaičiavimo logika buvo grindžiama tuo, kad tai lengviausia negalia, žmonės ją tu</w:t>
      </w:r>
      <w:r w:rsidR="00A17C79">
        <w:t xml:space="preserve">rėdami, nėra tiek suvaržyti gyvenime, kaip turintys sunkią negalią, taigi turi ir daugiau </w:t>
      </w:r>
      <w:r w:rsidR="008C719B">
        <w:t>galimybių dirbti ir būti savarankiškais.</w:t>
      </w:r>
      <w:r w:rsidR="00DA094F">
        <w:t xml:space="preserve"> Ta pati negalios (iki 2005 m. liepos 1 d. – invalidumo, </w:t>
      </w:r>
      <w:r w:rsidR="00DA3C59">
        <w:t xml:space="preserve">iki 2023 m. gruodžio 31 d. – netekto darbingumo pensijos) pensijų apskaičiavimo tvarka išliko ir 2005 m. įgyvendinus Neįgaliųjų socialinės integracijos įstatymo pakeitimus, </w:t>
      </w:r>
      <w:r w:rsidR="00F95654">
        <w:t>kai vietoj invalidumo grupių buvo pradėt</w:t>
      </w:r>
      <w:r w:rsidR="00FB32B1">
        <w:t>i</w:t>
      </w:r>
      <w:r w:rsidR="00F95654">
        <w:t xml:space="preserve"> nustatyti </w:t>
      </w:r>
      <w:r w:rsidR="00FB32B1">
        <w:t xml:space="preserve">atitinkamų intervalų </w:t>
      </w:r>
      <w:r w:rsidR="00F95654">
        <w:t xml:space="preserve">netekto darbingumo </w:t>
      </w:r>
      <w:r w:rsidR="00FB32B1">
        <w:t>procentai</w:t>
      </w:r>
      <w:r w:rsidR="00F95654">
        <w:t xml:space="preserve">. </w:t>
      </w:r>
      <w:r w:rsidR="00DE6BC0">
        <w:t xml:space="preserve">Nuo 2005 m. liepos 1 d. asmenims, kuriems buvo nustatomas 45-55 </w:t>
      </w:r>
      <w:r w:rsidR="00245788">
        <w:rPr>
          <w:rFonts w:cs="Arial"/>
        </w:rPr>
        <w:t>proc.</w:t>
      </w:r>
      <w:r w:rsidR="00245788">
        <w:t xml:space="preserve"> </w:t>
      </w:r>
      <w:r w:rsidR="00DE6BC0">
        <w:t xml:space="preserve">netektas darbingumas, negalios pensijos buvo apskaičiuojamos </w:t>
      </w:r>
      <w:r w:rsidR="008A68DB">
        <w:t xml:space="preserve">kaip netekus 60-70 </w:t>
      </w:r>
      <w:r w:rsidR="00245788">
        <w:rPr>
          <w:rFonts w:cs="Arial"/>
        </w:rPr>
        <w:t xml:space="preserve">proc. </w:t>
      </w:r>
      <w:r w:rsidR="008A68DB">
        <w:t xml:space="preserve">darbingumo ir mažinamos 50 </w:t>
      </w:r>
      <w:r w:rsidR="00945F9E">
        <w:rPr>
          <w:rFonts w:cs="Arial"/>
        </w:rPr>
        <w:t>proc</w:t>
      </w:r>
      <w:r w:rsidR="00945F9E">
        <w:t xml:space="preserve">. </w:t>
      </w:r>
      <w:r w:rsidR="00122109">
        <w:t xml:space="preserve">Netekus 75-100 </w:t>
      </w:r>
      <w:r w:rsidR="00245788">
        <w:rPr>
          <w:rFonts w:cs="Arial"/>
        </w:rPr>
        <w:t>proc.</w:t>
      </w:r>
      <w:r w:rsidR="00245788">
        <w:t xml:space="preserve"> </w:t>
      </w:r>
      <w:r w:rsidR="00122109">
        <w:t>darbingumo</w:t>
      </w:r>
      <w:r w:rsidR="00245788">
        <w:t>,</w:t>
      </w:r>
      <w:r w:rsidR="00122109">
        <w:t xml:space="preserve"> negalios pensijos jau buvo didinamos (kaip ir iki 2005 m. liepos 1 d. – I grupės invalidumo pensijos)</w:t>
      </w:r>
      <w:r w:rsidR="00891925">
        <w:t>, kadangi šie asmenys, turėdami sunkiausią negalią, yra labiausiai suvaržyti, turi dides</w:t>
      </w:r>
      <w:r w:rsidR="0017156E">
        <w:t xml:space="preserve">nius poreikius, dažniausiai nebegali dirbti, todėl socialinio draudimo pensijų sistema labiausiai kompensuoja šių asmenų patirtą riziką. </w:t>
      </w:r>
    </w:p>
    <w:p w14:paraId="497B27B7" w14:textId="78A82851" w:rsidR="00D51BD2" w:rsidRDefault="00D056F9" w:rsidP="00A9785A">
      <w:pPr>
        <w:jc w:val="both"/>
      </w:pPr>
      <w:r>
        <w:t xml:space="preserve">2012 m. Valstybės kontrolė, vertindama </w:t>
      </w:r>
      <w:r w:rsidR="00304EBB">
        <w:t>neįgalumo ir darbingumo lygio nustatymo sistemą (</w:t>
      </w:r>
      <w:r w:rsidR="00B90678" w:rsidRPr="00B90678">
        <w:t xml:space="preserve">2012 m. gruodžio 20 d. </w:t>
      </w:r>
      <w:r w:rsidR="00B90678">
        <w:t xml:space="preserve">ataskaita </w:t>
      </w:r>
      <w:r w:rsidR="00B90678" w:rsidRPr="00B90678">
        <w:t>Nr. VA-P-10-1-18</w:t>
      </w:r>
      <w:r w:rsidR="00B90678">
        <w:t xml:space="preserve">) pabrėžė, kad </w:t>
      </w:r>
      <w:r w:rsidR="00374C69">
        <w:t>„</w:t>
      </w:r>
      <w:r w:rsidR="00374C69" w:rsidRPr="00374C69">
        <w:t xml:space="preserve">Siekiant objektyvumo nustatant netekto darbingumo pensijos dydį, netekto darbingumo pensijos turėtų būti labiau diferencijuotos atsižvelgiant į prarastas ir gaunamas pajamas, ir, galintiems dirbti, bet </w:t>
      </w:r>
      <w:r w:rsidR="00374C69" w:rsidRPr="00374C69">
        <w:lastRenderedPageBreak/>
        <w:t>nedirbantiems, netekto darbingumo pensijos galėtų būti tolygiai mažinamos, didinant tiems neįgaliesiems, kurie negali integruotis į darbo rinką.</w:t>
      </w:r>
      <w:r w:rsidR="00374C69">
        <w:t xml:space="preserve">“ </w:t>
      </w:r>
    </w:p>
    <w:p w14:paraId="633C7864" w14:textId="26EE45C5" w:rsidR="005E2031" w:rsidRDefault="005E2031" w:rsidP="00A9785A">
      <w:pPr>
        <w:jc w:val="both"/>
      </w:pPr>
      <w:r>
        <w:t xml:space="preserve">Atsižvelgiant į šią Valstybės kontrolės pastabą, nuo 2018 m. </w:t>
      </w:r>
      <w:r w:rsidR="00F27AF0">
        <w:t>P</w:t>
      </w:r>
      <w:r>
        <w:t>ensijų įstatyme negalios pensijų dydžiai buvo išdiferencijuoti</w:t>
      </w:r>
      <w:r w:rsidR="00352C9E">
        <w:t xml:space="preserve"> pagal netekto </w:t>
      </w:r>
      <w:r w:rsidR="00FB32B1">
        <w:t xml:space="preserve">darbingumo </w:t>
      </w:r>
      <w:r w:rsidR="00A86D4E">
        <w:t xml:space="preserve">(nuo 2024 m. – netekto dalyvumo) </w:t>
      </w:r>
      <w:r w:rsidR="00352C9E">
        <w:t xml:space="preserve">procentus (kas 5 </w:t>
      </w:r>
      <w:r w:rsidR="00EC1FA5">
        <w:t>procentus</w:t>
      </w:r>
      <w:r w:rsidR="00F27AF0">
        <w:t>), nustačius netekto darbingumo lygio daugiklius, iš kurių dauginamos apska</w:t>
      </w:r>
      <w:r w:rsidR="00627D90">
        <w:t>ičiuotos negalios pensijos</w:t>
      </w:r>
      <w:r w:rsidR="00F60079">
        <w:t>. Pavyzdžiu</w:t>
      </w:r>
      <w:r w:rsidR="00945F9E">
        <w:t>i</w:t>
      </w:r>
      <w:r w:rsidR="00F60079">
        <w:t xml:space="preserve">, apskaičiuota negalios pensija, jei asmuo neteko 45 </w:t>
      </w:r>
      <w:r w:rsidR="00245788">
        <w:rPr>
          <w:rFonts w:cs="Arial"/>
        </w:rPr>
        <w:t>proc.</w:t>
      </w:r>
      <w:r w:rsidR="00245788">
        <w:t xml:space="preserve"> </w:t>
      </w:r>
      <w:r w:rsidR="00F60079">
        <w:t xml:space="preserve">darbingumo, yra dauginama iš daugiklio 0,500, o </w:t>
      </w:r>
      <w:r w:rsidR="0094277A">
        <w:t xml:space="preserve">apskaičiuota </w:t>
      </w:r>
      <w:r w:rsidR="00F60079">
        <w:t xml:space="preserve">negalios pensija netekus </w:t>
      </w:r>
      <w:r w:rsidR="0094277A">
        <w:t xml:space="preserve">70 </w:t>
      </w:r>
      <w:r w:rsidR="00245788">
        <w:rPr>
          <w:rFonts w:cs="Arial"/>
        </w:rPr>
        <w:t>proc.</w:t>
      </w:r>
      <w:r w:rsidR="00245788">
        <w:t xml:space="preserve"> </w:t>
      </w:r>
      <w:r w:rsidR="0094277A">
        <w:t xml:space="preserve">darbingumo yra dauginama iš daugiklio </w:t>
      </w:r>
      <w:r w:rsidR="003C11FF">
        <w:t>1,071</w:t>
      </w:r>
      <w:r w:rsidR="009E1918">
        <w:t xml:space="preserve">. </w:t>
      </w:r>
      <w:r w:rsidR="00BB4EEE">
        <w:t>Taigi</w:t>
      </w:r>
      <w:r w:rsidR="009E1918">
        <w:t xml:space="preserve">, </w:t>
      </w:r>
      <w:r w:rsidR="003C11FF">
        <w:t xml:space="preserve">apskaičiavus </w:t>
      </w:r>
      <w:r w:rsidR="00056EB2">
        <w:t>500 eurų dydžio negalios pensiją</w:t>
      </w:r>
      <w:r w:rsidR="00945F9E">
        <w:t xml:space="preserve"> pagal Pensijų įstatyme nustatytas taisykles</w:t>
      </w:r>
      <w:r w:rsidR="00056EB2">
        <w:t>, asmeniui, pripažintam netekusiu 45 proc. darbingumo</w:t>
      </w:r>
      <w:r w:rsidR="009E1918">
        <w:t xml:space="preserve"> (nuo 2024 m. – netekto dalyvumo)</w:t>
      </w:r>
      <w:r w:rsidR="00056EB2">
        <w:t xml:space="preserve">, </w:t>
      </w:r>
      <w:r w:rsidR="00181954">
        <w:t xml:space="preserve">jo negalios pensijos dydis sieks 250 eurų (500 x 0,500), tačiau jei asmens būklė pablogės ir netektas darbingumas </w:t>
      </w:r>
      <w:r w:rsidR="00A86D4E">
        <w:t xml:space="preserve">(nuo 2024 m. – netektas </w:t>
      </w:r>
      <w:r w:rsidR="00945F9E">
        <w:t>dalyvumas</w:t>
      </w:r>
      <w:r w:rsidR="00A86D4E">
        <w:t>)</w:t>
      </w:r>
      <w:r w:rsidR="00945F9E">
        <w:t xml:space="preserve"> </w:t>
      </w:r>
      <w:r w:rsidR="00181954">
        <w:t xml:space="preserve">pasieks </w:t>
      </w:r>
      <w:r w:rsidR="007E0056">
        <w:t xml:space="preserve">70 </w:t>
      </w:r>
      <w:r w:rsidR="00245788">
        <w:t xml:space="preserve">proc. </w:t>
      </w:r>
      <w:r w:rsidR="00CB1029">
        <w:t>ar daugiau</w:t>
      </w:r>
      <w:r w:rsidR="007E0056">
        <w:t>, negalios pensija padidė</w:t>
      </w:r>
      <w:r w:rsidR="00CB1029">
        <w:t>tų</w:t>
      </w:r>
      <w:r w:rsidR="007E0056">
        <w:t xml:space="preserve"> iki 535,</w:t>
      </w:r>
      <w:r w:rsidR="00781D97">
        <w:t>5 (500 x 1,071)</w:t>
      </w:r>
      <w:r w:rsidR="00BB4EEE">
        <w:t>,</w:t>
      </w:r>
      <w:r w:rsidR="00CB1029">
        <w:t xml:space="preserve"> ar daugiau, atsižvelgiant į netekto </w:t>
      </w:r>
      <w:r w:rsidR="009E1918">
        <w:t xml:space="preserve">darbingumo (nuo 2024 m. – netekto dalyvumo) </w:t>
      </w:r>
      <w:r w:rsidR="00CB1029">
        <w:t>proc.</w:t>
      </w:r>
      <w:r w:rsidR="00BB4EEE">
        <w:t xml:space="preserve"> – </w:t>
      </w:r>
      <w:r w:rsidR="00781D97">
        <w:t xml:space="preserve"> netekus 100 </w:t>
      </w:r>
      <w:r w:rsidR="00245788">
        <w:rPr>
          <w:rFonts w:cs="Arial"/>
        </w:rPr>
        <w:t>proc.</w:t>
      </w:r>
      <w:r w:rsidR="00245788">
        <w:t xml:space="preserve"> </w:t>
      </w:r>
      <w:r w:rsidR="009E1918">
        <w:t xml:space="preserve">darbingumo (nuo 2024 m. – dalyvumo) </w:t>
      </w:r>
      <w:r w:rsidR="00F11F66">
        <w:t>tokio žmogaus negalios pensijos dydis pasiektų 750 eurų (500 x 1,500)</w:t>
      </w:r>
      <w:r w:rsidR="006026A6">
        <w:t xml:space="preserve">. </w:t>
      </w:r>
      <w:r w:rsidR="00DA7428">
        <w:t>Ne</w:t>
      </w:r>
      <w:r w:rsidR="000E6AF3">
        <w:t xml:space="preserve">tekto </w:t>
      </w:r>
      <w:r w:rsidR="009E1918">
        <w:t>darbingumo (nuo 2024 m. – netekto dalyvumo)</w:t>
      </w:r>
      <w:r w:rsidR="000E6AF3">
        <w:t xml:space="preserve"> lygio daugikliai </w:t>
      </w:r>
      <w:r w:rsidR="00B1119E">
        <w:t>buvo apskaičiuoti pagal mokamų negalios pensijų vidutinius dydžius bei darbingumo lygio skalę, siekiant nenutolti</w:t>
      </w:r>
      <w:r w:rsidR="00A30D9C">
        <w:t xml:space="preserve"> nuo tuo metu buvusių pensijų dydžių, bet kartu išvengti tuo metu galiojusio ženklaus pensijų dydži</w:t>
      </w:r>
      <w:r w:rsidR="007B3484">
        <w:t xml:space="preserve">ų slenksčio, pavyzdžiui, kai asmeniui vietoj 60 </w:t>
      </w:r>
      <w:r w:rsidR="00245788">
        <w:rPr>
          <w:rFonts w:cs="Arial"/>
        </w:rPr>
        <w:t>proc.</w:t>
      </w:r>
      <w:r w:rsidR="00245788">
        <w:t xml:space="preserve"> </w:t>
      </w:r>
      <w:r w:rsidR="007B3484">
        <w:t xml:space="preserve">netekto darbingumo nustatydavo 55 </w:t>
      </w:r>
      <w:r w:rsidR="00245788">
        <w:rPr>
          <w:rFonts w:cs="Arial"/>
        </w:rPr>
        <w:t>proc.</w:t>
      </w:r>
      <w:r w:rsidR="00245788">
        <w:t xml:space="preserve"> netektą darbingumą</w:t>
      </w:r>
      <w:r w:rsidR="007B3484">
        <w:t xml:space="preserve">, pensija sumažėdavo perpus. </w:t>
      </w:r>
    </w:p>
    <w:p w14:paraId="54D0F985" w14:textId="36D850E9" w:rsidR="00CC397E" w:rsidRDefault="006026A6" w:rsidP="00174493">
      <w:pPr>
        <w:jc w:val="both"/>
      </w:pPr>
      <w:r>
        <w:t>Kaip jau minėjome, teisė gauti abi pensijas – senatvės ir negalios – niekada nebuvo nustatyta. Visuomet sukakę senatvės pensijos amžių asmenys turėjo rinktis, kurią pensiją gauti – senatvės ar negalios pensiją</w:t>
      </w:r>
      <w:r w:rsidR="00DA7428">
        <w:t>. Tiems</w:t>
      </w:r>
      <w:r w:rsidR="007B3484">
        <w:t>,</w:t>
      </w:r>
      <w:r w:rsidR="00DA7428">
        <w:t xml:space="preserve"> kam buvo nustatyta lengviausia negalia</w:t>
      </w:r>
      <w:r w:rsidR="007B3484">
        <w:t>,</w:t>
      </w:r>
      <w:r w:rsidR="00B25A07">
        <w:t xml:space="preserve"> gauti senatvės pensiją visuomet buvo naudingiau, nes, kaip minėta, su lengviausia negalia apskaičiuota pensija yra mažinama per pusę. </w:t>
      </w:r>
      <w:r w:rsidR="00BC5A5B">
        <w:t xml:space="preserve">Taip pat svarbu paminėti faktą, kad nuo pat 2005 m. liepos 1 d. iki 2023 m. gruodžio 31 d. </w:t>
      </w:r>
      <w:r w:rsidR="008C7137">
        <w:t>netektas darbingumas buvo nustatomas tik darbingo amžiaus asmenims, t. y. sukakus senatvės pensijos amžių, jokie netekto darbingumo</w:t>
      </w:r>
      <w:r w:rsidR="00D626FE">
        <w:t xml:space="preserve"> </w:t>
      </w:r>
      <w:r w:rsidR="00245788">
        <w:t xml:space="preserve">proc. </w:t>
      </w:r>
      <w:r w:rsidR="008C7137">
        <w:t>nebebuvo nustatomi.</w:t>
      </w:r>
      <w:r w:rsidR="001F6203">
        <w:t xml:space="preserve"> Todėl nuo 2018 m. dėstant Pensijų įstatymą nauja redakcija, buvo apsispręsta, kad sukakusiems senatvės pensijos amžių asmenis, kuriems iki </w:t>
      </w:r>
      <w:r w:rsidR="00245788">
        <w:t xml:space="preserve">senatvės </w:t>
      </w:r>
      <w:r w:rsidR="001F6203">
        <w:t xml:space="preserve">amžiaus sukakties </w:t>
      </w:r>
      <w:r w:rsidR="00772955">
        <w:t xml:space="preserve">buvo mokėta negalios pensija, leisti pasirinkti, ar gauti senatvės pensiją, ar senatvės pensiją neįgaliajam. Pastaroji buvo </w:t>
      </w:r>
      <w:r w:rsidR="00772955">
        <w:lastRenderedPageBreak/>
        <w:t>paskaičiuojama kaip senatvės pensija ir dauginama iš netekto darb</w:t>
      </w:r>
      <w:r w:rsidR="00F30B2E">
        <w:t>ingumo (</w:t>
      </w:r>
      <w:r w:rsidR="00174493">
        <w:t xml:space="preserve">nuo 2024 m. – </w:t>
      </w:r>
      <w:r w:rsidR="00F30B2E">
        <w:t xml:space="preserve"> netekto dalyvumo) lygio daugiklio. Asmenys turėjo rinktis, k</w:t>
      </w:r>
      <w:r w:rsidR="00821016">
        <w:t>u</w:t>
      </w:r>
      <w:r w:rsidR="00F30B2E">
        <w:t xml:space="preserve">rią pensiją jiems gauti naudingiau. </w:t>
      </w:r>
    </w:p>
    <w:p w14:paraId="034AC590" w14:textId="2DE6D8F2" w:rsidR="006026A6" w:rsidRDefault="00CC397E" w:rsidP="00A9785A">
      <w:pPr>
        <w:jc w:val="both"/>
      </w:pPr>
      <w:r>
        <w:t xml:space="preserve">Nuo 2024 m. įgyvendinus negalios nustatymo reformą, </w:t>
      </w:r>
      <w:r w:rsidRPr="00707232">
        <w:t xml:space="preserve">buvo įteisinta galimybė netekto dalyvumo </w:t>
      </w:r>
      <w:r w:rsidR="00BD539D" w:rsidRPr="00707232">
        <w:t xml:space="preserve">proc. </w:t>
      </w:r>
      <w:r w:rsidRPr="00707232">
        <w:t>nustatyti</w:t>
      </w:r>
      <w:r w:rsidR="00DA7428" w:rsidRPr="00707232">
        <w:t xml:space="preserve"> </w:t>
      </w:r>
      <w:r w:rsidR="00174493" w:rsidRPr="00707232">
        <w:t xml:space="preserve">ir </w:t>
      </w:r>
      <w:r w:rsidR="00821016" w:rsidRPr="00707232">
        <w:t>sukakusiems senatvės</w:t>
      </w:r>
      <w:r w:rsidR="00821016">
        <w:t xml:space="preserve"> pensijos amžių asmenims. Todėl ir Pensijų įstatyme atitinkamai buvo įteisinta </w:t>
      </w:r>
      <w:r w:rsidR="00E24A80">
        <w:t xml:space="preserve">senatvės pensijos asmeniui su negalia (iki 2023 m. gruodžio 31 d. </w:t>
      </w:r>
      <w:r w:rsidR="00245788">
        <w:t xml:space="preserve">– </w:t>
      </w:r>
      <w:r w:rsidR="00E24A80">
        <w:t xml:space="preserve">senatvės pensija neįgaliajam) </w:t>
      </w:r>
      <w:r w:rsidR="0051352E">
        <w:t xml:space="preserve">perskaičiavimo galimybė, jei asmeniui nustatomi 70 </w:t>
      </w:r>
      <w:r w:rsidR="00BD539D">
        <w:rPr>
          <w:rFonts w:cs="Arial"/>
        </w:rPr>
        <w:t>proc.</w:t>
      </w:r>
      <w:r w:rsidR="00BD539D">
        <w:t xml:space="preserve"> </w:t>
      </w:r>
      <w:r w:rsidR="0051352E">
        <w:t>ir didesni netekto dalyvumo procentai. Kaip ir anksčiau galiojusioje Pensijų įstatymo redakcijoje, taip ir nuo 2024 m. sausio 1 d.</w:t>
      </w:r>
      <w:r w:rsidR="00F86B6A">
        <w:t xml:space="preserve"> galiojančioje Pensijų įstatymo redakcijoje</w:t>
      </w:r>
      <w:r w:rsidR="0051352E">
        <w:t xml:space="preserve">, </w:t>
      </w:r>
      <w:r w:rsidR="001603AE">
        <w:t>pensijų dydžiai asmenims su negalia reaguoja į jų netekto dalyvumo procentus, nepriklausomai nuo jų amžiaus. Sukakę senatvės pensijos amžių asmenys</w:t>
      </w:r>
      <w:r w:rsidR="00033409">
        <w:t>, kuriems nustatyti 45 proc. netekto dalyvumo</w:t>
      </w:r>
      <w:r w:rsidR="00E1081B">
        <w:t>,</w:t>
      </w:r>
      <w:r w:rsidR="00033409">
        <w:t xml:space="preserve"> palyginti su toki</w:t>
      </w:r>
      <w:r w:rsidR="00060947">
        <w:t xml:space="preserve">ais pat </w:t>
      </w:r>
      <w:r w:rsidR="00033409">
        <w:t>darbingo amžiaus</w:t>
      </w:r>
      <w:r w:rsidR="00060947">
        <w:t xml:space="preserve"> asmenimis turi galimybę gauti </w:t>
      </w:r>
      <w:r w:rsidR="00F86B6A">
        <w:t xml:space="preserve">senatvės pensiją, kuri yra </w:t>
      </w:r>
      <w:r w:rsidR="00060947">
        <w:t>dvigubai didesnio dydžio</w:t>
      </w:r>
      <w:r w:rsidR="00F86B6A">
        <w:t xml:space="preserve"> nei negalios pensija</w:t>
      </w:r>
      <w:r w:rsidR="00060947">
        <w:t>. Darbingo amžiaus asmenys turintys tokio pat lygio negalią, tokios galimybės neturi</w:t>
      </w:r>
      <w:r w:rsidR="000678BE">
        <w:t xml:space="preserve"> (pavyzdys su 500 eurų dydžio pensija, sumažinta daugikliu 0,500).</w:t>
      </w:r>
    </w:p>
    <w:p w14:paraId="162224B8" w14:textId="1D380603" w:rsidR="00362057" w:rsidRDefault="00FD35A3" w:rsidP="00A9785A">
      <w:pPr>
        <w:jc w:val="both"/>
      </w:pPr>
      <w:r>
        <w:t>Norint pritarti pareiškėjos siūlymui, reikėtų peržiūrėti visus netekto dalyvumo lygio daugiklio dydžius</w:t>
      </w:r>
      <w:r w:rsidR="00065803">
        <w:t xml:space="preserve">, kad didesnis už vienetą daugiklis </w:t>
      </w:r>
      <w:r w:rsidR="00362057">
        <w:t xml:space="preserve">būtų taikomas </w:t>
      </w:r>
      <w:r w:rsidR="00065803">
        <w:t>nuo 45 proc.</w:t>
      </w:r>
      <w:r w:rsidR="00F86B6A">
        <w:t xml:space="preserve"> netekto dalyvumo</w:t>
      </w:r>
      <w:r w:rsidR="00065803">
        <w:t xml:space="preserve"> (dabar jis didesnis už vienetą </w:t>
      </w:r>
      <w:r w:rsidR="00847A97">
        <w:t xml:space="preserve">turint 70 </w:t>
      </w:r>
      <w:r w:rsidR="00F86B6A">
        <w:rPr>
          <w:rFonts w:cs="Arial"/>
        </w:rPr>
        <w:t xml:space="preserve">proc. </w:t>
      </w:r>
      <w:r w:rsidR="00847A97">
        <w:t>netektą dalyvumą) ir atitinkamai</w:t>
      </w:r>
      <w:r w:rsidR="00B22BAA">
        <w:t xml:space="preserve"> turėtų b</w:t>
      </w:r>
      <w:r w:rsidR="00550936">
        <w:t xml:space="preserve">ūti </w:t>
      </w:r>
      <w:r w:rsidR="00847A97">
        <w:t xml:space="preserve">perskaičiuoti visi kiti daugikliai. </w:t>
      </w:r>
      <w:r w:rsidR="00DD3C94">
        <w:t>Šie daugikliai skirti susieti negalios pensijos dydį su netektu dalyvumu, kaip tai rekomendavo Valstybės kontrolė, todėl neturėtų būti išskiriami</w:t>
      </w:r>
      <w:r w:rsidR="008C484B">
        <w:t xml:space="preserve"> darbingo amžiaus asmenys – jiems nauji daugikliai taip pat turėtų būti taikomi. Priešingu atveju, susidarytų situacija, kai </w:t>
      </w:r>
      <w:r w:rsidR="00B814BF">
        <w:t>vienod</w:t>
      </w:r>
      <w:r w:rsidR="00362057">
        <w:t xml:space="preserve">ą </w:t>
      </w:r>
      <w:r w:rsidR="00B814BF">
        <w:t xml:space="preserve">negalią turintys asmenys gautų skirtingo </w:t>
      </w:r>
      <w:r w:rsidR="000D3B55">
        <w:t xml:space="preserve">dydžio </w:t>
      </w:r>
      <w:r w:rsidR="00BE1444">
        <w:t xml:space="preserve">negalios </w:t>
      </w:r>
      <w:r w:rsidR="00362057">
        <w:t xml:space="preserve">išmokas </w:t>
      </w:r>
      <w:r w:rsidR="000D3B55">
        <w:t xml:space="preserve">vien dėl to, kad vienas yra sukakęs senatvės pensijos amžių, </w:t>
      </w:r>
      <w:r w:rsidR="00362057">
        <w:t xml:space="preserve">o </w:t>
      </w:r>
      <w:r w:rsidR="000D3B55">
        <w:t xml:space="preserve">kitas </w:t>
      </w:r>
      <w:r w:rsidR="00362057">
        <w:t xml:space="preserve">– </w:t>
      </w:r>
      <w:r w:rsidR="000D3B55">
        <w:t>ne.</w:t>
      </w:r>
    </w:p>
    <w:p w14:paraId="06D199C2" w14:textId="368F2F40" w:rsidR="000678BE" w:rsidRDefault="009134A5" w:rsidP="00A9785A">
      <w:pPr>
        <w:jc w:val="both"/>
      </w:pPr>
      <w:r>
        <w:t xml:space="preserve">Darbingo amžiaus žmonės su nustatytu 45 </w:t>
      </w:r>
      <w:r w:rsidR="00BE1444">
        <w:rPr>
          <w:rFonts w:cs="Arial"/>
        </w:rPr>
        <w:t>proc.</w:t>
      </w:r>
      <w:r w:rsidR="00BE1444">
        <w:t xml:space="preserve"> </w:t>
      </w:r>
      <w:r>
        <w:t>netektu dalyvumu, turi daugiau galimybių integruotis į darbo rinką, todėl jiems taikomas mažiausias daugiklis</w:t>
      </w:r>
      <w:r w:rsidR="003C639D">
        <w:t xml:space="preserve">. Sukakę senatvės pensijos amžių asmenys su tokiu pat </w:t>
      </w:r>
      <w:r w:rsidR="006F1A1F">
        <w:t xml:space="preserve">netekto dalyvumo </w:t>
      </w:r>
      <w:r w:rsidR="00362057">
        <w:t xml:space="preserve">proc. </w:t>
      </w:r>
      <w:r w:rsidR="003C639D">
        <w:t xml:space="preserve">turi kur kas mažesnes integracijos į darbo rinką galimybes, todėl jiems gali būti </w:t>
      </w:r>
      <w:r w:rsidR="006F1A1F">
        <w:t>mokam</w:t>
      </w:r>
      <w:r w:rsidR="00362057">
        <w:t>a</w:t>
      </w:r>
      <w:r w:rsidR="006F1A1F">
        <w:t xml:space="preserve"> didesnė senatvės pensija. Tačiau </w:t>
      </w:r>
      <w:r w:rsidR="000259F5">
        <w:t>tokiu atveju papildomas</w:t>
      </w:r>
      <w:r w:rsidR="009F2F66">
        <w:t xml:space="preserve">, pareiškėjos siūlomas </w:t>
      </w:r>
      <w:r w:rsidR="000259F5">
        <w:t xml:space="preserve">senatvės pensijos </w:t>
      </w:r>
      <w:r w:rsidR="009F2F66">
        <w:t xml:space="preserve">asmeniui su negalia </w:t>
      </w:r>
      <w:r w:rsidR="000259F5">
        <w:t xml:space="preserve">didinimas </w:t>
      </w:r>
      <w:r w:rsidR="009F2F66">
        <w:t xml:space="preserve">dėl lengviausios </w:t>
      </w:r>
      <w:r w:rsidR="006F1A1F">
        <w:t xml:space="preserve">negalios, </w:t>
      </w:r>
      <w:r w:rsidR="000259F5">
        <w:t xml:space="preserve">galimai pažeistų lygiateisiškumo principą  darbingo </w:t>
      </w:r>
      <w:r w:rsidR="006F1A1F">
        <w:t xml:space="preserve">amžiaus žmonių </w:t>
      </w:r>
      <w:r w:rsidR="000259F5">
        <w:t>atžvilgiu</w:t>
      </w:r>
      <w:r w:rsidR="006F1A1F">
        <w:t>.</w:t>
      </w:r>
    </w:p>
    <w:p w14:paraId="3E1A73C9" w14:textId="6B032E6A" w:rsidR="00A82906" w:rsidRDefault="00BC7319" w:rsidP="00A9785A">
      <w:pPr>
        <w:jc w:val="both"/>
      </w:pPr>
      <w:r w:rsidRPr="000A2358">
        <w:rPr>
          <w:sz w:val="27"/>
          <w:szCs w:val="27"/>
        </w:rPr>
        <w:t>Įvertinus</w:t>
      </w:r>
      <w:r w:rsidR="000259F5">
        <w:rPr>
          <w:sz w:val="27"/>
          <w:szCs w:val="27"/>
        </w:rPr>
        <w:t xml:space="preserve"> </w:t>
      </w:r>
      <w:r w:rsidRPr="000A2358">
        <w:rPr>
          <w:sz w:val="27"/>
          <w:szCs w:val="27"/>
        </w:rPr>
        <w:t>visa</w:t>
      </w:r>
      <w:r w:rsidR="000259F5">
        <w:rPr>
          <w:sz w:val="27"/>
          <w:szCs w:val="27"/>
        </w:rPr>
        <w:t xml:space="preserve"> </w:t>
      </w:r>
      <w:r w:rsidRPr="000A2358">
        <w:rPr>
          <w:sz w:val="27"/>
          <w:szCs w:val="27"/>
        </w:rPr>
        <w:t>tai,</w:t>
      </w:r>
      <w:r w:rsidR="000259F5">
        <w:rPr>
          <w:sz w:val="27"/>
          <w:szCs w:val="27"/>
        </w:rPr>
        <w:t xml:space="preserve"> </w:t>
      </w:r>
      <w:r w:rsidRPr="000A2358">
        <w:rPr>
          <w:sz w:val="27"/>
          <w:szCs w:val="27"/>
        </w:rPr>
        <w:t xml:space="preserve">kas išdėstyta, ministerijos nuomone, Inos Deren pasiūlymas keisti </w:t>
      </w:r>
      <w:r w:rsidR="00D626FE">
        <w:rPr>
          <w:sz w:val="27"/>
          <w:szCs w:val="27"/>
        </w:rPr>
        <w:t>P</w:t>
      </w:r>
      <w:r w:rsidRPr="000A2358">
        <w:rPr>
          <w:sz w:val="27"/>
          <w:szCs w:val="27"/>
        </w:rPr>
        <w:t>ensijų įstatymo nuostatas</w:t>
      </w:r>
      <w:r w:rsidR="00CA37A6">
        <w:rPr>
          <w:sz w:val="27"/>
          <w:szCs w:val="27"/>
        </w:rPr>
        <w:t xml:space="preserve">, kai su tokiu pat nustatytu netekto </w:t>
      </w:r>
      <w:r w:rsidR="00CA37A6">
        <w:rPr>
          <w:sz w:val="27"/>
          <w:szCs w:val="27"/>
        </w:rPr>
        <w:lastRenderedPageBreak/>
        <w:t xml:space="preserve">dalyvumo procentu asmenų </w:t>
      </w:r>
      <w:r w:rsidR="00BE1444">
        <w:rPr>
          <w:sz w:val="27"/>
          <w:szCs w:val="27"/>
        </w:rPr>
        <w:t xml:space="preserve">negalios </w:t>
      </w:r>
      <w:r w:rsidR="00CA37A6">
        <w:rPr>
          <w:sz w:val="27"/>
          <w:szCs w:val="27"/>
        </w:rPr>
        <w:t>pensij</w:t>
      </w:r>
      <w:r w:rsidR="00910860">
        <w:rPr>
          <w:sz w:val="27"/>
          <w:szCs w:val="27"/>
        </w:rPr>
        <w:t>os skirtųsi vien dėl to, kad vienas iš jų yra sukakęs senatvės pensijos amžių</w:t>
      </w:r>
      <w:r w:rsidR="00E11C9F">
        <w:rPr>
          <w:sz w:val="27"/>
          <w:szCs w:val="27"/>
        </w:rPr>
        <w:t xml:space="preserve">, diskriminuotų darbingo amžiaus asmenis. Jei būtų peržiūrėti visi netekto dalyvumo daugikliai, juos tektų taikyti visiems, </w:t>
      </w:r>
      <w:r w:rsidR="00FB17AA">
        <w:rPr>
          <w:sz w:val="27"/>
          <w:szCs w:val="27"/>
        </w:rPr>
        <w:t>o tai reikštų ir visų gaunamų negalios pensijų, ir senatvės pensijų asmenims su negalia perskaič</w:t>
      </w:r>
      <w:r w:rsidR="008C7DC5">
        <w:rPr>
          <w:sz w:val="27"/>
          <w:szCs w:val="27"/>
        </w:rPr>
        <w:t xml:space="preserve">iavimą, kas savo ruožtu reikštų didesnes išlaidas, nei nurodo pareiškėja, o taip pat prieštarautų Valstybės kontrolės išvadai, kad negalios pensijų dydžiai </w:t>
      </w:r>
      <w:r w:rsidR="00795462">
        <w:rPr>
          <w:sz w:val="27"/>
          <w:szCs w:val="27"/>
        </w:rPr>
        <w:t xml:space="preserve">turi būti didinami tik tiems, kas negali grįžti į darbo rinką, o visiems kitiems jie turi būti tolygiai mažinami. </w:t>
      </w:r>
    </w:p>
    <w:p w14:paraId="70707629" w14:textId="77777777" w:rsidR="00A82906" w:rsidRDefault="00A82906" w:rsidP="002226FC"/>
    <w:p w14:paraId="425D3100" w14:textId="0C2DAAAA" w:rsidR="007F6F3E" w:rsidRDefault="007F6F3E" w:rsidP="002226FC"/>
    <w:p w14:paraId="4EF8F12E" w14:textId="77777777" w:rsidR="007F6F3E" w:rsidRPr="002226FC" w:rsidRDefault="007F6F3E" w:rsidP="002226FC"/>
    <w:p w14:paraId="3DE1161E" w14:textId="0C1DC1E1" w:rsidR="00A82906" w:rsidRDefault="0091217A" w:rsidP="0069433F">
      <w:pPr>
        <w:tabs>
          <w:tab w:val="right" w:pos="9214"/>
        </w:tabs>
        <w:spacing w:after="840" w:line="24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Viceministras </w:t>
      </w:r>
      <w:r>
        <w:rPr>
          <w:rFonts w:cs="Arial"/>
          <w:szCs w:val="28"/>
        </w:rPr>
        <w:tab/>
        <w:t>Saulius Davainis</w:t>
      </w:r>
    </w:p>
    <w:p w14:paraId="3186D66F" w14:textId="77777777" w:rsidR="00A82906" w:rsidRDefault="00A82906" w:rsidP="0069433F">
      <w:pPr>
        <w:tabs>
          <w:tab w:val="right" w:pos="9214"/>
        </w:tabs>
        <w:spacing w:after="840" w:line="240" w:lineRule="auto"/>
        <w:ind w:firstLine="0"/>
        <w:rPr>
          <w:rFonts w:cs="Arial"/>
          <w:szCs w:val="28"/>
        </w:rPr>
      </w:pPr>
    </w:p>
    <w:p w14:paraId="6EAE27AF" w14:textId="77777777" w:rsidR="00A82906" w:rsidRDefault="00A82906" w:rsidP="0069433F">
      <w:pPr>
        <w:tabs>
          <w:tab w:val="right" w:pos="9214"/>
        </w:tabs>
        <w:spacing w:after="840" w:line="240" w:lineRule="auto"/>
        <w:ind w:firstLine="0"/>
        <w:rPr>
          <w:rFonts w:cs="Arial"/>
          <w:szCs w:val="28"/>
        </w:rPr>
      </w:pPr>
    </w:p>
    <w:p w14:paraId="5D3FB9D9" w14:textId="77777777" w:rsidR="00A82906" w:rsidRDefault="00A82906" w:rsidP="0069433F">
      <w:pPr>
        <w:tabs>
          <w:tab w:val="right" w:pos="9214"/>
        </w:tabs>
        <w:spacing w:after="840" w:line="240" w:lineRule="auto"/>
        <w:ind w:firstLine="0"/>
        <w:rPr>
          <w:rFonts w:cs="Arial"/>
          <w:szCs w:val="28"/>
        </w:rPr>
      </w:pPr>
    </w:p>
    <w:p w14:paraId="0412B28B" w14:textId="77777777" w:rsidR="00A82906" w:rsidRDefault="00A82906" w:rsidP="0069433F">
      <w:pPr>
        <w:tabs>
          <w:tab w:val="right" w:pos="9214"/>
        </w:tabs>
        <w:spacing w:after="840" w:line="240" w:lineRule="auto"/>
        <w:ind w:firstLine="0"/>
        <w:rPr>
          <w:rFonts w:cs="Arial"/>
          <w:szCs w:val="28"/>
        </w:rPr>
      </w:pPr>
    </w:p>
    <w:p w14:paraId="04920B08" w14:textId="70C9AD85" w:rsidR="00C54544" w:rsidRPr="00C54544" w:rsidRDefault="00C54544" w:rsidP="0069433F">
      <w:pPr>
        <w:tabs>
          <w:tab w:val="right" w:pos="9214"/>
        </w:tabs>
        <w:spacing w:after="840" w:line="240" w:lineRule="auto"/>
        <w:ind w:firstLine="0"/>
        <w:rPr>
          <w:rFonts w:cs="Arial"/>
          <w:szCs w:val="28"/>
        </w:rPr>
      </w:pPr>
      <w:r w:rsidRPr="00C54544">
        <w:rPr>
          <w:rFonts w:cs="Arial"/>
          <w:szCs w:val="28"/>
        </w:rPr>
        <w:tab/>
      </w:r>
    </w:p>
    <w:p w14:paraId="0D7E92B9" w14:textId="66CB8362" w:rsidR="00C54544" w:rsidRPr="00C54544" w:rsidRDefault="00933413" w:rsidP="32D046AB">
      <w:pPr>
        <w:tabs>
          <w:tab w:val="left" w:pos="4110"/>
        </w:tabs>
        <w:spacing w:line="240" w:lineRule="auto"/>
        <w:ind w:firstLine="0"/>
        <w:rPr>
          <w:rFonts w:cs="Arial"/>
          <w:color w:val="000000"/>
        </w:rPr>
      </w:pPr>
      <w:r>
        <w:rPr>
          <w:rFonts w:cs="Arial"/>
          <w:color w:val="000000" w:themeColor="text1"/>
        </w:rPr>
        <w:t>Rita Babianskaitė</w:t>
      </w:r>
      <w:r w:rsidR="00C54544" w:rsidRPr="32D046AB">
        <w:rPr>
          <w:rFonts w:cs="Arial"/>
          <w:color w:val="000000" w:themeColor="text1"/>
        </w:rPr>
        <w:t>, tel. +370</w:t>
      </w:r>
      <w:r>
        <w:rPr>
          <w:rFonts w:cs="Arial"/>
          <w:color w:val="000000" w:themeColor="text1"/>
        </w:rPr>
        <w:t> 611</w:t>
      </w:r>
      <w:r w:rsidR="00C54544" w:rsidRPr="32D046AB">
        <w:rPr>
          <w:rFonts w:cs="Arial"/>
          <w:color w:val="000000" w:themeColor="text1"/>
        </w:rPr>
        <w:t> </w:t>
      </w:r>
      <w:r>
        <w:rPr>
          <w:rFonts w:cs="Arial"/>
          <w:color w:val="000000" w:themeColor="text1"/>
        </w:rPr>
        <w:t>53492</w:t>
      </w:r>
      <w:r w:rsidR="00C54544" w:rsidRPr="32D046AB">
        <w:rPr>
          <w:rFonts w:cs="Arial"/>
          <w:color w:val="000000" w:themeColor="text1"/>
        </w:rPr>
        <w:t xml:space="preserve">; el. p. </w:t>
      </w:r>
      <w:r w:rsidR="00A82906">
        <w:rPr>
          <w:rFonts w:cs="Arial"/>
          <w:color w:val="000000" w:themeColor="text1"/>
        </w:rPr>
        <w:t>rita.babianskaite</w:t>
      </w:r>
      <w:r w:rsidR="009B729A" w:rsidRPr="32D046AB">
        <w:rPr>
          <w:rFonts w:cs="Arial"/>
          <w:color w:val="000000" w:themeColor="text1"/>
        </w:rPr>
        <w:t>@socmin.l</w:t>
      </w:r>
      <w:r w:rsidR="00A82906">
        <w:rPr>
          <w:rFonts w:cs="Arial"/>
          <w:color w:val="000000" w:themeColor="text1"/>
        </w:rPr>
        <w:t>t</w:t>
      </w:r>
      <w:r w:rsidR="00A82906" w:rsidRPr="00C54544">
        <w:rPr>
          <w:rFonts w:cs="Arial"/>
          <w:color w:val="000000"/>
        </w:rPr>
        <w:t xml:space="preserve"> </w:t>
      </w:r>
    </w:p>
    <w:sectPr w:rsidR="00C54544" w:rsidRPr="00C54544" w:rsidSect="00FA4300">
      <w:headerReference w:type="even" r:id="rId13"/>
      <w:footerReference w:type="even" r:id="rId14"/>
      <w:footerReference w:type="default" r:id="rId15"/>
      <w:footerReference w:type="first" r:id="rId16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B0826" w14:textId="77777777" w:rsidR="00AA139E" w:rsidRDefault="00AA139E">
      <w:r>
        <w:separator/>
      </w:r>
    </w:p>
  </w:endnote>
  <w:endnote w:type="continuationSeparator" w:id="0">
    <w:p w14:paraId="6EC5124C" w14:textId="77777777" w:rsidR="00AA139E" w:rsidRDefault="00AA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D1DE3" w14:textId="14D5BB74" w:rsidR="006616F8" w:rsidRDefault="00F57895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8518D8" wp14:editId="678BE5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80355" cy="384175"/>
              <wp:effectExtent l="0" t="0" r="10795" b="0"/>
              <wp:wrapNone/>
              <wp:docPr id="47864811" name="Teksto laukas 5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035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38168" w14:textId="7318596E" w:rsidR="00F57895" w:rsidRPr="00F57895" w:rsidRDefault="00F57895" w:rsidP="00F578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F578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8518D8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Bendram naudojimui" style="position:absolute;left:0;text-align:left;margin-left:0;margin-top:0;width:423.65pt;height:30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SjVUEAIAABsEAAAOAAAAZHJzL2Uyb0RvYy54bWysU8Fu2zAMvQ/YPwi6L3aSesuMOEXWIsOA oi2QDj0rshQbkERBUmJnXz9KdpKt22nYRaZI+pF8fFre9lqRo3C+BVPR6SSnRBgOdWv2Ff3+svmw oMQHZmqmwIiKnoSnt6v375adLcUMGlC1cARBjC87W9EmBFtmmeeN0MxPwAqDQQlOs4BXt89qxzpE 1yqb5fnHrANXWwdceI/e+yFIVwlfSsHDk5ReBKIqir2FdLp07uKZrZas3Dtmm5aPbbB/6EKz1mDR C9Q9C4wcXPsHlG65Aw8yTDjoDKRsuUgz4DTT/M0024ZZkWZBcry90OT/Hyx/PG7tsyOh/wI9LjAS 0llfenTGeXrpdPxipwTjSOHpQpvoA+HoLOaLfF4UlHCMzRc3009FhMmuf1vnw1cBmkSjog7Xkthi xwcfhtRzSixmYNMqlVajzG8OxIye7NpitEK/68e+d1CfcBwHw6a95ZsWaz4wH56Zw9XiBCjX8ISH VNBVFEaLkgbcj7/5Yz4yjlFKOpRKRQ1qmRL1zeAmZsVNnkdppRsa7mzskjH9nBcxbg76DlCFU3wQ liczJgd1NqUD/YpqXsdqGGKGY82K7s7mXRiEi6+Bi/U6JaGKLAsPZmt5hI5kRSZf+lfm7Eh3wEU9 wllMrHzD+pAb//R2fQjIfVpJJHZgc+QbFZiWOr6WKPFf7ynr+qZXPwEAAP//AwBQSwMEFAAGAAgA AAAhALL7Zw/aAAAABAEAAA8AAABkcnMvZG93bnJldi54bWxMj01PwzAMhu9I+w+RkbixlAHdVJpO E1/iuoI0jmnjNdUap2uyrfx7DJftYsl6Xz1+nC9H14kjDqH1pOBumoBAqr1pqVHw9fl2uwARoiaj O0+o4AcDLIvJVa4z40+0xmMZG8EQCplWYGPsMylDbdHpMPU9EmdbPzgdeR0aaQZ9Yrjr5CxJUul0 S3zB6h6fLda78uAUpC/vK9tv0u/9dhY+QuV3sfSvSt1cj6snEBHHeC7Dnz6rQ8FOlT+QCaJTwI/E /8nZ4mF+D6JicPIIssjlpXzxCwAA//8DAFBLAQItABQABgAIAAAAIQC2gziS/gAAAOEBAAATAAAA AAAAAAAAAAAAAAAAAABbQ29udGVudF9UeXBlc10ueG1sUEsBAi0AFAAGAAgAAAAhADj9If/WAAAA lAEAAAsAAAAAAAAAAAAAAAAALwEAAF9yZWxzLy5yZWxzUEsBAi0AFAAGAAgAAAAhANhKNVQQAgAA GwQAAA4AAAAAAAAAAAAAAAAALgIAAGRycy9lMm9Eb2MueG1sUEsBAi0AFAAGAAgAAAAhALL7Zw/a AAAABAEAAA8AAAAAAAAAAAAAAAAAagQAAGRycy9kb3ducmV2LnhtbFBLBQYAAAAABAAEAPMAAABx BQAAAAA= " filled="f" stroked="f">
              <v:textbox style="mso-fit-shape-to-text:t" inset="20pt,0,0,15pt">
                <w:txbxContent>
                  <w:p w14:paraId="5ED38168" w14:textId="7318596E" w:rsidR="00F57895" w:rsidRPr="00F57895" w:rsidRDefault="00F57895" w:rsidP="00F5789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F5789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D349F" w14:textId="76625C00" w:rsidR="006616F8" w:rsidRDefault="00F57895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70689B" wp14:editId="43A499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80355" cy="384175"/>
              <wp:effectExtent l="0" t="0" r="10795" b="0"/>
              <wp:wrapNone/>
              <wp:docPr id="1419995499" name="Teksto laukas 6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035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6EAD3" w14:textId="29BB58C6" w:rsidR="00F57895" w:rsidRPr="00F57895" w:rsidRDefault="00F57895" w:rsidP="00F578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F578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0689B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Bendram naudojimui" style="position:absolute;left:0;text-align:left;margin-left:0;margin-top:0;width:423.65pt;height:30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KqsGEgIAACIEAAAOAAAAZHJzL2Uyb0RvYy54bWysU8tu2zAQvBfoPxC815LtqHUFy4GbwEUB IwngFDnTFGkJILkESVtyv75Lyo8k7anohVrurvYxM5zf9lqRg3C+BVPR8SinRBgOdWt2Ff35vPo0 o8QHZmqmwIiKHoWnt4uPH+adLcUEGlC1cASLGF92tqJNCLbMMs8boZkfgRUGgxKcZgGvbpfVjnVY Xatskuefsw5cbR1w4T1674cgXaT6UgoeHqX0IhBVUZwtpNOlcxvPbDFn5c4x27T8NAb7hyk0aw02 vZS6Z4GRvWv/KKVb7sCDDCMOOgMpWy7SDrjNOH+3zaZhVqRdEBxvLzD5/1eWPxw29smR0H+DHgmM gHTWlx6dcZ9eOh2/OCnBOEJ4vMAm+kA4OovpLJ8WBSUcY9PZzfhLEctk17+t8+G7AE2iUVGHtCS0 2GHtw5B6TonNDKxapRI1yrxxYM3oya4jRiv025609avxt1AfcSsHA+He8lWLrdfMhyfmkGFcBFUb HvGQCrqKwsmipAH362/+mI/AY5SSDhVTUYOSpkT9MEjIpLjJ86iwdEPDnY1tMsZf8yLGzV7fAYpx jO/C8mTG5KDOpnSgX1DUy9gNQ8xw7FnR7dm8C4N+8VFwsVymJBSTZWFtNpbH0hGzCOhz/8KcPaEe kK8HOGuKle/AH3Ljn94u9wEpSMxEfAc0T7CjEBO3p0cTlf76nrKuT3vxGwAA//8DAFBLAwQUAAYA CAAAACEAsvtnD9oAAAAEAQAADwAAAGRycy9kb3ducmV2LnhtbEyPTU/DMAyG70j7D5GRuLGUAd1U mk4TX+K6gjSOaeM11Rqna7Kt/HsMl+1iyXpfPX6cL0fXiSMOofWk4G6agECqvWmpUfD1+Xa7ABGi JqM7T6jgBwMsi8lVrjPjT7TGYxkbwRAKmVZgY+wzKUNt0ekw9T0SZ1s/OB15HRppBn1iuOvkLElS 6XRLfMHqHp8t1rvy4BSkL+8r22/S7/12Fj5C5Xex9K9K3VyPqycQEcd4LsOfPqtDwU6VP5AJolPA j8T/ydniYX4PomJw8giyyOWlfPELAAD//wMAUEsBAi0AFAAGAAgAAAAhALaDOJL+AAAA4QEAABMA AAAAAAAAAAAAAAAAAAAAAFtDb250ZW50X1R5cGVzXS54bWxQSwECLQAUAAYACAAAACEAOP0h/9YA AACUAQAACwAAAAAAAAAAAAAAAAAvAQAAX3JlbHMvLnJlbHNQSwECLQAUAAYACAAAACEAnSqrBhIC AAAiBAAADgAAAAAAAAAAAAAAAAAuAgAAZHJzL2Uyb0RvYy54bWxQSwECLQAUAAYACAAAACEAsvtn D9oAAAAEAQAADwAAAAAAAAAAAAAAAABsBAAAZHJzL2Rvd25yZXYueG1sUEsFBgAAAAAEAAQA8wAA AHMFAAAAAA== " filled="f" stroked="f">
              <v:textbox style="mso-fit-shape-to-text:t" inset="20pt,0,0,15pt">
                <w:txbxContent>
                  <w:p w14:paraId="2596EAD3" w14:textId="29BB58C6" w:rsidR="00F57895" w:rsidRPr="00F57895" w:rsidRDefault="00F57895" w:rsidP="00F5789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F5789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3F7407" w14:paraId="6970C24B" w14:textId="7D3E036C" w:rsidTr="00697BF5">
      <w:tc>
        <w:tcPr>
          <w:tcW w:w="3686" w:type="dxa"/>
        </w:tcPr>
        <w:p w14:paraId="7388193E" w14:textId="7E985A5A" w:rsidR="00EC2BB3" w:rsidRPr="00716DFB" w:rsidRDefault="00F57895" w:rsidP="00716DFB">
          <w:pPr>
            <w:pStyle w:val="Antrats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noProof/>
              <w:sz w:val="12"/>
              <w:szCs w:val="12"/>
              <w:lang w:eastAsia="lt-LT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35CF2AA1" wp14:editId="5BB260C5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5380355" cy="384175"/>
                    <wp:effectExtent l="0" t="0" r="10795" b="0"/>
                    <wp:wrapNone/>
                    <wp:docPr id="129249849" name="Teksto laukas 4" descr="Socialinės apsaugos ir darbo ministerija bei pavaldžios įstaigos | Bendram naudojimui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80355" cy="384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12596E" w14:textId="4FFDCE51" w:rsidR="00F57895" w:rsidRPr="00F57895" w:rsidRDefault="00F57895" w:rsidP="00F57895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F57895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</w:rPr>
                                  <w:t>Socialinės apsaugos ir darbo ministerija bei pavaldžios įstaigos | Bendram naudojimui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35CF2AA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o laukas 4" o:spid="_x0000_s1028" type="#_x0000_t202" alt="Socialinės apsaugos ir darbo ministerija bei pavaldžios įstaigos | Bendram naudojimui" style="position:absolute;left:0;text-align:left;margin-left:0;margin-top:0;width:423.65pt;height:30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vFhEFAIAACIEAAAOAAAAZHJzL2Uyb0RvYy54bWysU01v2zAMvQ/YfxB0X+wk9ZYZcYqsRYYB RVsgHXpWZCk2IImCpMTOfv0oOU62bqdhF5kiaX6897S87bUiR+F8C6ai00lOiTAc6tbsK/r9ZfNh QYkPzNRMgREVPQlPb1fv3y07W4oZNKBq4QgWMb7sbEWbEGyZZZ43QjM/ASsMBiU4zQJe3T6rHeuw ulbZLM8/Zh242jrgwnv03g9Bukr1pRQ8PEnpRSCqojhbSKdL5y6e2WrJyr1jtmn5eQz2D1No1hps eil1zwIjB9f+UUq33IEHGSYcdAZStlykHXCbaf5mm23DrEi7IDjeXmDy/68sfzxu7bMjof8CPRIY AemsLz064z69dDp+cVKCcYTwdIFN9IFwdBbzRT4vCko4xuaLm+mnIpbJrn9b58NXAZpEo6IOaUlo seODD0PqmBKbGdi0SiVqlPnNgTWjJ7uOGK3Q73rS1hWdjePvoD7hVg4Gwr3lmxZbPzAfnplDhnER VG14wkMq6CoKZ4uSBtyPv/ljPgKPUUo6VExFDUqaEvXNICGz4ibPo8LSDQ03GrtkTD/nRYybg74D FOMU34XlyYzJQY2mdKBfUdTr2A1DzHDsWdHdaN6FQb/4KLhYr1MSismy8GC2lsfSEbMI6Ev/ypw9 ox6Qr0cYNcXKN+APufFPb9eHgBQkZiK+A5pn2FGIidvzo4lK//Wesq5Pe/UTAAD//wMAUEsDBBQA BgAIAAAAIQCy+2cP2gAAAAQBAAAPAAAAZHJzL2Rvd25yZXYueG1sTI9NT8MwDIbvSPsPkZG4sZQB 3VSaThNf4rqCNI5p4zXVGqdrsq38ewyX7WLJel89fpwvR9eJIw6h9aTgbpqAQKq9aalR8PX5drsA EaImoztPqOAHAyyLyVWuM+NPtMZjGRvBEAqZVmBj7DMpQ23R6TD1PRJnWz84HXkdGmkGfWK46+Qs SVLpdEt8weoeny3Wu/LgFKQv7yvbb9Lv/XYWPkLld7H0r0rdXI+rJxARx3guw58+q0PBTpU/kAmi U8CPxP/J2eJhfg+iYnDyCLLI5aV88QsAAP//AwBQSwECLQAUAAYACAAAACEAtoM4kv4AAADhAQAA EwAAAAAAAAAAAAAAAAAAAAAAW0NvbnRlbnRfVHlwZXNdLnhtbFBLAQItABQABgAIAAAAIQA4/SH/ 1gAAAJQBAAALAAAAAAAAAAAAAAAAAC8BAABfcmVscy8ucmVsc1BLAQItABQABgAIAAAAIQDMvFhE FAIAACIEAAAOAAAAAAAAAAAAAAAAAC4CAABkcnMvZTJvRG9jLnhtbFBLAQItABQABgAIAAAAIQCy +2cP2gAAAAQBAAAPAAAAAAAAAAAAAAAAAG4EAABkcnMvZG93bnJldi54bWxQSwUGAAAAAAQABADz AAAAdQUAAAAA " filled="f" stroked="f">
                    <v:textbox style="mso-fit-shape-to-text:t" inset="20pt,0,0,15pt">
                      <w:txbxContent>
                        <w:p w14:paraId="7912596E" w14:textId="4FFDCE51" w:rsidR="00F57895" w:rsidRPr="00F57895" w:rsidRDefault="00F57895" w:rsidP="00F578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F578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0933018" w14:textId="045B473D" w:rsidR="00FA4300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F20AE4">
            <w:rPr>
              <w:rFonts w:cs="Arial"/>
              <w:sz w:val="20"/>
            </w:rPr>
            <w:t xml:space="preserve">Biudžetinė įstaiga </w:t>
          </w:r>
        </w:p>
        <w:p w14:paraId="29A8BB99" w14:textId="74E15A8A" w:rsidR="00FA4300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101F9">
            <w:rPr>
              <w:rFonts w:cs="Arial"/>
              <w:sz w:val="20"/>
            </w:rPr>
            <w:t>A.</w:t>
          </w:r>
          <w:r>
            <w:rPr>
              <w:rFonts w:cs="Arial"/>
              <w:sz w:val="20"/>
            </w:rPr>
            <w:t xml:space="preserve"> </w:t>
          </w:r>
          <w:r w:rsidRPr="005101F9">
            <w:rPr>
              <w:rFonts w:cs="Arial"/>
              <w:sz w:val="20"/>
            </w:rPr>
            <w:t xml:space="preserve">Vivulskio g. 11, LT-03162 Vilnius </w:t>
          </w:r>
        </w:p>
        <w:p w14:paraId="2ECF87AB" w14:textId="49319CDF" w:rsidR="00EC2BB3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EC2BB3">
            <w:rPr>
              <w:rFonts w:cs="Arial"/>
              <w:sz w:val="20"/>
            </w:rPr>
            <w:t>Interneto svetainė</w:t>
          </w:r>
          <w:r>
            <w:rPr>
              <w:rFonts w:cs="Arial"/>
              <w:sz w:val="20"/>
            </w:rPr>
            <w:t xml:space="preserve">: </w:t>
          </w:r>
          <w:r w:rsidRPr="00CE0673">
            <w:rPr>
              <w:rFonts w:cs="Arial"/>
              <w:sz w:val="20"/>
            </w:rPr>
            <w:t>h</w:t>
          </w:r>
          <w:r w:rsidRPr="00CE0673">
            <w:rPr>
              <w:sz w:val="20"/>
            </w:rPr>
            <w:t>ttps://socmin.lrv.lt</w:t>
          </w:r>
          <w:r w:rsidR="00EC2BB3" w:rsidRPr="00F20AE4">
            <w:rPr>
              <w:rFonts w:cs="Arial"/>
              <w:sz w:val="20"/>
            </w:rPr>
            <w:t xml:space="preserve"> </w:t>
          </w:r>
        </w:p>
        <w:p w14:paraId="2BFB797F" w14:textId="3CC8A03D" w:rsidR="00EC2BB3" w:rsidRPr="00EC2BB3" w:rsidRDefault="00EC2BB3" w:rsidP="000A3E1E">
          <w:pPr>
            <w:pStyle w:val="Porat"/>
            <w:tabs>
              <w:tab w:val="left" w:pos="2940"/>
            </w:tabs>
            <w:ind w:firstLine="175"/>
            <w:rPr>
              <w:rFonts w:cs="Arial"/>
              <w:sz w:val="20"/>
            </w:rPr>
          </w:pPr>
        </w:p>
      </w:tc>
      <w:tc>
        <w:tcPr>
          <w:tcW w:w="3402" w:type="dxa"/>
        </w:tcPr>
        <w:p w14:paraId="10436BE6" w14:textId="77777777" w:rsidR="00EC2BB3" w:rsidRPr="005F0521" w:rsidRDefault="00EC2BB3" w:rsidP="00686D6D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/>
            <w:rPr>
              <w:rFonts w:cs="Arial"/>
              <w:sz w:val="12"/>
              <w:szCs w:val="12"/>
            </w:rPr>
          </w:pPr>
        </w:p>
        <w:p w14:paraId="32D00593" w14:textId="27BB34BE" w:rsidR="00FA4300" w:rsidRPr="00FA4300" w:rsidRDefault="00A76AEF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 w:firstLine="0"/>
            <w:rPr>
              <w:rFonts w:cs="Arial"/>
              <w:sz w:val="20"/>
              <w:lang w:val="en-GB"/>
            </w:rPr>
          </w:pPr>
          <w:r>
            <w:rPr>
              <w:rFonts w:cs="Arial"/>
              <w:sz w:val="20"/>
            </w:rPr>
            <w:t>T</w:t>
          </w:r>
          <w:r w:rsidR="00EC2BB3" w:rsidRPr="00F20AE4">
            <w:rPr>
              <w:rFonts w:cs="Arial"/>
              <w:sz w:val="20"/>
            </w:rPr>
            <w:t xml:space="preserve">el. </w:t>
          </w:r>
          <w:r w:rsidR="00FA4300" w:rsidRPr="00FA4300">
            <w:rPr>
              <w:rFonts w:cs="Arial"/>
              <w:sz w:val="20"/>
              <w:lang w:val="en-GB"/>
            </w:rPr>
            <w:t>+370 5 266 4201</w:t>
          </w:r>
        </w:p>
        <w:p w14:paraId="7172A67A" w14:textId="77777777" w:rsidR="00FA4300" w:rsidRPr="00FA4300" w:rsidRDefault="00FA4300" w:rsidP="00FA4300">
          <w:pPr>
            <w:pStyle w:val="Antrats"/>
            <w:ind w:firstLine="0"/>
            <w:rPr>
              <w:rFonts w:cs="Arial"/>
              <w:sz w:val="20"/>
            </w:rPr>
          </w:pPr>
          <w:r w:rsidRPr="00FA4300">
            <w:rPr>
              <w:rFonts w:cs="Arial"/>
              <w:sz w:val="20"/>
              <w:lang w:val="en-GB"/>
            </w:rPr>
            <w:t xml:space="preserve">E. pristatymas: </w:t>
          </w:r>
          <w:r w:rsidRPr="00FA4300">
            <w:rPr>
              <w:rFonts w:cs="Arial"/>
              <w:sz w:val="20"/>
            </w:rPr>
            <w:t>188603515</w:t>
          </w:r>
        </w:p>
        <w:p w14:paraId="39D0EBF2" w14:textId="56697A80" w:rsidR="00EC2BB3" w:rsidRDefault="00FA4300" w:rsidP="00FA4300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 w:firstLine="0"/>
            <w:rPr>
              <w:rFonts w:cs="Arial"/>
              <w:sz w:val="20"/>
              <w:lang w:val="en-GB"/>
            </w:rPr>
          </w:pPr>
          <w:r w:rsidRPr="00FA4300">
            <w:rPr>
              <w:rFonts w:cs="Arial"/>
              <w:sz w:val="20"/>
            </w:rPr>
            <w:t>El. p. post@socmin.lt</w:t>
          </w:r>
        </w:p>
        <w:p w14:paraId="77230AF8" w14:textId="4992ED23" w:rsidR="00EC2BB3" w:rsidRPr="00716DFB" w:rsidRDefault="00EC2BB3" w:rsidP="000A3E1E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8"/>
            <w:rPr>
              <w:rFonts w:cs="Arial"/>
              <w:sz w:val="12"/>
              <w:szCs w:val="12"/>
            </w:rPr>
          </w:pPr>
        </w:p>
      </w:tc>
      <w:tc>
        <w:tcPr>
          <w:tcW w:w="3118" w:type="dxa"/>
        </w:tcPr>
        <w:p w14:paraId="0192EE65" w14:textId="77777777" w:rsidR="00EC2BB3" w:rsidRPr="00EC2BB3" w:rsidRDefault="00EC2BB3" w:rsidP="00A96999">
          <w:pPr>
            <w:pStyle w:val="Porat"/>
            <w:tabs>
              <w:tab w:val="left" w:pos="2940"/>
            </w:tabs>
            <w:rPr>
              <w:rFonts w:cs="Arial"/>
              <w:sz w:val="12"/>
              <w:szCs w:val="12"/>
            </w:rPr>
          </w:pPr>
        </w:p>
        <w:p w14:paraId="1849CF8E" w14:textId="08B0CC1B" w:rsidR="00EC2BB3" w:rsidRDefault="00EC2BB3" w:rsidP="000A3E1E">
          <w:pPr>
            <w:pStyle w:val="Porat"/>
            <w:tabs>
              <w:tab w:val="left" w:pos="2940"/>
            </w:tabs>
            <w:spacing w:line="276" w:lineRule="auto"/>
            <w:ind w:firstLine="34"/>
            <w:rPr>
              <w:rFonts w:cs="Arial"/>
              <w:sz w:val="20"/>
            </w:rPr>
          </w:pPr>
          <w:r w:rsidRPr="00F20AE4">
            <w:rPr>
              <w:rFonts w:cs="Arial"/>
              <w:sz w:val="20"/>
            </w:rPr>
            <w:t>Duomenys kaupiami ir saugomi Juridinių asmenų registre</w:t>
          </w:r>
        </w:p>
        <w:p w14:paraId="4F163846" w14:textId="32C3FEEF" w:rsidR="00EC2BB3" w:rsidRPr="005F0521" w:rsidRDefault="00EC2BB3" w:rsidP="000A3E1E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4"/>
            <w:rPr>
              <w:rFonts w:cs="Arial"/>
              <w:sz w:val="12"/>
              <w:szCs w:val="12"/>
            </w:rPr>
          </w:pPr>
          <w:r>
            <w:rPr>
              <w:rFonts w:cs="Arial"/>
              <w:sz w:val="20"/>
            </w:rPr>
            <w:t>K</w:t>
          </w:r>
          <w:r w:rsidRPr="00F20AE4">
            <w:rPr>
              <w:rFonts w:cs="Arial"/>
              <w:sz w:val="20"/>
            </w:rPr>
            <w:t>odas 18860</w:t>
          </w:r>
          <w:r w:rsidR="009B729A">
            <w:rPr>
              <w:rFonts w:cs="Arial"/>
              <w:sz w:val="20"/>
            </w:rPr>
            <w:t>3515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17E7F" w14:textId="77777777" w:rsidR="00AA139E" w:rsidRDefault="00AA139E">
      <w:r>
        <w:separator/>
      </w:r>
    </w:p>
  </w:footnote>
  <w:footnote w:type="continuationSeparator" w:id="0">
    <w:p w14:paraId="08F11085" w14:textId="77777777" w:rsidR="00AA139E" w:rsidRDefault="00AA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17336"/>
    <w:rsid w:val="000204B9"/>
    <w:rsid w:val="00021EAD"/>
    <w:rsid w:val="000220C8"/>
    <w:rsid w:val="000253FF"/>
    <w:rsid w:val="000259F5"/>
    <w:rsid w:val="00032AAB"/>
    <w:rsid w:val="00033409"/>
    <w:rsid w:val="00036023"/>
    <w:rsid w:val="00040980"/>
    <w:rsid w:val="000410EF"/>
    <w:rsid w:val="000568FA"/>
    <w:rsid w:val="00056EB2"/>
    <w:rsid w:val="00060947"/>
    <w:rsid w:val="00062A9F"/>
    <w:rsid w:val="00063A6B"/>
    <w:rsid w:val="00065803"/>
    <w:rsid w:val="000678BE"/>
    <w:rsid w:val="000718AC"/>
    <w:rsid w:val="00076017"/>
    <w:rsid w:val="00076B1B"/>
    <w:rsid w:val="00077701"/>
    <w:rsid w:val="00080502"/>
    <w:rsid w:val="00083B4F"/>
    <w:rsid w:val="00083F4B"/>
    <w:rsid w:val="000856D1"/>
    <w:rsid w:val="0008699A"/>
    <w:rsid w:val="00094B05"/>
    <w:rsid w:val="00094F1C"/>
    <w:rsid w:val="00095BEB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0840"/>
    <w:rsid w:val="000D1D19"/>
    <w:rsid w:val="000D3B55"/>
    <w:rsid w:val="000D4675"/>
    <w:rsid w:val="000D5744"/>
    <w:rsid w:val="000E0D58"/>
    <w:rsid w:val="000E6AF3"/>
    <w:rsid w:val="000F6B96"/>
    <w:rsid w:val="000F6C2A"/>
    <w:rsid w:val="000F7A70"/>
    <w:rsid w:val="00102B27"/>
    <w:rsid w:val="001041E6"/>
    <w:rsid w:val="00114425"/>
    <w:rsid w:val="00122109"/>
    <w:rsid w:val="00125F2E"/>
    <w:rsid w:val="00127050"/>
    <w:rsid w:val="00131BF9"/>
    <w:rsid w:val="00132EDA"/>
    <w:rsid w:val="00133DEC"/>
    <w:rsid w:val="00146611"/>
    <w:rsid w:val="00150128"/>
    <w:rsid w:val="001517B7"/>
    <w:rsid w:val="00154371"/>
    <w:rsid w:val="001603AE"/>
    <w:rsid w:val="00160967"/>
    <w:rsid w:val="0017156E"/>
    <w:rsid w:val="001726FE"/>
    <w:rsid w:val="001734D4"/>
    <w:rsid w:val="001740C7"/>
    <w:rsid w:val="00174493"/>
    <w:rsid w:val="00175F7F"/>
    <w:rsid w:val="001772C7"/>
    <w:rsid w:val="00177FAF"/>
    <w:rsid w:val="00181559"/>
    <w:rsid w:val="00181954"/>
    <w:rsid w:val="00184C53"/>
    <w:rsid w:val="00184F75"/>
    <w:rsid w:val="001A0974"/>
    <w:rsid w:val="001A206B"/>
    <w:rsid w:val="001A650B"/>
    <w:rsid w:val="001A6B94"/>
    <w:rsid w:val="001B6256"/>
    <w:rsid w:val="001C0186"/>
    <w:rsid w:val="001C0369"/>
    <w:rsid w:val="001C2488"/>
    <w:rsid w:val="001C2F89"/>
    <w:rsid w:val="001D5A8D"/>
    <w:rsid w:val="001E495A"/>
    <w:rsid w:val="001E7097"/>
    <w:rsid w:val="001F56E6"/>
    <w:rsid w:val="001F5F9A"/>
    <w:rsid w:val="001F6203"/>
    <w:rsid w:val="00200397"/>
    <w:rsid w:val="002013BD"/>
    <w:rsid w:val="0020191D"/>
    <w:rsid w:val="00201D05"/>
    <w:rsid w:val="0020511E"/>
    <w:rsid w:val="00207DD4"/>
    <w:rsid w:val="00207F74"/>
    <w:rsid w:val="00211096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45788"/>
    <w:rsid w:val="0025002E"/>
    <w:rsid w:val="00255FE6"/>
    <w:rsid w:val="00260AE6"/>
    <w:rsid w:val="00260FB2"/>
    <w:rsid w:val="00262E8A"/>
    <w:rsid w:val="00266ED1"/>
    <w:rsid w:val="00280887"/>
    <w:rsid w:val="00282882"/>
    <w:rsid w:val="00285682"/>
    <w:rsid w:val="0029088C"/>
    <w:rsid w:val="0029750F"/>
    <w:rsid w:val="002A0523"/>
    <w:rsid w:val="002C6FAF"/>
    <w:rsid w:val="002E3099"/>
    <w:rsid w:val="002E4BC4"/>
    <w:rsid w:val="002F1695"/>
    <w:rsid w:val="002F1FD0"/>
    <w:rsid w:val="002F50A7"/>
    <w:rsid w:val="002F5342"/>
    <w:rsid w:val="002F7C50"/>
    <w:rsid w:val="00304EBB"/>
    <w:rsid w:val="00312C06"/>
    <w:rsid w:val="003428D6"/>
    <w:rsid w:val="003431EB"/>
    <w:rsid w:val="00344870"/>
    <w:rsid w:val="0034605F"/>
    <w:rsid w:val="00346EF8"/>
    <w:rsid w:val="00352B73"/>
    <w:rsid w:val="00352C9E"/>
    <w:rsid w:val="00353F08"/>
    <w:rsid w:val="003578D8"/>
    <w:rsid w:val="00362057"/>
    <w:rsid w:val="00366E5B"/>
    <w:rsid w:val="00367C65"/>
    <w:rsid w:val="00370E74"/>
    <w:rsid w:val="00370EB0"/>
    <w:rsid w:val="00374C69"/>
    <w:rsid w:val="00390360"/>
    <w:rsid w:val="00394CDD"/>
    <w:rsid w:val="003A006E"/>
    <w:rsid w:val="003A6EC6"/>
    <w:rsid w:val="003B6EB3"/>
    <w:rsid w:val="003C11FF"/>
    <w:rsid w:val="003C15EA"/>
    <w:rsid w:val="003C639D"/>
    <w:rsid w:val="003D015C"/>
    <w:rsid w:val="003D028D"/>
    <w:rsid w:val="003D100E"/>
    <w:rsid w:val="003D22B4"/>
    <w:rsid w:val="003E1903"/>
    <w:rsid w:val="003F7407"/>
    <w:rsid w:val="00402093"/>
    <w:rsid w:val="0040271A"/>
    <w:rsid w:val="00406C7A"/>
    <w:rsid w:val="00407DE0"/>
    <w:rsid w:val="00410300"/>
    <w:rsid w:val="00411668"/>
    <w:rsid w:val="00424C2D"/>
    <w:rsid w:val="00427E50"/>
    <w:rsid w:val="004300F0"/>
    <w:rsid w:val="00431017"/>
    <w:rsid w:val="00431AE1"/>
    <w:rsid w:val="0043463D"/>
    <w:rsid w:val="00455013"/>
    <w:rsid w:val="00461E44"/>
    <w:rsid w:val="00463967"/>
    <w:rsid w:val="00471D54"/>
    <w:rsid w:val="00475260"/>
    <w:rsid w:val="00477643"/>
    <w:rsid w:val="004810F3"/>
    <w:rsid w:val="00494835"/>
    <w:rsid w:val="004A1995"/>
    <w:rsid w:val="004A24B2"/>
    <w:rsid w:val="004A7DDB"/>
    <w:rsid w:val="004B453C"/>
    <w:rsid w:val="004B707F"/>
    <w:rsid w:val="004C6841"/>
    <w:rsid w:val="004C6F32"/>
    <w:rsid w:val="004D0681"/>
    <w:rsid w:val="004E358A"/>
    <w:rsid w:val="004E3D64"/>
    <w:rsid w:val="004E4D60"/>
    <w:rsid w:val="004E6E4A"/>
    <w:rsid w:val="004F2117"/>
    <w:rsid w:val="004F29C1"/>
    <w:rsid w:val="004F3D02"/>
    <w:rsid w:val="004F5EB2"/>
    <w:rsid w:val="00501261"/>
    <w:rsid w:val="00502BC6"/>
    <w:rsid w:val="0051352E"/>
    <w:rsid w:val="00514752"/>
    <w:rsid w:val="00515F50"/>
    <w:rsid w:val="0051792D"/>
    <w:rsid w:val="00530CDC"/>
    <w:rsid w:val="00531A4B"/>
    <w:rsid w:val="00534F89"/>
    <w:rsid w:val="00550936"/>
    <w:rsid w:val="00552CC4"/>
    <w:rsid w:val="005559BC"/>
    <w:rsid w:val="00561CE8"/>
    <w:rsid w:val="00562076"/>
    <w:rsid w:val="0056316D"/>
    <w:rsid w:val="005744FD"/>
    <w:rsid w:val="00575D50"/>
    <w:rsid w:val="005767DA"/>
    <w:rsid w:val="00584C0B"/>
    <w:rsid w:val="005925C7"/>
    <w:rsid w:val="005928AC"/>
    <w:rsid w:val="005928B8"/>
    <w:rsid w:val="00596C37"/>
    <w:rsid w:val="005A669B"/>
    <w:rsid w:val="005B29FA"/>
    <w:rsid w:val="005B2D47"/>
    <w:rsid w:val="005C2E16"/>
    <w:rsid w:val="005C3E8C"/>
    <w:rsid w:val="005C598D"/>
    <w:rsid w:val="005D44B4"/>
    <w:rsid w:val="005D6C95"/>
    <w:rsid w:val="005E1AC1"/>
    <w:rsid w:val="005E2031"/>
    <w:rsid w:val="005F0521"/>
    <w:rsid w:val="005F2204"/>
    <w:rsid w:val="00601ACF"/>
    <w:rsid w:val="006026A6"/>
    <w:rsid w:val="006032E6"/>
    <w:rsid w:val="00604C2B"/>
    <w:rsid w:val="006055A8"/>
    <w:rsid w:val="006123FD"/>
    <w:rsid w:val="00615C4F"/>
    <w:rsid w:val="006219D0"/>
    <w:rsid w:val="00623714"/>
    <w:rsid w:val="00626761"/>
    <w:rsid w:val="00627D90"/>
    <w:rsid w:val="006324E5"/>
    <w:rsid w:val="0063304D"/>
    <w:rsid w:val="006357F0"/>
    <w:rsid w:val="006474A0"/>
    <w:rsid w:val="00650B6B"/>
    <w:rsid w:val="006616F8"/>
    <w:rsid w:val="0066559A"/>
    <w:rsid w:val="00667413"/>
    <w:rsid w:val="00672C80"/>
    <w:rsid w:val="00673CF9"/>
    <w:rsid w:val="00674334"/>
    <w:rsid w:val="00681ED8"/>
    <w:rsid w:val="00686D6D"/>
    <w:rsid w:val="006919F8"/>
    <w:rsid w:val="0069433F"/>
    <w:rsid w:val="00695F87"/>
    <w:rsid w:val="00697BF5"/>
    <w:rsid w:val="006A3204"/>
    <w:rsid w:val="006A4713"/>
    <w:rsid w:val="006A7D3E"/>
    <w:rsid w:val="006C34D8"/>
    <w:rsid w:val="006D5405"/>
    <w:rsid w:val="006D5D01"/>
    <w:rsid w:val="006D5E3D"/>
    <w:rsid w:val="006D6967"/>
    <w:rsid w:val="006E0237"/>
    <w:rsid w:val="006E11DB"/>
    <w:rsid w:val="006E11E6"/>
    <w:rsid w:val="006E683F"/>
    <w:rsid w:val="006E769B"/>
    <w:rsid w:val="006F1A1F"/>
    <w:rsid w:val="006F460A"/>
    <w:rsid w:val="006F4CC8"/>
    <w:rsid w:val="006F7C52"/>
    <w:rsid w:val="00704A4E"/>
    <w:rsid w:val="00707232"/>
    <w:rsid w:val="00712635"/>
    <w:rsid w:val="007156A6"/>
    <w:rsid w:val="00716DFB"/>
    <w:rsid w:val="00721847"/>
    <w:rsid w:val="007267BF"/>
    <w:rsid w:val="00730FE4"/>
    <w:rsid w:val="00737B7F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3474"/>
    <w:rsid w:val="007566B8"/>
    <w:rsid w:val="0077229E"/>
    <w:rsid w:val="00772955"/>
    <w:rsid w:val="0077594E"/>
    <w:rsid w:val="00777F2B"/>
    <w:rsid w:val="00781D97"/>
    <w:rsid w:val="00792B11"/>
    <w:rsid w:val="00795462"/>
    <w:rsid w:val="00795863"/>
    <w:rsid w:val="007A5355"/>
    <w:rsid w:val="007B105D"/>
    <w:rsid w:val="007B132B"/>
    <w:rsid w:val="007B20BD"/>
    <w:rsid w:val="007B3484"/>
    <w:rsid w:val="007B4485"/>
    <w:rsid w:val="007B59E7"/>
    <w:rsid w:val="007C146B"/>
    <w:rsid w:val="007D3A44"/>
    <w:rsid w:val="007E0056"/>
    <w:rsid w:val="007E3ECD"/>
    <w:rsid w:val="007F5CD3"/>
    <w:rsid w:val="007F6F3E"/>
    <w:rsid w:val="007F793D"/>
    <w:rsid w:val="0080009E"/>
    <w:rsid w:val="008034F8"/>
    <w:rsid w:val="008036C5"/>
    <w:rsid w:val="008038F5"/>
    <w:rsid w:val="00814F82"/>
    <w:rsid w:val="00821016"/>
    <w:rsid w:val="00834DAD"/>
    <w:rsid w:val="00842A0E"/>
    <w:rsid w:val="00847527"/>
    <w:rsid w:val="00847A97"/>
    <w:rsid w:val="008514E1"/>
    <w:rsid w:val="0085307B"/>
    <w:rsid w:val="00853256"/>
    <w:rsid w:val="00855F2C"/>
    <w:rsid w:val="00856F88"/>
    <w:rsid w:val="008676B2"/>
    <w:rsid w:val="00872C3F"/>
    <w:rsid w:val="00872D35"/>
    <w:rsid w:val="00877CFF"/>
    <w:rsid w:val="0088147B"/>
    <w:rsid w:val="00891925"/>
    <w:rsid w:val="00892BA5"/>
    <w:rsid w:val="00892F93"/>
    <w:rsid w:val="008945BA"/>
    <w:rsid w:val="00895951"/>
    <w:rsid w:val="0089616F"/>
    <w:rsid w:val="00897CFE"/>
    <w:rsid w:val="008A68DB"/>
    <w:rsid w:val="008B0E94"/>
    <w:rsid w:val="008C1868"/>
    <w:rsid w:val="008C2673"/>
    <w:rsid w:val="008C43FB"/>
    <w:rsid w:val="008C484B"/>
    <w:rsid w:val="008C7137"/>
    <w:rsid w:val="008C719B"/>
    <w:rsid w:val="008C7DC5"/>
    <w:rsid w:val="008D7496"/>
    <w:rsid w:val="008E271B"/>
    <w:rsid w:val="008F0AA6"/>
    <w:rsid w:val="008F16FA"/>
    <w:rsid w:val="008F4C6C"/>
    <w:rsid w:val="00910860"/>
    <w:rsid w:val="0091217A"/>
    <w:rsid w:val="009126F8"/>
    <w:rsid w:val="009134A5"/>
    <w:rsid w:val="009163F7"/>
    <w:rsid w:val="00917388"/>
    <w:rsid w:val="00917423"/>
    <w:rsid w:val="00924B0D"/>
    <w:rsid w:val="00930277"/>
    <w:rsid w:val="00931D12"/>
    <w:rsid w:val="00932033"/>
    <w:rsid w:val="00933413"/>
    <w:rsid w:val="009407CC"/>
    <w:rsid w:val="009424FD"/>
    <w:rsid w:val="0094277A"/>
    <w:rsid w:val="00945F9E"/>
    <w:rsid w:val="00961023"/>
    <w:rsid w:val="00972C24"/>
    <w:rsid w:val="009879B9"/>
    <w:rsid w:val="009A772C"/>
    <w:rsid w:val="009B07FC"/>
    <w:rsid w:val="009B4FFE"/>
    <w:rsid w:val="009B729A"/>
    <w:rsid w:val="009C4616"/>
    <w:rsid w:val="009D251B"/>
    <w:rsid w:val="009D3CE5"/>
    <w:rsid w:val="009D46C8"/>
    <w:rsid w:val="009D7508"/>
    <w:rsid w:val="009E1918"/>
    <w:rsid w:val="009E19BB"/>
    <w:rsid w:val="009E31CD"/>
    <w:rsid w:val="009F2F66"/>
    <w:rsid w:val="009F62CA"/>
    <w:rsid w:val="009F6D15"/>
    <w:rsid w:val="00A013CF"/>
    <w:rsid w:val="00A10256"/>
    <w:rsid w:val="00A1797F"/>
    <w:rsid w:val="00A17C79"/>
    <w:rsid w:val="00A227D1"/>
    <w:rsid w:val="00A2778C"/>
    <w:rsid w:val="00A30D9C"/>
    <w:rsid w:val="00A31AAD"/>
    <w:rsid w:val="00A32CE0"/>
    <w:rsid w:val="00A36EA1"/>
    <w:rsid w:val="00A56D01"/>
    <w:rsid w:val="00A64CE0"/>
    <w:rsid w:val="00A66E47"/>
    <w:rsid w:val="00A73157"/>
    <w:rsid w:val="00A76AEF"/>
    <w:rsid w:val="00A76D86"/>
    <w:rsid w:val="00A82906"/>
    <w:rsid w:val="00A86D4E"/>
    <w:rsid w:val="00A96999"/>
    <w:rsid w:val="00A9785A"/>
    <w:rsid w:val="00AA139E"/>
    <w:rsid w:val="00AA42D1"/>
    <w:rsid w:val="00AB01E3"/>
    <w:rsid w:val="00AB042B"/>
    <w:rsid w:val="00AB32B0"/>
    <w:rsid w:val="00AB383E"/>
    <w:rsid w:val="00AB4EE2"/>
    <w:rsid w:val="00AB6E60"/>
    <w:rsid w:val="00AD17EB"/>
    <w:rsid w:val="00AE0111"/>
    <w:rsid w:val="00B03050"/>
    <w:rsid w:val="00B03AA8"/>
    <w:rsid w:val="00B1119E"/>
    <w:rsid w:val="00B11BA1"/>
    <w:rsid w:val="00B22BAA"/>
    <w:rsid w:val="00B22E62"/>
    <w:rsid w:val="00B24800"/>
    <w:rsid w:val="00B25A07"/>
    <w:rsid w:val="00B322E1"/>
    <w:rsid w:val="00B33B4F"/>
    <w:rsid w:val="00B35575"/>
    <w:rsid w:val="00B359B8"/>
    <w:rsid w:val="00B37A8F"/>
    <w:rsid w:val="00B4294A"/>
    <w:rsid w:val="00B457B4"/>
    <w:rsid w:val="00B50942"/>
    <w:rsid w:val="00B56206"/>
    <w:rsid w:val="00B57F63"/>
    <w:rsid w:val="00B616EC"/>
    <w:rsid w:val="00B703B5"/>
    <w:rsid w:val="00B70E02"/>
    <w:rsid w:val="00B76CC2"/>
    <w:rsid w:val="00B814BF"/>
    <w:rsid w:val="00B86A23"/>
    <w:rsid w:val="00B90678"/>
    <w:rsid w:val="00BA48D5"/>
    <w:rsid w:val="00BB4EEE"/>
    <w:rsid w:val="00BC1E7A"/>
    <w:rsid w:val="00BC2886"/>
    <w:rsid w:val="00BC445E"/>
    <w:rsid w:val="00BC5A5B"/>
    <w:rsid w:val="00BC7319"/>
    <w:rsid w:val="00BD020C"/>
    <w:rsid w:val="00BD284A"/>
    <w:rsid w:val="00BD35D7"/>
    <w:rsid w:val="00BD3BED"/>
    <w:rsid w:val="00BD4D10"/>
    <w:rsid w:val="00BD539D"/>
    <w:rsid w:val="00BD7104"/>
    <w:rsid w:val="00BE1444"/>
    <w:rsid w:val="00BE15CF"/>
    <w:rsid w:val="00BE646F"/>
    <w:rsid w:val="00BF548C"/>
    <w:rsid w:val="00BF5743"/>
    <w:rsid w:val="00BF5EF3"/>
    <w:rsid w:val="00BF719D"/>
    <w:rsid w:val="00C0204C"/>
    <w:rsid w:val="00C04661"/>
    <w:rsid w:val="00C06A48"/>
    <w:rsid w:val="00C251C6"/>
    <w:rsid w:val="00C42F94"/>
    <w:rsid w:val="00C477B8"/>
    <w:rsid w:val="00C53FBB"/>
    <w:rsid w:val="00C54544"/>
    <w:rsid w:val="00C6139C"/>
    <w:rsid w:val="00C62711"/>
    <w:rsid w:val="00C66107"/>
    <w:rsid w:val="00C707A7"/>
    <w:rsid w:val="00C71DCD"/>
    <w:rsid w:val="00C77A8E"/>
    <w:rsid w:val="00C8061D"/>
    <w:rsid w:val="00C8079D"/>
    <w:rsid w:val="00C80CB8"/>
    <w:rsid w:val="00C83FC0"/>
    <w:rsid w:val="00C85228"/>
    <w:rsid w:val="00C91800"/>
    <w:rsid w:val="00C95C2B"/>
    <w:rsid w:val="00CA37A6"/>
    <w:rsid w:val="00CB0206"/>
    <w:rsid w:val="00CB1029"/>
    <w:rsid w:val="00CC397E"/>
    <w:rsid w:val="00CC3DC8"/>
    <w:rsid w:val="00CC5510"/>
    <w:rsid w:val="00CC5E76"/>
    <w:rsid w:val="00CD548A"/>
    <w:rsid w:val="00CD6F7F"/>
    <w:rsid w:val="00CE3188"/>
    <w:rsid w:val="00CE5FA1"/>
    <w:rsid w:val="00CF09D7"/>
    <w:rsid w:val="00CF3945"/>
    <w:rsid w:val="00D00BD3"/>
    <w:rsid w:val="00D056F9"/>
    <w:rsid w:val="00D101FC"/>
    <w:rsid w:val="00D141E1"/>
    <w:rsid w:val="00D17BF5"/>
    <w:rsid w:val="00D22819"/>
    <w:rsid w:val="00D309CC"/>
    <w:rsid w:val="00D34B8E"/>
    <w:rsid w:val="00D365C0"/>
    <w:rsid w:val="00D376C1"/>
    <w:rsid w:val="00D428F9"/>
    <w:rsid w:val="00D51BD2"/>
    <w:rsid w:val="00D527B6"/>
    <w:rsid w:val="00D5423C"/>
    <w:rsid w:val="00D5508B"/>
    <w:rsid w:val="00D626FE"/>
    <w:rsid w:val="00D650E0"/>
    <w:rsid w:val="00D72781"/>
    <w:rsid w:val="00D74918"/>
    <w:rsid w:val="00D808AB"/>
    <w:rsid w:val="00D81FD9"/>
    <w:rsid w:val="00D92B2F"/>
    <w:rsid w:val="00D94C05"/>
    <w:rsid w:val="00DA00D1"/>
    <w:rsid w:val="00DA094F"/>
    <w:rsid w:val="00DA10F9"/>
    <w:rsid w:val="00DA37BC"/>
    <w:rsid w:val="00DA3C59"/>
    <w:rsid w:val="00DA5B74"/>
    <w:rsid w:val="00DA6183"/>
    <w:rsid w:val="00DA7428"/>
    <w:rsid w:val="00DB1121"/>
    <w:rsid w:val="00DB1D4C"/>
    <w:rsid w:val="00DC1CAA"/>
    <w:rsid w:val="00DC23ED"/>
    <w:rsid w:val="00DC278D"/>
    <w:rsid w:val="00DC28F8"/>
    <w:rsid w:val="00DC32B0"/>
    <w:rsid w:val="00DC43DE"/>
    <w:rsid w:val="00DC654A"/>
    <w:rsid w:val="00DC7DB0"/>
    <w:rsid w:val="00DD3BD4"/>
    <w:rsid w:val="00DD3C94"/>
    <w:rsid w:val="00DD4225"/>
    <w:rsid w:val="00DD5068"/>
    <w:rsid w:val="00DD64D4"/>
    <w:rsid w:val="00DE40E1"/>
    <w:rsid w:val="00DE6904"/>
    <w:rsid w:val="00DE6BC0"/>
    <w:rsid w:val="00DF1F9C"/>
    <w:rsid w:val="00DF20AD"/>
    <w:rsid w:val="00DF4B6A"/>
    <w:rsid w:val="00DF4E38"/>
    <w:rsid w:val="00DF692F"/>
    <w:rsid w:val="00E02042"/>
    <w:rsid w:val="00E04DC1"/>
    <w:rsid w:val="00E1081B"/>
    <w:rsid w:val="00E11C9F"/>
    <w:rsid w:val="00E240AB"/>
    <w:rsid w:val="00E24A80"/>
    <w:rsid w:val="00E336C3"/>
    <w:rsid w:val="00E35379"/>
    <w:rsid w:val="00E449E6"/>
    <w:rsid w:val="00E541A8"/>
    <w:rsid w:val="00E62798"/>
    <w:rsid w:val="00E6526C"/>
    <w:rsid w:val="00E73407"/>
    <w:rsid w:val="00E754F0"/>
    <w:rsid w:val="00E8224A"/>
    <w:rsid w:val="00E960F1"/>
    <w:rsid w:val="00E96270"/>
    <w:rsid w:val="00EA0182"/>
    <w:rsid w:val="00EB443B"/>
    <w:rsid w:val="00EB7110"/>
    <w:rsid w:val="00EC1FA5"/>
    <w:rsid w:val="00EC2BB3"/>
    <w:rsid w:val="00ED194A"/>
    <w:rsid w:val="00ED1FA3"/>
    <w:rsid w:val="00ED5C50"/>
    <w:rsid w:val="00EE1735"/>
    <w:rsid w:val="00EF1021"/>
    <w:rsid w:val="00EF1E96"/>
    <w:rsid w:val="00EF29AA"/>
    <w:rsid w:val="00EF5DAD"/>
    <w:rsid w:val="00EF5FF2"/>
    <w:rsid w:val="00F11F66"/>
    <w:rsid w:val="00F130F5"/>
    <w:rsid w:val="00F15EFD"/>
    <w:rsid w:val="00F20AE4"/>
    <w:rsid w:val="00F2168E"/>
    <w:rsid w:val="00F25199"/>
    <w:rsid w:val="00F25B3E"/>
    <w:rsid w:val="00F277B6"/>
    <w:rsid w:val="00F27AF0"/>
    <w:rsid w:val="00F30B2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56BE9"/>
    <w:rsid w:val="00F57895"/>
    <w:rsid w:val="00F60079"/>
    <w:rsid w:val="00F603E3"/>
    <w:rsid w:val="00F62851"/>
    <w:rsid w:val="00F748BF"/>
    <w:rsid w:val="00F82B25"/>
    <w:rsid w:val="00F83719"/>
    <w:rsid w:val="00F8477F"/>
    <w:rsid w:val="00F85C03"/>
    <w:rsid w:val="00F86B6A"/>
    <w:rsid w:val="00F937DF"/>
    <w:rsid w:val="00F95654"/>
    <w:rsid w:val="00FA4300"/>
    <w:rsid w:val="00FB08FA"/>
    <w:rsid w:val="00FB17AA"/>
    <w:rsid w:val="00FB32B1"/>
    <w:rsid w:val="00FC08EA"/>
    <w:rsid w:val="00FC0CBA"/>
    <w:rsid w:val="00FC6F5C"/>
    <w:rsid w:val="00FD0E0E"/>
    <w:rsid w:val="00FD0FC3"/>
    <w:rsid w:val="00FD35A3"/>
    <w:rsid w:val="00FD3A84"/>
    <w:rsid w:val="00FF1F06"/>
    <w:rsid w:val="00FF23E9"/>
    <w:rsid w:val="0802ABF5"/>
    <w:rsid w:val="0BDE0FCD"/>
    <w:rsid w:val="19823669"/>
    <w:rsid w:val="234F7458"/>
    <w:rsid w:val="32D046AB"/>
    <w:rsid w:val="51DA0327"/>
    <w:rsid w:val="5521F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-seimas.lrs.lt/portal/legalAct/lt/TAK/abe1bbf0dc1e11ecb1b39d276e924a5d?jfwid=124awgq65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Z6YWEJNPDQQR-896559167-615</_dlc_DocId>
    <_dlc_DocIdUrl xmlns="28130d43-1b56-4a10-ad88-2cd38123f4c1">
      <Url>https://intranetas.lrs.lt/29/_layouts/15/DocIdRedir.aspx?ID=Z6YWEJNPDQQR-896559167-615</Url>
      <Description>Z6YWEJNPDQQR-896559167-615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ec334c73-2e7a-4af4-9973-05cdb3b6702c"/>
    <ds:schemaRef ds:uri="http://purl.org/dc/terms/"/>
    <ds:schemaRef ds:uri="ac0d66be-d216-4f87-bab3-8cb7071aefb0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20B2A-A626-44BD-B15C-B99801B0B18A}"/>
</file>

<file path=customXml/itemProps4.xml><?xml version="1.0" encoding="utf-8"?>
<ds:datastoreItem xmlns:ds="http://schemas.openxmlformats.org/officeDocument/2006/customXml" ds:itemID="{3FAF421D-A296-48C5-A71E-624EBD1159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51F5F8-259F-4328-A0B9-CB20DE639B17}"/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6770</Words>
  <Characters>3859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KNIUKŠTIENĖ Rimantė</cp:lastModifiedBy>
  <cp:revision>2</cp:revision>
  <cp:lastPrinted>2022-12-07T14:03:00Z</cp:lastPrinted>
  <dcterms:created xsi:type="dcterms:W3CDTF">2026-02-12T06:34:00Z</dcterms:created>
  <dcterms:modified xsi:type="dcterms:W3CDTF">2026-02-12T06:34:00Z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7b43239,2da5beb,54a3696b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Socialinės apsaugos ir darbo ministerija bei pavaldžios įstaigos | Bendram naudojimui</vt:lpwstr>
  </property>
  <property fmtid="{D5CDD505-2E9C-101B-9397-08002B2CF9AE}" pid="7" name="_dlc_DocIdItemGuid">
    <vt:lpwstr>337a3f93-0c69-4859-af10-897015f5dca9</vt:lpwstr>
  </property>
</Properties>
</file>