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26F35" w14:textId="77777777" w:rsidR="002803D6" w:rsidRPr="00603D91" w:rsidRDefault="002803D6">
      <w:pPr>
        <w:ind w:firstLine="0"/>
        <w:rPr>
          <w:rFonts w:ascii="Times New Roman" w:eastAsia="utkal" w:hAnsi="Times New Roman" w:cs="Times New Roman"/>
        </w:rPr>
      </w:pPr>
    </w:p>
    <w:p w14:paraId="1D5AEBCF" w14:textId="77777777" w:rsidR="002803D6" w:rsidRPr="00603D91" w:rsidRDefault="001D31CA">
      <w:pPr>
        <w:spacing w:line="276" w:lineRule="auto"/>
        <w:rPr>
          <w:rFonts w:ascii="Times New Roman" w:hAnsi="Times New Roman" w:cs="Times New Roman"/>
          <w:szCs w:val="24"/>
        </w:rPr>
      </w:pPr>
      <w:r w:rsidRPr="00603D91">
        <w:rPr>
          <w:rFonts w:ascii="Times New Roman" w:hAnsi="Times New Roman" w:cs="Times New Roman"/>
          <w:szCs w:val="24"/>
        </w:rPr>
        <w:t>Sodininkų bendrijų įstatymo 29 straipsniu reguliuota ginčų tvarka:</w:t>
      </w:r>
    </w:p>
    <w:p w14:paraId="441534E6" w14:textId="77777777" w:rsidR="001D31CA" w:rsidRPr="00603D91" w:rsidRDefault="00EB324C" w:rsidP="001D31CA">
      <w:pPr>
        <w:spacing w:line="276" w:lineRule="auto"/>
        <w:rPr>
          <w:rFonts w:ascii="Times New Roman" w:hAnsi="Times New Roman" w:cs="Times New Roman"/>
          <w:b/>
        </w:rPr>
      </w:pPr>
      <w:r>
        <w:rPr>
          <w:rFonts w:ascii="Times New Roman" w:hAnsi="Times New Roman" w:cs="Times New Roman"/>
          <w:b/>
        </w:rPr>
        <w:t>„</w:t>
      </w:r>
      <w:r w:rsidR="001D31CA" w:rsidRPr="00603D91">
        <w:rPr>
          <w:rFonts w:ascii="Times New Roman" w:hAnsi="Times New Roman" w:cs="Times New Roman"/>
          <w:b/>
        </w:rPr>
        <w:t>29 straipsnis. Ginčų sprendimas</w:t>
      </w:r>
    </w:p>
    <w:p w14:paraId="7C9B2714" w14:textId="77777777" w:rsidR="001D31CA" w:rsidRPr="00603D91" w:rsidRDefault="001D31CA" w:rsidP="001D31CA">
      <w:pPr>
        <w:spacing w:line="276" w:lineRule="auto"/>
        <w:rPr>
          <w:rFonts w:ascii="Times New Roman" w:hAnsi="Times New Roman" w:cs="Times New Roman"/>
        </w:rPr>
      </w:pPr>
      <w:r w:rsidRPr="00603D91">
        <w:rPr>
          <w:rFonts w:ascii="Times New Roman" w:hAnsi="Times New Roman" w:cs="Times New Roman"/>
        </w:rPr>
        <w:t>1. Ginčai tarp bendrijos ir bendrijos narių, tarp bendrijos ir kitų fizinių ar juridinių asmenų spendžiami Civilinio kodekso nustatyta tvarka.</w:t>
      </w:r>
    </w:p>
    <w:p w14:paraId="67372E10" w14:textId="77777777" w:rsidR="001D31CA" w:rsidRDefault="001D31CA" w:rsidP="001D31CA">
      <w:pPr>
        <w:spacing w:line="276" w:lineRule="auto"/>
        <w:rPr>
          <w:rFonts w:ascii="Times New Roman" w:hAnsi="Times New Roman" w:cs="Times New Roman"/>
        </w:rPr>
      </w:pPr>
      <w:r w:rsidRPr="00603D91">
        <w:rPr>
          <w:rFonts w:ascii="Times New Roman" w:hAnsi="Times New Roman" w:cs="Times New Roman"/>
        </w:rPr>
        <w:t>2. Jeigu bendrijos nariai pageidauja raštu, jų tarpusavio ginčus gali nagrinėti bendrijos valdymo organas arba bendrijos narių susirinkimas įstatų nustatyta tvarka. Apie priimtą sprendimą ginčo šalims turi būti pranešta raštu. Jeigu ginčo šalys nesutinka su priimtu sprendimu, jų ginčas įstatymų nustatyta tvarka gali būti sprendžiamas teisme.</w:t>
      </w:r>
      <w:r w:rsidR="00EB324C">
        <w:rPr>
          <w:rFonts w:ascii="Times New Roman" w:hAnsi="Times New Roman" w:cs="Times New Roman"/>
        </w:rPr>
        <w:t>“</w:t>
      </w:r>
    </w:p>
    <w:p w14:paraId="29935227" w14:textId="77777777" w:rsidR="004A7C8F" w:rsidRPr="00603D91" w:rsidRDefault="004A7C8F" w:rsidP="004A7C8F">
      <w:pPr>
        <w:spacing w:line="276" w:lineRule="auto"/>
        <w:ind w:firstLine="0"/>
        <w:jc w:val="center"/>
        <w:rPr>
          <w:rFonts w:ascii="Times New Roman" w:hAnsi="Times New Roman" w:cs="Times New Roman"/>
        </w:rPr>
      </w:pPr>
      <w:r w:rsidRPr="00603D91">
        <w:rPr>
          <w:rFonts w:ascii="Times New Roman" w:eastAsia="DejaVu Serif" w:hAnsi="Times New Roman" w:cs="Times New Roman"/>
          <w:szCs w:val="24"/>
        </w:rPr>
        <w:t>▫</w:t>
      </w:r>
    </w:p>
    <w:p w14:paraId="4AEF0922" w14:textId="77777777" w:rsidR="001D31CA" w:rsidRPr="00603D91" w:rsidRDefault="001D31CA" w:rsidP="001D31CA">
      <w:pPr>
        <w:spacing w:line="276" w:lineRule="auto"/>
        <w:rPr>
          <w:rFonts w:ascii="Times New Roman" w:hAnsi="Times New Roman" w:cs="Times New Roman"/>
        </w:rPr>
      </w:pPr>
      <w:r w:rsidRPr="00EB324C">
        <w:rPr>
          <w:rFonts w:ascii="Times New Roman" w:hAnsi="Times New Roman" w:cs="Times New Roman"/>
          <w:b/>
        </w:rPr>
        <w:t>Ši tvarka yra neaiški</w:t>
      </w:r>
      <w:r w:rsidRPr="00603D91">
        <w:rPr>
          <w:rFonts w:ascii="Times New Roman" w:hAnsi="Times New Roman" w:cs="Times New Roman"/>
        </w:rPr>
        <w:t>:</w:t>
      </w:r>
    </w:p>
    <w:p w14:paraId="4F3E37B7" w14:textId="0B1D15D7" w:rsidR="001D31CA" w:rsidRPr="00603D91" w:rsidRDefault="001D31CA" w:rsidP="00603D91">
      <w:pPr>
        <w:pStyle w:val="Sraopastraipa"/>
        <w:numPr>
          <w:ilvl w:val="0"/>
          <w:numId w:val="1"/>
        </w:numPr>
        <w:spacing w:line="276" w:lineRule="auto"/>
        <w:rPr>
          <w:rFonts w:ascii="Times New Roman" w:hAnsi="Times New Roman" w:cs="Times New Roman"/>
        </w:rPr>
      </w:pPr>
      <w:r w:rsidRPr="00603D91">
        <w:rPr>
          <w:rFonts w:ascii="Times New Roman" w:hAnsi="Times New Roman" w:cs="Times New Roman"/>
        </w:rPr>
        <w:t xml:space="preserve">nurodyta, kad ginčai sprendžiami Civilinio kodekso nustatyta tvarka, tačiau Civilinis kodeksas ginčų sprendimo </w:t>
      </w:r>
      <w:r w:rsidR="00707CE7">
        <w:rPr>
          <w:rFonts w:ascii="Times New Roman" w:hAnsi="Times New Roman" w:cs="Times New Roman"/>
        </w:rPr>
        <w:t xml:space="preserve">tvarkos </w:t>
      </w:r>
      <w:r w:rsidRPr="00603D91">
        <w:rPr>
          <w:rFonts w:ascii="Times New Roman" w:hAnsi="Times New Roman" w:cs="Times New Roman"/>
        </w:rPr>
        <w:t>nereguliuoja;</w:t>
      </w:r>
    </w:p>
    <w:p w14:paraId="20EC4392" w14:textId="77777777" w:rsidR="001D31CA" w:rsidRPr="00603D91" w:rsidRDefault="001D31CA" w:rsidP="00603D91">
      <w:pPr>
        <w:pStyle w:val="Sraopastraipa"/>
        <w:numPr>
          <w:ilvl w:val="0"/>
          <w:numId w:val="1"/>
        </w:numPr>
        <w:spacing w:line="276" w:lineRule="auto"/>
        <w:rPr>
          <w:rFonts w:ascii="Times New Roman" w:hAnsi="Times New Roman" w:cs="Times New Roman"/>
        </w:rPr>
      </w:pPr>
      <w:r w:rsidRPr="00603D91">
        <w:rPr>
          <w:rFonts w:ascii="Times New Roman" w:hAnsi="Times New Roman" w:cs="Times New Roman"/>
        </w:rPr>
        <w:t>pagal straipsnio 2-ą dalį ginčo išsprendim</w:t>
      </w:r>
      <w:r w:rsidR="00603D91" w:rsidRPr="00603D91">
        <w:rPr>
          <w:rFonts w:ascii="Times New Roman" w:hAnsi="Times New Roman" w:cs="Times New Roman"/>
        </w:rPr>
        <w:t>ą</w:t>
      </w:r>
      <w:r w:rsidRPr="00603D91">
        <w:rPr>
          <w:rFonts w:ascii="Times New Roman" w:hAnsi="Times New Roman" w:cs="Times New Roman"/>
        </w:rPr>
        <w:t xml:space="preserve"> turi</w:t>
      </w:r>
      <w:r w:rsidR="00603D91" w:rsidRPr="00603D91">
        <w:rPr>
          <w:rFonts w:ascii="Times New Roman" w:hAnsi="Times New Roman" w:cs="Times New Roman"/>
        </w:rPr>
        <w:t xml:space="preserve"> inicijuoti</w:t>
      </w:r>
      <w:r w:rsidRPr="00603D91">
        <w:rPr>
          <w:rFonts w:ascii="Times New Roman" w:hAnsi="Times New Roman" w:cs="Times New Roman"/>
        </w:rPr>
        <w:t xml:space="preserve"> visos ginčo šalys ar pakanka vienos šalies kreipimosi;</w:t>
      </w:r>
    </w:p>
    <w:p w14:paraId="22E8F495" w14:textId="77777777" w:rsidR="001D31CA" w:rsidRPr="00603D91" w:rsidRDefault="001D31CA" w:rsidP="00603D91">
      <w:pPr>
        <w:pStyle w:val="Sraopastraipa"/>
        <w:numPr>
          <w:ilvl w:val="0"/>
          <w:numId w:val="1"/>
        </w:numPr>
        <w:spacing w:line="276" w:lineRule="auto"/>
        <w:rPr>
          <w:rFonts w:ascii="Times New Roman" w:hAnsi="Times New Roman" w:cs="Times New Roman"/>
        </w:rPr>
      </w:pPr>
      <w:r w:rsidRPr="00603D91">
        <w:rPr>
          <w:rFonts w:ascii="Times New Roman" w:hAnsi="Times New Roman" w:cs="Times New Roman"/>
        </w:rPr>
        <w:t>esant kreipimuisi</w:t>
      </w:r>
      <w:r w:rsidR="00997B99" w:rsidRPr="00603D91">
        <w:rPr>
          <w:rFonts w:ascii="Times New Roman" w:hAnsi="Times New Roman" w:cs="Times New Roman"/>
        </w:rPr>
        <w:t>,</w:t>
      </w:r>
      <w:r w:rsidRPr="00603D91">
        <w:rPr>
          <w:rFonts w:ascii="Times New Roman" w:hAnsi="Times New Roman" w:cs="Times New Roman"/>
        </w:rPr>
        <w:t xml:space="preserve"> bendrijos valdymo organas</w:t>
      </w:r>
      <w:r w:rsidR="00997B99" w:rsidRPr="00603D91">
        <w:rPr>
          <w:rFonts w:ascii="Times New Roman" w:hAnsi="Times New Roman" w:cs="Times New Roman"/>
        </w:rPr>
        <w:t xml:space="preserve"> (</w:t>
      </w:r>
      <w:r w:rsidRPr="00603D91">
        <w:rPr>
          <w:rFonts w:ascii="Times New Roman" w:hAnsi="Times New Roman" w:cs="Times New Roman"/>
        </w:rPr>
        <w:t>bendrijos narių susirinkimas</w:t>
      </w:r>
      <w:r w:rsidR="00997B99" w:rsidRPr="00603D91">
        <w:rPr>
          <w:rFonts w:ascii="Times New Roman" w:hAnsi="Times New Roman" w:cs="Times New Roman"/>
        </w:rPr>
        <w:t>)</w:t>
      </w:r>
      <w:r w:rsidRPr="00603D91">
        <w:rPr>
          <w:rFonts w:ascii="Times New Roman" w:hAnsi="Times New Roman" w:cs="Times New Roman"/>
        </w:rPr>
        <w:t xml:space="preserve"> išnagrinėti ginčą</w:t>
      </w:r>
      <w:r w:rsidR="00997B99" w:rsidRPr="00603D91">
        <w:rPr>
          <w:rFonts w:ascii="Times New Roman" w:hAnsi="Times New Roman" w:cs="Times New Roman"/>
        </w:rPr>
        <w:t xml:space="preserve"> privalo ar neprivalo;</w:t>
      </w:r>
    </w:p>
    <w:p w14:paraId="5DFBC8FA" w14:textId="77777777" w:rsidR="00997B99" w:rsidRPr="00603D91" w:rsidRDefault="00997B99" w:rsidP="00603D91">
      <w:pPr>
        <w:pStyle w:val="Sraopastraipa"/>
        <w:numPr>
          <w:ilvl w:val="0"/>
          <w:numId w:val="1"/>
        </w:numPr>
        <w:spacing w:line="276" w:lineRule="auto"/>
        <w:rPr>
          <w:rFonts w:ascii="Times New Roman" w:hAnsi="Times New Roman" w:cs="Times New Roman"/>
        </w:rPr>
      </w:pPr>
      <w:r w:rsidRPr="00603D91">
        <w:rPr>
          <w:rFonts w:ascii="Times New Roman" w:hAnsi="Times New Roman" w:cs="Times New Roman"/>
        </w:rPr>
        <w:t xml:space="preserve">bendrijos valdymo organo (bendrijos narių susirinkimo) sprendimas dėl ginčo yra privalomas ginčo šalims ar yra </w:t>
      </w:r>
      <w:r w:rsidR="00603D91" w:rsidRPr="00603D91">
        <w:rPr>
          <w:rFonts w:ascii="Times New Roman" w:hAnsi="Times New Roman" w:cs="Times New Roman"/>
        </w:rPr>
        <w:t xml:space="preserve"> tik rekomendacinis</w:t>
      </w:r>
      <w:r w:rsidRPr="00603D91">
        <w:rPr>
          <w:rFonts w:ascii="Times New Roman" w:hAnsi="Times New Roman" w:cs="Times New Roman"/>
        </w:rPr>
        <w:t>;</w:t>
      </w:r>
    </w:p>
    <w:p w14:paraId="1F59F849" w14:textId="2B37703A" w:rsidR="00997B99" w:rsidRPr="00603D91" w:rsidRDefault="00997B99" w:rsidP="00603D91">
      <w:pPr>
        <w:pStyle w:val="Sraopastraipa"/>
        <w:numPr>
          <w:ilvl w:val="0"/>
          <w:numId w:val="1"/>
        </w:numPr>
        <w:spacing w:line="276" w:lineRule="auto"/>
        <w:rPr>
          <w:rFonts w:ascii="Times New Roman" w:hAnsi="Times New Roman" w:cs="Times New Roman"/>
        </w:rPr>
      </w:pPr>
      <w:r w:rsidRPr="00603D91">
        <w:rPr>
          <w:rFonts w:ascii="Times New Roman" w:hAnsi="Times New Roman" w:cs="Times New Roman"/>
        </w:rPr>
        <w:t xml:space="preserve">ar bendrijos valdymo organo (bendrijos narių susirinkimo) sprendimas dėl ginčo yra vykdomasis dokumentas. </w:t>
      </w:r>
      <w:r w:rsidR="00707CE7">
        <w:rPr>
          <w:rFonts w:ascii="Times New Roman" w:hAnsi="Times New Roman" w:cs="Times New Roman"/>
        </w:rPr>
        <w:t xml:space="preserve">Įstatyme nenurodyta, todėl nepatenka į </w:t>
      </w:r>
      <w:r w:rsidRPr="00603D91">
        <w:rPr>
          <w:rFonts w:ascii="Times New Roman" w:hAnsi="Times New Roman" w:cs="Times New Roman"/>
        </w:rPr>
        <w:t xml:space="preserve">Civilinio proceso kodekso 587 </w:t>
      </w:r>
      <w:r w:rsidR="00707CE7">
        <w:rPr>
          <w:rFonts w:ascii="Times New Roman" w:hAnsi="Times New Roman" w:cs="Times New Roman"/>
        </w:rPr>
        <w:t>straipsnio</w:t>
      </w:r>
      <w:r w:rsidRPr="00603D91">
        <w:rPr>
          <w:rFonts w:ascii="Times New Roman" w:hAnsi="Times New Roman" w:cs="Times New Roman"/>
        </w:rPr>
        <w:t xml:space="preserve"> </w:t>
      </w:r>
      <w:r w:rsidR="004A7C8F">
        <w:rPr>
          <w:rFonts w:ascii="Times New Roman" w:hAnsi="Times New Roman" w:cs="Times New Roman"/>
        </w:rPr>
        <w:t>„</w:t>
      </w:r>
      <w:r w:rsidRPr="00603D91">
        <w:rPr>
          <w:rFonts w:ascii="Times New Roman" w:hAnsi="Times New Roman" w:cs="Times New Roman"/>
        </w:rPr>
        <w:t>Vykdomieji dokumentai</w:t>
      </w:r>
      <w:r w:rsidR="00707CE7">
        <w:rPr>
          <w:rFonts w:ascii="Times New Roman" w:hAnsi="Times New Roman" w:cs="Times New Roman"/>
        </w:rPr>
        <w:t xml:space="preserve">“ </w:t>
      </w:r>
      <w:r w:rsidR="004A7C8F">
        <w:rPr>
          <w:rFonts w:ascii="Times New Roman" w:hAnsi="Times New Roman" w:cs="Times New Roman"/>
        </w:rPr>
        <w:t>punktą „</w:t>
      </w:r>
      <w:r w:rsidR="004A7C8F" w:rsidRPr="004A7C8F">
        <w:rPr>
          <w:rFonts w:ascii="Times New Roman" w:hAnsi="Times New Roman" w:cs="Times New Roman"/>
        </w:rPr>
        <w:t>10) kiti institucijų ir pareigūnų sprendimai, kurių vykdymą civilinio proceso tvarka nustato įstatymai</w:t>
      </w:r>
      <w:r w:rsidR="004A7C8F">
        <w:rPr>
          <w:rFonts w:ascii="Times New Roman" w:hAnsi="Times New Roman" w:cs="Times New Roman"/>
        </w:rPr>
        <w:t>“</w:t>
      </w:r>
      <w:r w:rsidR="004A7C8F" w:rsidRPr="004A7C8F">
        <w:rPr>
          <w:rFonts w:ascii="Times New Roman" w:hAnsi="Times New Roman" w:cs="Times New Roman"/>
        </w:rPr>
        <w:t>.</w:t>
      </w:r>
      <w:r w:rsidR="004A7C8F">
        <w:rPr>
          <w:rFonts w:ascii="Times New Roman" w:hAnsi="Times New Roman" w:cs="Times New Roman"/>
        </w:rPr>
        <w:t xml:space="preserve"> Jei nėra vykdomasis dokumentas, tai nėra galimybės kreiptis į antstolį dėl priverstinio vykdymo</w:t>
      </w:r>
      <w:r w:rsidRPr="00603D91">
        <w:rPr>
          <w:rFonts w:ascii="Times New Roman" w:hAnsi="Times New Roman" w:cs="Times New Roman"/>
        </w:rPr>
        <w:t>;</w:t>
      </w:r>
    </w:p>
    <w:p w14:paraId="5996DDB6" w14:textId="358A8516" w:rsidR="00997B99" w:rsidRPr="00603D91" w:rsidRDefault="00997B99" w:rsidP="00603D91">
      <w:pPr>
        <w:pStyle w:val="Sraopastraipa"/>
        <w:numPr>
          <w:ilvl w:val="0"/>
          <w:numId w:val="1"/>
        </w:numPr>
        <w:spacing w:line="276" w:lineRule="auto"/>
        <w:rPr>
          <w:rFonts w:ascii="Times New Roman" w:hAnsi="Times New Roman" w:cs="Times New Roman"/>
        </w:rPr>
      </w:pPr>
      <w:r w:rsidRPr="00603D91">
        <w:rPr>
          <w:rFonts w:ascii="Times New Roman" w:hAnsi="Times New Roman" w:cs="Times New Roman"/>
        </w:rPr>
        <w:t xml:space="preserve">ar šiuo straipsniu reguliuojama tvarka yra </w:t>
      </w:r>
      <w:r w:rsidR="00603D91" w:rsidRPr="00603D91">
        <w:rPr>
          <w:rFonts w:ascii="Times New Roman" w:hAnsi="Times New Roman" w:cs="Times New Roman"/>
        </w:rPr>
        <w:t>įstatymų nustatyta išankstinio ginčų sprendimo ne teisme tvarka, kurią būtina išnaudoti prieš kreipiantis į teismą.</w:t>
      </w:r>
      <w:r w:rsidR="00707CE7">
        <w:rPr>
          <w:rFonts w:ascii="Times New Roman" w:hAnsi="Times New Roman" w:cs="Times New Roman"/>
        </w:rPr>
        <w:t xml:space="preserve"> </w:t>
      </w:r>
      <w:r w:rsidR="004A7C8F">
        <w:rPr>
          <w:rFonts w:ascii="Times New Roman" w:hAnsi="Times New Roman" w:cs="Times New Roman"/>
        </w:rPr>
        <w:t>Neaišku, nes</w:t>
      </w:r>
      <w:r w:rsidR="00707CE7">
        <w:rPr>
          <w:rFonts w:ascii="Times New Roman" w:hAnsi="Times New Roman" w:cs="Times New Roman"/>
        </w:rPr>
        <w:t xml:space="preserve"> parašyta „gali“. Šiuo klausimu neaišku netgi teisėjams – pridedu teismo nutartis, kuriose matyti, kad apylinkės teismų ir apygardos teismų nuomonės yra priešingos.</w:t>
      </w:r>
    </w:p>
    <w:p w14:paraId="0BC47D1E" w14:textId="77777777" w:rsidR="002803D6" w:rsidRPr="00603D91" w:rsidRDefault="00FD39AF">
      <w:pPr>
        <w:spacing w:line="276" w:lineRule="auto"/>
        <w:rPr>
          <w:rFonts w:ascii="Times New Roman" w:hAnsi="Times New Roman" w:cs="Times New Roman"/>
          <w:szCs w:val="24"/>
        </w:rPr>
      </w:pPr>
      <w:r w:rsidRPr="00603D91">
        <w:rPr>
          <w:rFonts w:ascii="Times New Roman" w:hAnsi="Times New Roman" w:cs="Times New Roman"/>
          <w:b/>
          <w:bCs/>
          <w:szCs w:val="24"/>
        </w:rPr>
        <w:t>Prašau</w:t>
      </w:r>
      <w:r w:rsidRPr="00603D91">
        <w:rPr>
          <w:rFonts w:ascii="Times New Roman" w:hAnsi="Times New Roman" w:cs="Times New Roman"/>
          <w:szCs w:val="24"/>
        </w:rPr>
        <w:t xml:space="preserve"> pripažinti šį kreipimąsi peticija ir </w:t>
      </w:r>
      <w:r w:rsidRPr="00603D91">
        <w:rPr>
          <w:rFonts w:ascii="Times New Roman" w:hAnsi="Times New Roman" w:cs="Times New Roman"/>
          <w:b/>
          <w:bCs/>
          <w:szCs w:val="24"/>
        </w:rPr>
        <w:t>siūlau</w:t>
      </w:r>
      <w:r w:rsidRPr="00603D91">
        <w:rPr>
          <w:rFonts w:ascii="Times New Roman" w:hAnsi="Times New Roman" w:cs="Times New Roman"/>
          <w:szCs w:val="24"/>
        </w:rPr>
        <w:t>:</w:t>
      </w:r>
    </w:p>
    <w:p w14:paraId="0C008DE4" w14:textId="77777777" w:rsidR="00603D91" w:rsidRPr="00603D91" w:rsidRDefault="00603D91">
      <w:pPr>
        <w:spacing w:line="276" w:lineRule="auto"/>
        <w:rPr>
          <w:rFonts w:ascii="Times New Roman" w:hAnsi="Times New Roman" w:cs="Times New Roman"/>
          <w:b/>
        </w:rPr>
      </w:pPr>
      <w:r w:rsidRPr="00603D91">
        <w:rPr>
          <w:rFonts w:ascii="Times New Roman" w:hAnsi="Times New Roman" w:cs="Times New Roman"/>
          <w:b/>
          <w:szCs w:val="24"/>
        </w:rPr>
        <w:t>Pakeisti Sodininkų bendrijų įstatymo 29 straipsnį – aiškiai sureguliuoti ginčų sprendimo tvarką.</w:t>
      </w:r>
    </w:p>
    <w:p w14:paraId="0C501AD4" w14:textId="2159D6AF" w:rsidR="002803D6" w:rsidRPr="00603D91" w:rsidRDefault="002803D6">
      <w:pPr>
        <w:spacing w:line="276" w:lineRule="auto"/>
        <w:ind w:firstLine="0"/>
        <w:jc w:val="center"/>
        <w:rPr>
          <w:rFonts w:ascii="Times New Roman" w:hAnsi="Times New Roman" w:cs="Times New Roman"/>
        </w:rPr>
      </w:pPr>
      <w:bookmarkStart w:id="0" w:name="_GoBack"/>
      <w:bookmarkEnd w:id="0"/>
    </w:p>
    <w:sectPr w:rsidR="002803D6" w:rsidRPr="00603D91">
      <w:pgSz w:w="11906" w:h="16838"/>
      <w:pgMar w:top="1134" w:right="567" w:bottom="1134" w:left="1701" w:header="0" w:footer="0" w:gutter="0"/>
      <w:cols w:space="1296"/>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ejaVu Sans">
    <w:panose1 w:val="020B0603030804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ohit Devanagari">
    <w:altName w:val="Times New Roman"/>
    <w:panose1 w:val="00000000000000000000"/>
    <w:charset w:val="00"/>
    <w:family w:val="roman"/>
    <w:notTrueType/>
    <w:pitch w:val="default"/>
  </w:font>
  <w:font w:name="utkal">
    <w:altName w:val="Arial"/>
    <w:charset w:val="01"/>
    <w:family w:val="swiss"/>
    <w:pitch w:val="default"/>
  </w:font>
  <w:font w:name="DejaVu Serif">
    <w:panose1 w:val="02060603050605020204"/>
    <w:charset w:val="01"/>
    <w:family w:val="swiss"/>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A65B7"/>
    <w:multiLevelType w:val="hybridMultilevel"/>
    <w:tmpl w:val="1F98875A"/>
    <w:lvl w:ilvl="0" w:tplc="5C64C24A">
      <w:start w:val="1"/>
      <w:numFmt w:val="decimal"/>
      <w:suff w:val="space"/>
      <w:lvlText w:val="%1)"/>
      <w:lvlJc w:val="left"/>
      <w:pPr>
        <w:ind w:left="0" w:firstLine="1134"/>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134"/>
  <w:autoHyphenation/>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D6"/>
    <w:rsid w:val="000C39A7"/>
    <w:rsid w:val="001D31CA"/>
    <w:rsid w:val="002803D6"/>
    <w:rsid w:val="003A29DE"/>
    <w:rsid w:val="004A7C8F"/>
    <w:rsid w:val="00603D91"/>
    <w:rsid w:val="00707CE7"/>
    <w:rsid w:val="007D04CF"/>
    <w:rsid w:val="00997B99"/>
    <w:rsid w:val="00BE164D"/>
    <w:rsid w:val="00E91F2B"/>
    <w:rsid w:val="00EB324C"/>
    <w:rsid w:val="00FD39A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918D2"/>
  <w15:docId w15:val="{E3D9B6D7-3C19-4881-B1A6-1FD31FDC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ejaVu Sans"/>
        <w:szCs w:val="22"/>
        <w:lang w:val="lt-L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overflowPunct w:val="0"/>
      <w:ind w:firstLine="1134"/>
      <w:jc w:val="both"/>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qFormat/>
    <w:rPr>
      <w:rFonts w:ascii="Segoe UI" w:hAnsi="Segoe UI" w:cs="Segoe UI"/>
      <w:sz w:val="18"/>
      <w:szCs w:val="18"/>
    </w:rPr>
  </w:style>
  <w:style w:type="character" w:customStyle="1" w:styleId="AntratsDiagrama">
    <w:name w:val="Antraštės Diagrama"/>
    <w:basedOn w:val="Numatytasispastraiposriftas"/>
    <w:link w:val="Antrats"/>
    <w:qFormat/>
  </w:style>
  <w:style w:type="character" w:customStyle="1" w:styleId="PoratDiagrama">
    <w:name w:val="Poraštė Diagrama"/>
    <w:basedOn w:val="Numatytasispastraiposriftas"/>
    <w:link w:val="Porat"/>
    <w:qFormat/>
  </w:style>
  <w:style w:type="character" w:customStyle="1" w:styleId="Internetosaitas">
    <w:name w:val="Interneto saitas"/>
    <w:basedOn w:val="Numatytasispastraiposriftas"/>
    <w:rPr>
      <w:color w:val="0563C1"/>
      <w:u w:val="single"/>
    </w:rPr>
  </w:style>
  <w:style w:type="character" w:customStyle="1" w:styleId="Inaosramenys">
    <w:name w:val="Išnašos rašmenys"/>
    <w:qFormat/>
  </w:style>
  <w:style w:type="character" w:customStyle="1" w:styleId="Inaosprieraias">
    <w:name w:val="Išnašos prieraišas"/>
    <w:rPr>
      <w:vertAlign w:val="superscript"/>
    </w:rPr>
  </w:style>
  <w:style w:type="character" w:customStyle="1" w:styleId="Galinsinaosprieraias">
    <w:name w:val="Galinės išnašos prieraišas"/>
    <w:rPr>
      <w:vertAlign w:val="superscript"/>
    </w:rPr>
  </w:style>
  <w:style w:type="character" w:customStyle="1" w:styleId="Galinsinaosramenys">
    <w:name w:val="Galinės išnašos rašmenys"/>
    <w:qFormat/>
  </w:style>
  <w:style w:type="character" w:customStyle="1" w:styleId="Aplankytasinternetosaitas">
    <w:name w:val="Aplankytas interneto saitas"/>
    <w:rPr>
      <w:color w:val="800000"/>
      <w:u w:val="single"/>
    </w:rPr>
  </w:style>
  <w:style w:type="paragraph" w:styleId="Antrat">
    <w:name w:val="caption"/>
    <w:basedOn w:val="prastasis"/>
    <w:next w:val="Pagrindinistekstas"/>
    <w:qFormat/>
    <w:pPr>
      <w:suppressLineNumbers/>
      <w:spacing w:before="120" w:after="120"/>
    </w:pPr>
    <w:rPr>
      <w:rFonts w:cs="Lohit Devanagari"/>
      <w:i/>
      <w:iCs/>
      <w:szCs w:val="24"/>
    </w:rPr>
  </w:style>
  <w:style w:type="paragraph" w:styleId="Pagrindinistekstas">
    <w:name w:val="Body Text"/>
    <w:basedOn w:val="prastasis"/>
    <w:pPr>
      <w:spacing w:after="140" w:line="276" w:lineRule="auto"/>
    </w:pPr>
  </w:style>
  <w:style w:type="paragraph" w:styleId="Sraas">
    <w:name w:val="List"/>
    <w:basedOn w:val="Pagrindinistekstas"/>
    <w:rPr>
      <w:rFonts w:cs="Lohit Devanagari"/>
    </w:rPr>
  </w:style>
  <w:style w:type="paragraph" w:customStyle="1" w:styleId="Rodykl">
    <w:name w:val="Rodyklė"/>
    <w:basedOn w:val="prastasis"/>
    <w:qFormat/>
    <w:pPr>
      <w:suppressLineNumbers/>
    </w:pPr>
    <w:rPr>
      <w:rFonts w:cs="Lohit Devanagari"/>
    </w:rPr>
  </w:style>
  <w:style w:type="paragraph" w:styleId="Sraopastraipa">
    <w:name w:val="List Paragraph"/>
    <w:basedOn w:val="prastasis"/>
    <w:qFormat/>
    <w:pPr>
      <w:ind w:left="720"/>
      <w:contextualSpacing/>
    </w:pPr>
  </w:style>
  <w:style w:type="paragraph" w:styleId="Debesliotekstas">
    <w:name w:val="Balloon Text"/>
    <w:basedOn w:val="prastasis"/>
    <w:link w:val="DebesliotekstasDiagrama"/>
    <w:qFormat/>
    <w:rPr>
      <w:rFonts w:ascii="Segoe UI" w:hAnsi="Segoe UI" w:cs="Segoe UI"/>
      <w:sz w:val="18"/>
      <w:szCs w:val="18"/>
    </w:rPr>
  </w:style>
  <w:style w:type="paragraph" w:customStyle="1" w:styleId="Puslapinantratirporat">
    <w:name w:val="Puslapinė antraštė ir poraštė"/>
    <w:basedOn w:val="prastasis"/>
    <w:qFormat/>
  </w:style>
  <w:style w:type="paragraph" w:styleId="Antrats">
    <w:name w:val="header"/>
    <w:basedOn w:val="prastasis"/>
    <w:link w:val="AntratsDiagrama"/>
    <w:pPr>
      <w:tabs>
        <w:tab w:val="center" w:pos="4819"/>
        <w:tab w:val="right" w:pos="9638"/>
      </w:tabs>
    </w:pPr>
  </w:style>
  <w:style w:type="paragraph" w:styleId="Porat">
    <w:name w:val="footer"/>
    <w:basedOn w:val="prastasis"/>
    <w:link w:val="PoratDiagrama"/>
    <w:pPr>
      <w:tabs>
        <w:tab w:val="center" w:pos="4819"/>
        <w:tab w:val="right" w:pos="9638"/>
      </w:tabs>
    </w:pPr>
  </w:style>
  <w:style w:type="paragraph" w:styleId="Puslapioinaostekstas">
    <w:name w:val="footnote text"/>
    <w:basedOn w:val="prastasis"/>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629568">
      <w:bodyDiv w:val="1"/>
      <w:marLeft w:val="0"/>
      <w:marRight w:val="0"/>
      <w:marTop w:val="0"/>
      <w:marBottom w:val="0"/>
      <w:divBdr>
        <w:top w:val="none" w:sz="0" w:space="0" w:color="auto"/>
        <w:left w:val="none" w:sz="0" w:space="0" w:color="auto"/>
        <w:bottom w:val="none" w:sz="0" w:space="0" w:color="auto"/>
        <w:right w:val="none" w:sz="0" w:space="0" w:color="auto"/>
      </w:divBdr>
    </w:div>
    <w:div w:id="672028250">
      <w:bodyDiv w:val="1"/>
      <w:marLeft w:val="0"/>
      <w:marRight w:val="0"/>
      <w:marTop w:val="0"/>
      <w:marBottom w:val="0"/>
      <w:divBdr>
        <w:top w:val="none" w:sz="0" w:space="0" w:color="auto"/>
        <w:left w:val="none" w:sz="0" w:space="0" w:color="auto"/>
        <w:bottom w:val="none" w:sz="0" w:space="0" w:color="auto"/>
        <w:right w:val="none" w:sz="0" w:space="0" w:color="auto"/>
      </w:divBdr>
    </w:div>
    <w:div w:id="1669281846">
      <w:bodyDiv w:val="1"/>
      <w:marLeft w:val="0"/>
      <w:marRight w:val="0"/>
      <w:marTop w:val="0"/>
      <w:marBottom w:val="0"/>
      <w:divBdr>
        <w:top w:val="none" w:sz="0" w:space="0" w:color="auto"/>
        <w:left w:val="none" w:sz="0" w:space="0" w:color="auto"/>
        <w:bottom w:val="none" w:sz="0" w:space="0" w:color="auto"/>
        <w:right w:val="none" w:sz="0" w:space="0" w:color="auto"/>
      </w:divBdr>
    </w:div>
    <w:div w:id="178592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7D90CBC16D234CA619BBDEA3061AC4" ma:contentTypeVersion="1" ma:contentTypeDescription="Kurkite naują dokumentą." ma:contentTypeScope="" ma:versionID="a6d6312ad059faab99d9e01f97183c19">
  <xsd:schema xmlns:xsd="http://www.w3.org/2001/XMLSchema" xmlns:xs="http://www.w3.org/2001/XMLSchema" xmlns:p="http://schemas.microsoft.com/office/2006/metadata/properties" xmlns:ns2="28130d43-1b56-4a10-ad88-2cd38123f4c1" targetNamespace="http://schemas.microsoft.com/office/2006/metadata/properties" ma:root="true" ma:fieldsID="28535331f7f19f408e5e49ec73000621" ns2:_="">
    <xsd:import namespace="28130d43-1b56-4a10-ad88-2cd38123f4c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8130d43-1b56-4a10-ad88-2cd38123f4c1">Z6YWEJNPDQQR-896559167-371</_dlc_DocId>
    <_dlc_DocIdUrl xmlns="28130d43-1b56-4a10-ad88-2cd38123f4c1">
      <Url>https://intranetas.lrs.lt/29/_layouts/15/DocIdRedir.aspx?ID=Z6YWEJNPDQQR-896559167-371</Url>
      <Description>Z6YWEJNPDQQR-896559167-371</Description>
    </_dlc_DocIdUrl>
  </documentManagement>
</p:properties>
</file>

<file path=customXml/itemProps1.xml><?xml version="1.0" encoding="utf-8"?>
<ds:datastoreItem xmlns:ds="http://schemas.openxmlformats.org/officeDocument/2006/customXml" ds:itemID="{BD2893F1-A67F-4B44-A45C-0B118155F6CC}"/>
</file>

<file path=customXml/itemProps2.xml><?xml version="1.0" encoding="utf-8"?>
<ds:datastoreItem xmlns:ds="http://schemas.openxmlformats.org/officeDocument/2006/customXml" ds:itemID="{FC2A76F0-0B8C-47B2-8726-3F38478E3399}"/>
</file>

<file path=customXml/itemProps3.xml><?xml version="1.0" encoding="utf-8"?>
<ds:datastoreItem xmlns:ds="http://schemas.openxmlformats.org/officeDocument/2006/customXml" ds:itemID="{FBF138D8-B8EE-4C96-8E9F-3C9E1F7549BB}"/>
</file>

<file path=customXml/itemProps4.xml><?xml version="1.0" encoding="utf-8"?>
<ds:datastoreItem xmlns:ds="http://schemas.openxmlformats.org/officeDocument/2006/customXml" ds:itemID="{577CE2FD-B0B3-421C-9D95-1FC16CE2375F}"/>
</file>

<file path=docProps/app.xml><?xml version="1.0" encoding="utf-8"?>
<Properties xmlns="http://schemas.openxmlformats.org/officeDocument/2006/extended-properties" xmlns:vt="http://schemas.openxmlformats.org/officeDocument/2006/docPropsVTypes">
  <Template>Normal.dotm</Template>
  <TotalTime>1</TotalTime>
  <Pages>1</Pages>
  <Words>1284</Words>
  <Characters>732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IRD</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Sodonis</dc:creator>
  <dc:description/>
  <cp:lastModifiedBy>GRICIŪTĖ Rasa</cp:lastModifiedBy>
  <cp:revision>3</cp:revision>
  <cp:lastPrinted>2023-10-24T07:18:00Z</cp:lastPrinted>
  <dcterms:created xsi:type="dcterms:W3CDTF">2023-11-20T11:57:00Z</dcterms:created>
  <dcterms:modified xsi:type="dcterms:W3CDTF">2023-11-20T11:57:00Z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_dlc_DocIdItemGuid">
    <vt:lpwstr>70a2107d-039b-4f02-96b1-3be6b91e023e</vt:lpwstr>
  </property>
  <property fmtid="{D5CDD505-2E9C-101B-9397-08002B2CF9AE}" pid="7" name="ContentTypeId">
    <vt:lpwstr>0x010100147D90CBC16D234CA619BBDEA3061AC4</vt:lpwstr>
  </property>
</Properties>
</file>