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11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AB5850">
        <w:rPr>
          <w:rFonts w:eastAsia="Times New Roman" w:cs="Times New Roman"/>
          <w:szCs w:val="24"/>
          <w:lang w:eastAsia="lt-LT"/>
        </w:rPr>
        <w:t xml:space="preserve">balandžio </w:t>
      </w:r>
      <w:r w:rsidR="004945E7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34512B">
        <w:rPr>
          <w:rFonts w:eastAsia="Times New Roman" w:cs="Times New Roman"/>
          <w:szCs w:val="24"/>
          <w:lang w:eastAsia="lt-LT"/>
        </w:rPr>
        <w:t>2</w:t>
      </w:r>
      <w:bookmarkStart w:id="0" w:name="_GoBack"/>
      <w:bookmarkEnd w:id="0"/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34512B" w:rsidRPr="0034512B">
        <w:t xml:space="preserve">Egidijaus </w:t>
      </w:r>
      <w:proofErr w:type="spellStart"/>
      <w:r w:rsidR="0034512B" w:rsidRPr="0034512B">
        <w:t>Gaudėšiaus</w:t>
      </w:r>
      <w:proofErr w:type="spellEnd"/>
      <w:r w:rsidR="0034512B" w:rsidRPr="0034512B">
        <w:t xml:space="preserve"> peticij</w:t>
      </w:r>
      <w:r w:rsidR="0034512B">
        <w:t>a</w:t>
      </w:r>
      <w:r w:rsidR="0034512B" w:rsidRPr="0034512B">
        <w:t xml:space="preserve"> dėl Lietuvos Respublikos civilinio kodekso nuostatų dėl apmokėjimo už bendrosios dalinės nuosavybės teise priklausančio turto remontą pakeitimo 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54E02"/>
    <w:rsid w:val="005A6A11"/>
    <w:rsid w:val="00607B6F"/>
    <w:rsid w:val="0061404A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79F3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71A31"/>
    <w:rsid w:val="00EB25BD"/>
    <w:rsid w:val="00EC48D1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5329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Z6YWEJNPDQQR-896559167-335</_dlc_DocId>
    <_dlc_DocIdUrl xmlns="28130d43-1b56-4a10-ad88-2cd38123f4c1">
      <Url>https://intranetas.lrs.lt/29/_layouts/15/DocIdRedir.aspx?ID=Z6YWEJNPDQQR-896559167-335</Url>
      <Description>Z6YWEJNPDQQR-896559167-335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F4CAD4-12CE-479A-9CCC-079D64C12762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2023-04-19T11:04:00Z</dcterms:created>
  <dcterms:modified xsi:type="dcterms:W3CDTF">2023-04-19T11:05:00Z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cca7efa8-e19c-46c1-a439-daacd1ccb942</vt:lpwstr>
  </property>
</Properties>
</file>