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13" w:type="dxa"/>
        <w:tblCellMar>
          <w:left w:w="10" w:type="dxa"/>
          <w:right w:w="10" w:type="dxa"/>
        </w:tblCellMar>
        <w:tblLook w:val="04A0" w:firstRow="1" w:lastRow="0" w:firstColumn="1" w:lastColumn="0" w:noHBand="0" w:noVBand="1"/>
      </w:tblPr>
      <w:tblGrid>
        <w:gridCol w:w="5812"/>
        <w:gridCol w:w="4111"/>
      </w:tblGrid>
      <w:tr w:rsidR="008B0682" w14:paraId="548A812F" w14:textId="77777777">
        <w:tc>
          <w:tcPr>
            <w:tcW w:w="5812" w:type="dxa"/>
            <w:shd w:val="clear" w:color="auto" w:fill="auto"/>
            <w:tcMar>
              <w:top w:w="0" w:type="dxa"/>
              <w:left w:w="108" w:type="dxa"/>
              <w:bottom w:w="0" w:type="dxa"/>
              <w:right w:w="108" w:type="dxa"/>
            </w:tcMar>
          </w:tcPr>
          <w:p w14:paraId="25C23029" w14:textId="77777777" w:rsidR="008B0682" w:rsidRDefault="0065309F">
            <w:pPr>
              <w:pStyle w:val="Adresas"/>
              <w:rPr>
                <w:bCs/>
              </w:rPr>
            </w:pPr>
            <w:bookmarkStart w:id="0" w:name="_GoBack"/>
            <w:bookmarkEnd w:id="0"/>
            <w:r>
              <w:rPr>
                <w:bCs/>
              </w:rPr>
              <w:t xml:space="preserve">Lietuvos Respublikos Seimo </w:t>
            </w:r>
            <w:r w:rsidR="004D054E">
              <w:rPr>
                <w:bCs/>
              </w:rPr>
              <w:t>P</w:t>
            </w:r>
            <w:r>
              <w:rPr>
                <w:bCs/>
              </w:rPr>
              <w:t>eticijų komisijai</w:t>
            </w:r>
          </w:p>
        </w:tc>
        <w:tc>
          <w:tcPr>
            <w:tcW w:w="4111" w:type="dxa"/>
            <w:shd w:val="clear" w:color="auto" w:fill="auto"/>
            <w:tcMar>
              <w:top w:w="0" w:type="dxa"/>
              <w:left w:w="108" w:type="dxa"/>
              <w:bottom w:w="0" w:type="dxa"/>
              <w:right w:w="108" w:type="dxa"/>
            </w:tcMar>
          </w:tcPr>
          <w:p w14:paraId="25BE6B83" w14:textId="32BCD329" w:rsidR="008B0682" w:rsidRDefault="0065309F">
            <w:pPr>
              <w:pStyle w:val="Adresas"/>
              <w:rPr>
                <w:bCs/>
              </w:rPr>
            </w:pPr>
            <w:r>
              <w:rPr>
                <w:bCs/>
              </w:rPr>
              <w:t>2024-0</w:t>
            </w:r>
            <w:r w:rsidR="0098358C">
              <w:rPr>
                <w:bCs/>
              </w:rPr>
              <w:t>3</w:t>
            </w:r>
            <w:r>
              <w:rPr>
                <w:bCs/>
              </w:rPr>
              <w:t>-</w:t>
            </w:r>
          </w:p>
          <w:p w14:paraId="152F5988" w14:textId="597B7595" w:rsidR="008B0682" w:rsidRDefault="0065309F">
            <w:pPr>
              <w:pStyle w:val="Adresas"/>
              <w:rPr>
                <w:bCs/>
              </w:rPr>
            </w:pPr>
            <w:r>
              <w:rPr>
                <w:bCs/>
              </w:rPr>
              <w:t>Į 2024-0</w:t>
            </w:r>
            <w:r w:rsidR="0098358C">
              <w:rPr>
                <w:bCs/>
              </w:rPr>
              <w:t>2</w:t>
            </w:r>
            <w:r>
              <w:rPr>
                <w:bCs/>
              </w:rPr>
              <w:t>-2</w:t>
            </w:r>
            <w:r w:rsidR="0098358C">
              <w:rPr>
                <w:bCs/>
              </w:rPr>
              <w:t>9</w:t>
            </w:r>
            <w:r>
              <w:rPr>
                <w:bCs/>
              </w:rPr>
              <w:t xml:space="preserve"> Nr. S-2024-</w:t>
            </w:r>
            <w:r w:rsidR="0098358C">
              <w:rPr>
                <w:bCs/>
              </w:rPr>
              <w:t>875</w:t>
            </w:r>
            <w:r>
              <w:rPr>
                <w:bCs/>
              </w:rPr>
              <w:t xml:space="preserve"> </w:t>
            </w:r>
          </w:p>
        </w:tc>
      </w:tr>
    </w:tbl>
    <w:p w14:paraId="608ACC8D" w14:textId="77777777" w:rsidR="008B0682" w:rsidRPr="0098358C" w:rsidRDefault="008B0682">
      <w:pPr>
        <w:pStyle w:val="Pavadinimas1"/>
        <w:ind w:right="-1"/>
        <w:jc w:val="both"/>
        <w:rPr>
          <w:b/>
        </w:rPr>
      </w:pPr>
      <w:bookmarkStart w:id="1" w:name="_Hlk158214568"/>
    </w:p>
    <w:p w14:paraId="47D62D51" w14:textId="77777777" w:rsidR="008B0682" w:rsidRPr="0098358C" w:rsidRDefault="008B0682">
      <w:pPr>
        <w:pStyle w:val="Pavadinimas1"/>
        <w:ind w:right="-1"/>
        <w:jc w:val="both"/>
        <w:rPr>
          <w:b/>
        </w:rPr>
      </w:pPr>
    </w:p>
    <w:bookmarkEnd w:id="1"/>
    <w:p w14:paraId="7E954C12" w14:textId="01791A43" w:rsidR="008B0682" w:rsidRPr="0098358C" w:rsidRDefault="0065309F">
      <w:pPr>
        <w:pStyle w:val="Pavadinimas1"/>
        <w:ind w:right="-1"/>
        <w:jc w:val="both"/>
      </w:pPr>
      <w:r w:rsidRPr="0098358C">
        <w:rPr>
          <w:b/>
        </w:rPr>
        <w:t xml:space="preserve">Dėl </w:t>
      </w:r>
      <w:r w:rsidR="0098358C" w:rsidRPr="0098358C">
        <w:rPr>
          <w:b/>
        </w:rPr>
        <w:t>kęstučio</w:t>
      </w:r>
      <w:r w:rsidRPr="0098358C">
        <w:rPr>
          <w:b/>
        </w:rPr>
        <w:t xml:space="preserve"> </w:t>
      </w:r>
      <w:r w:rsidR="0098358C" w:rsidRPr="0098358C">
        <w:rPr>
          <w:b/>
        </w:rPr>
        <w:t>siauruko peticijoje</w:t>
      </w:r>
      <w:r w:rsidRPr="0098358C">
        <w:rPr>
          <w:b/>
        </w:rPr>
        <w:t xml:space="preserve"> pateiktų pasiūlymų</w:t>
      </w:r>
    </w:p>
    <w:p w14:paraId="409451F7" w14:textId="77777777" w:rsidR="008B0682" w:rsidRPr="00677542" w:rsidRDefault="008B0682">
      <w:pPr>
        <w:jc w:val="both"/>
        <w:rPr>
          <w:color w:val="FF0000"/>
        </w:rPr>
      </w:pPr>
    </w:p>
    <w:p w14:paraId="15193B49" w14:textId="1D1C4F61" w:rsidR="008B0682" w:rsidRPr="00677542" w:rsidRDefault="0065309F">
      <w:pPr>
        <w:ind w:firstLine="851"/>
        <w:jc w:val="both"/>
      </w:pPr>
      <w:r w:rsidRPr="00677542">
        <w:rPr>
          <w:bCs/>
        </w:rPr>
        <w:t xml:space="preserve">Lietuvos Respublikos teisingumo ministerija susipažino su Lietuvos Respublikos Seimo Peticijų komisijos 2024 m. </w:t>
      </w:r>
      <w:r w:rsidR="0098358C" w:rsidRPr="00677542">
        <w:rPr>
          <w:bCs/>
        </w:rPr>
        <w:t>vasario</w:t>
      </w:r>
      <w:r w:rsidRPr="00677542">
        <w:rPr>
          <w:bCs/>
        </w:rPr>
        <w:t xml:space="preserve"> 2</w:t>
      </w:r>
      <w:r w:rsidR="0098358C" w:rsidRPr="00677542">
        <w:rPr>
          <w:bCs/>
        </w:rPr>
        <w:t>9</w:t>
      </w:r>
      <w:r w:rsidRPr="00677542">
        <w:rPr>
          <w:bCs/>
        </w:rPr>
        <w:t xml:space="preserve"> d. raštu Nr. S-2024-</w:t>
      </w:r>
      <w:r w:rsidR="0098358C" w:rsidRPr="00677542">
        <w:rPr>
          <w:bCs/>
        </w:rPr>
        <w:t>875</w:t>
      </w:r>
      <w:r w:rsidRPr="00677542">
        <w:rPr>
          <w:bCs/>
        </w:rPr>
        <w:t xml:space="preserve"> persiųsta </w:t>
      </w:r>
      <w:r w:rsidR="0098358C" w:rsidRPr="00677542">
        <w:rPr>
          <w:bCs/>
        </w:rPr>
        <w:t xml:space="preserve">Kęstučio Siauruko </w:t>
      </w:r>
      <w:r w:rsidRPr="00677542">
        <w:rPr>
          <w:bCs/>
        </w:rPr>
        <w:t xml:space="preserve">peticija, kuria siūloma pakeisti Lietuvos Respublikos civilinio kodekso (toliau – CK) </w:t>
      </w:r>
      <w:r w:rsidR="007B3919" w:rsidRPr="00677542">
        <w:rPr>
          <w:bCs/>
        </w:rPr>
        <w:t>3</w:t>
      </w:r>
      <w:r w:rsidRPr="00677542">
        <w:rPr>
          <w:bCs/>
        </w:rPr>
        <w:t>.</w:t>
      </w:r>
      <w:r w:rsidR="007B3919" w:rsidRPr="00677542">
        <w:rPr>
          <w:bCs/>
        </w:rPr>
        <w:t>192</w:t>
      </w:r>
      <w:r w:rsidRPr="00677542">
        <w:rPr>
          <w:bCs/>
        </w:rPr>
        <w:t xml:space="preserve"> straipsnio </w:t>
      </w:r>
      <w:r w:rsidR="007B3919" w:rsidRPr="00677542">
        <w:rPr>
          <w:bCs/>
        </w:rPr>
        <w:t>2</w:t>
      </w:r>
      <w:r w:rsidRPr="00677542">
        <w:rPr>
          <w:bCs/>
        </w:rPr>
        <w:t xml:space="preserve"> dalį</w:t>
      </w:r>
      <w:r w:rsidR="006335DE">
        <w:rPr>
          <w:bCs/>
        </w:rPr>
        <w:t>,</w:t>
      </w:r>
      <w:r w:rsidRPr="00677542">
        <w:rPr>
          <w:bCs/>
        </w:rPr>
        <w:t xml:space="preserve"> ir pagal kompetenciją teikia šią nuomonę.</w:t>
      </w:r>
    </w:p>
    <w:p w14:paraId="58A4AAD8" w14:textId="6095449B" w:rsidR="00E11E78" w:rsidRPr="00677542" w:rsidRDefault="0065309F" w:rsidP="00DA5E11">
      <w:pPr>
        <w:ind w:firstLine="851"/>
        <w:jc w:val="both"/>
        <w:rPr>
          <w:bCs/>
        </w:rPr>
      </w:pPr>
      <w:r w:rsidRPr="00677542">
        <w:rPr>
          <w:bCs/>
        </w:rPr>
        <w:t xml:space="preserve">Peticijoje siūloma pakeisti CK </w:t>
      </w:r>
      <w:r w:rsidR="007B3919" w:rsidRPr="00677542">
        <w:rPr>
          <w:bCs/>
        </w:rPr>
        <w:t>3.192</w:t>
      </w:r>
      <w:r w:rsidRPr="00677542">
        <w:rPr>
          <w:bCs/>
        </w:rPr>
        <w:t xml:space="preserve"> straipsnio </w:t>
      </w:r>
      <w:r w:rsidR="007B3919" w:rsidRPr="00677542">
        <w:rPr>
          <w:bCs/>
        </w:rPr>
        <w:t>2</w:t>
      </w:r>
      <w:r w:rsidRPr="00677542">
        <w:rPr>
          <w:bCs/>
        </w:rPr>
        <w:t xml:space="preserve"> dalį</w:t>
      </w:r>
      <w:r w:rsidR="007B3919" w:rsidRPr="00677542">
        <w:rPr>
          <w:bCs/>
        </w:rPr>
        <w:t xml:space="preserve">, </w:t>
      </w:r>
      <w:r w:rsidRPr="00677542">
        <w:rPr>
          <w:bCs/>
        </w:rPr>
        <w:t>numatant, kad</w:t>
      </w:r>
      <w:r w:rsidR="007B3919" w:rsidRPr="00677542">
        <w:rPr>
          <w:bCs/>
        </w:rPr>
        <w:t xml:space="preserve"> vaiko išlaikymo d</w:t>
      </w:r>
      <w:r w:rsidR="00E11E78" w:rsidRPr="00677542">
        <w:rPr>
          <w:bCs/>
        </w:rPr>
        <w:t>ydis</w:t>
      </w:r>
      <w:r w:rsidR="007B3919" w:rsidRPr="00677542">
        <w:rPr>
          <w:bCs/>
        </w:rPr>
        <w:t xml:space="preserve"> </w:t>
      </w:r>
      <w:r w:rsidRPr="00677542">
        <w:rPr>
          <w:bCs/>
        </w:rPr>
        <w:t xml:space="preserve"> </w:t>
      </w:r>
      <w:r w:rsidR="007B3919" w:rsidRPr="00677542">
        <w:rPr>
          <w:bCs/>
        </w:rPr>
        <w:t xml:space="preserve">nustatomas Vyriausybės nustatyta tvarka. </w:t>
      </w:r>
      <w:bookmarkStart w:id="2" w:name="_Hlk158895629"/>
      <w:r w:rsidRPr="00677542">
        <w:rPr>
          <w:bCs/>
        </w:rPr>
        <w:t>Peticijoje</w:t>
      </w:r>
      <w:r w:rsidR="00E11E78" w:rsidRPr="00677542">
        <w:rPr>
          <w:bCs/>
        </w:rPr>
        <w:t xml:space="preserve"> iš esmės</w:t>
      </w:r>
      <w:r w:rsidRPr="00677542">
        <w:rPr>
          <w:bCs/>
        </w:rPr>
        <w:t xml:space="preserve"> nurodoma, kad </w:t>
      </w:r>
      <w:r w:rsidR="007B3919" w:rsidRPr="00677542">
        <w:rPr>
          <w:bCs/>
        </w:rPr>
        <w:t>dėl vaiko išlaikymo turėtų spręsti ne teismas, o Vyriausybė. Pabrėžiama, kad šiuo metu teismų nustatomas išlaikymo dydis vaikui dažnai būna neproporcingas tėvų pajamoms,</w:t>
      </w:r>
      <w:r w:rsidR="00E11E78" w:rsidRPr="00677542">
        <w:rPr>
          <w:bCs/>
        </w:rPr>
        <w:t xml:space="preserve"> o didelių išmokų vaikams priteisimas gali skatinti skyrybų padaugėjimą. B</w:t>
      </w:r>
      <w:r w:rsidR="007B3919" w:rsidRPr="00677542">
        <w:rPr>
          <w:bCs/>
        </w:rPr>
        <w:t>e to, nėra jokių teisinių galimybių sužinoti apie vaikui skir</w:t>
      </w:r>
      <w:r w:rsidR="00E11E78" w:rsidRPr="00677542">
        <w:rPr>
          <w:bCs/>
        </w:rPr>
        <w:t>iamų</w:t>
      </w:r>
      <w:r w:rsidR="007B3919" w:rsidRPr="00677542">
        <w:rPr>
          <w:bCs/>
        </w:rPr>
        <w:t xml:space="preserve"> pinigų panaudojim</w:t>
      </w:r>
      <w:r w:rsidR="00E11E78" w:rsidRPr="00677542">
        <w:rPr>
          <w:bCs/>
        </w:rPr>
        <w:t xml:space="preserve">ą. </w:t>
      </w:r>
      <w:bookmarkEnd w:id="2"/>
    </w:p>
    <w:p w14:paraId="4CCD795E" w14:textId="18F2CF6F" w:rsidR="00E11E78" w:rsidRPr="00677542" w:rsidRDefault="00E11E78">
      <w:pPr>
        <w:ind w:firstLine="851"/>
        <w:jc w:val="both"/>
      </w:pPr>
      <w:r w:rsidRPr="00677542">
        <w:t xml:space="preserve">Lietuvos Respublikos Konstitucijos 38 straipsnio 6 dalyje numatyta, kad tėvų teisė ir pareiga – auklėti savo vaikus dorais žmonėmis ir ištikimais piliečiais, </w:t>
      </w:r>
      <w:r w:rsidRPr="00677542">
        <w:rPr>
          <w:i/>
          <w:iCs/>
        </w:rPr>
        <w:t>iki pilnametystės juos išlaikyti</w:t>
      </w:r>
      <w:r w:rsidRPr="00677542">
        <w:t>.</w:t>
      </w:r>
    </w:p>
    <w:p w14:paraId="48C74C18" w14:textId="5CAE3108" w:rsidR="00C430A4" w:rsidRPr="00677542" w:rsidRDefault="00C430A4">
      <w:pPr>
        <w:ind w:firstLine="851"/>
        <w:jc w:val="both"/>
      </w:pPr>
      <w:r w:rsidRPr="00677542">
        <w:t>Tėvų pareiga išlaikyti nepilnamečius vaikus yra įtvirtinta ir Jungtinių Tautų </w:t>
      </w:r>
      <w:bookmarkStart w:id="3" w:name="ne9cb81e9-3315-4c52-b6e8-2beeeab0ca40"/>
      <w:r w:rsidRPr="00677542">
        <w:fldChar w:fldCharType="begin"/>
      </w:r>
      <w:r w:rsidRPr="00677542">
        <w:instrText>HYPERLINK "https://www.infolex.lt/ta/347003" \o "Vaiko teisių konvencija" \t "_blank"</w:instrText>
      </w:r>
      <w:r w:rsidRPr="00677542">
        <w:fldChar w:fldCharType="separate"/>
      </w:r>
      <w:r w:rsidRPr="00677542">
        <w:rPr>
          <w:rStyle w:val="Hipersaitas"/>
          <w:color w:val="auto"/>
          <w:u w:val="none"/>
        </w:rPr>
        <w:t>vaiko teisių konvencijoje</w:t>
      </w:r>
      <w:r w:rsidRPr="00677542">
        <w:fldChar w:fldCharType="end"/>
      </w:r>
      <w:bookmarkStart w:id="4" w:name="pne9cb81e9-3315-4c52-b6e8-2beeeab0ca40"/>
      <w:bookmarkEnd w:id="3"/>
      <w:bookmarkEnd w:id="4"/>
      <w:r w:rsidRPr="00677542">
        <w:t>. Konvencijos 27 straipsnyje pripažįstama kiekvieno vaiko teisė turėti tokias gyvenimo sąlygas, kokių reikia jo fiziniam, protiniam, dvasiniam, socialiniam vystymuisi. </w:t>
      </w:r>
    </w:p>
    <w:p w14:paraId="613954D0" w14:textId="27AB47AA" w:rsidR="00FC116E" w:rsidRPr="00677542" w:rsidRDefault="00012927" w:rsidP="00FC116E">
      <w:pPr>
        <w:ind w:firstLine="851"/>
        <w:jc w:val="both"/>
      </w:pPr>
      <w:r>
        <w:t xml:space="preserve">Svarbu pažymėti, kad CK 3.192 straipsnio nuostatos turi būti vertinamos sistemiškai. </w:t>
      </w:r>
      <w:r w:rsidR="00A712E1" w:rsidRPr="00677542">
        <w:t xml:space="preserve">Vaikų išlaikymo tvarka ir forma nustatoma bendru tėvų sutarimu, o jiems nesusitarus arba </w:t>
      </w:r>
      <w:r w:rsidR="008934EB">
        <w:t>nutraukiant santuoką</w:t>
      </w:r>
      <w:r w:rsidR="00A712E1" w:rsidRPr="00677542">
        <w:t xml:space="preserve"> (nusprendus gyventi skyriumi) – tai nustato teismas (CK 3.192 straipsnio 1 dalis, </w:t>
      </w:r>
      <w:r w:rsidR="008934EB">
        <w:t xml:space="preserve">3.193 straipsnio 1 dalis, </w:t>
      </w:r>
      <w:r w:rsidR="00A712E1" w:rsidRPr="00677542">
        <w:t>3.194 straipsnio 1 ir 2 dalys).</w:t>
      </w:r>
      <w:r w:rsidR="00FC116E" w:rsidRPr="00677542">
        <w:t xml:space="preserve"> </w:t>
      </w:r>
      <w:r w:rsidR="00F20BD0" w:rsidRPr="00677542">
        <w:t>CK 3.192 straipsn</w:t>
      </w:r>
      <w:r w:rsidR="00FC116E" w:rsidRPr="00677542">
        <w:t>io</w:t>
      </w:r>
      <w:r w:rsidR="00F20BD0" w:rsidRPr="00677542">
        <w:t xml:space="preserve"> 2 dalyje nurodyta, kad išlaikymo dydis turi būti proporcingas nepilnamečių vaikų poreikiams bei jų tėvų turtinei padėčiai ir</w:t>
      </w:r>
      <w:r w:rsidR="00F20BD0" w:rsidRPr="00677542">
        <w:rPr>
          <w:i/>
          <w:iCs/>
        </w:rPr>
        <w:t> </w:t>
      </w:r>
      <w:r w:rsidR="00F20BD0" w:rsidRPr="00677542">
        <w:t xml:space="preserve">užtikrinti būtinas vaikui vystytis sąlygas. </w:t>
      </w:r>
      <w:r w:rsidR="001D297D">
        <w:t>Be to, vadovaujantis to paties straipsnio 3 dalimi, m</w:t>
      </w:r>
      <w:r w:rsidR="001D297D" w:rsidRPr="001D297D">
        <w:t xml:space="preserve">aterialinį išlaikymą savo nepilnamečiams vaikams </w:t>
      </w:r>
      <w:r w:rsidR="001D297D" w:rsidRPr="001D297D">
        <w:rPr>
          <w:i/>
          <w:iCs/>
        </w:rPr>
        <w:t>privalo teikti abu tėvai proporcingai savo turtinei padėčiai</w:t>
      </w:r>
      <w:r w:rsidR="001D297D" w:rsidRPr="001D297D">
        <w:t>.</w:t>
      </w:r>
    </w:p>
    <w:p w14:paraId="57EFC6EC" w14:textId="1A81D16E" w:rsidR="005E4F33" w:rsidRPr="00677542" w:rsidRDefault="00CF09F5" w:rsidP="004C6F0E">
      <w:pPr>
        <w:ind w:firstLine="851"/>
        <w:jc w:val="both"/>
      </w:pPr>
      <w:r w:rsidRPr="00677542">
        <w:rPr>
          <w:shd w:val="clear" w:color="auto" w:fill="FFFFFF"/>
        </w:rPr>
        <w:t xml:space="preserve">Pateiktos peticijos kontekste svarbu pastebėti, kad </w:t>
      </w:r>
      <w:r w:rsidR="00144188">
        <w:rPr>
          <w:shd w:val="clear" w:color="auto" w:fill="FFFFFF"/>
        </w:rPr>
        <w:t xml:space="preserve">nors </w:t>
      </w:r>
      <w:r w:rsidRPr="00677542">
        <w:rPr>
          <w:shd w:val="clear" w:color="auto" w:fill="FFFFFF"/>
        </w:rPr>
        <w:t>v</w:t>
      </w:r>
      <w:r w:rsidR="005E4F33" w:rsidRPr="00677542">
        <w:rPr>
          <w:shd w:val="clear" w:color="auto" w:fill="FFFFFF"/>
        </w:rPr>
        <w:t xml:space="preserve">aiko poreikių ir tėvų turtinės padėties kriterijai įstatyme nedetalizuoti, tačiau nuosekliai išplėtoti kasacinio teismo praktikoje. Pagrindas apskaičiuoti vaikui reikalingą išlaikymą yra jo poreikiai. Nustatydamas konkretaus vaiko poreikių turinį, teismas turi įvertinti, ar išlaikymas bus pakankamas vaiko būtinoms vystymosi sąlygoms tenkinti, t. y. ar bus patenkinti vaiko poreikiai maistui, aprangai, </w:t>
      </w:r>
      <w:r w:rsidR="005E4F33" w:rsidRPr="00677542">
        <w:rPr>
          <w:shd w:val="clear" w:color="auto" w:fill="FFFFFF"/>
        </w:rPr>
        <w:lastRenderedPageBreak/>
        <w:t>būstui, sveikatai, mokslui, poilsiui, laisvalaikiui, kultūriniam ir kitokiam ugdymui (</w:t>
      </w:r>
      <w:r w:rsidR="005E4F33" w:rsidRPr="00677542">
        <w:rPr>
          <w:i/>
          <w:iCs/>
          <w:shd w:val="clear" w:color="auto" w:fill="FFFFFF"/>
        </w:rPr>
        <w:t>L</w:t>
      </w:r>
      <w:r w:rsidR="00F20BD0" w:rsidRPr="00677542">
        <w:rPr>
          <w:i/>
          <w:iCs/>
          <w:shd w:val="clear" w:color="auto" w:fill="FFFFFF"/>
        </w:rPr>
        <w:t>ietuvos Aukščiausiojo Teismo</w:t>
      </w:r>
      <w:r w:rsidR="005E4F33" w:rsidRPr="00677542">
        <w:rPr>
          <w:i/>
          <w:iCs/>
          <w:shd w:val="clear" w:color="auto" w:fill="FFFFFF"/>
        </w:rPr>
        <w:t xml:space="preserve"> 2013 m. kovo 28 d. nutartis civilinėje byloje Nr. </w:t>
      </w:r>
      <w:bookmarkStart w:id="5" w:name="n49549896-68a3-4437-94ea-dd485eec5759"/>
      <w:r w:rsidR="005E4F33" w:rsidRPr="00677542">
        <w:rPr>
          <w:i/>
          <w:iCs/>
        </w:rPr>
        <w:fldChar w:fldCharType="begin"/>
      </w:r>
      <w:r w:rsidR="005E4F33" w:rsidRPr="00677542">
        <w:rPr>
          <w:i/>
          <w:iCs/>
        </w:rPr>
        <w:instrText>HYPERLINK "https://www.infolex.lt/tp/652784" \o "3K-3-209/2013 Dėl abiejų sutuoktinių kaltės, nepilnamečio vaiko gyvenamosios vietos nustatymo, išlaikymo jam priteisimo, turto padalijimo" \t "_blank"</w:instrText>
      </w:r>
      <w:r w:rsidR="005E4F33" w:rsidRPr="00677542">
        <w:rPr>
          <w:i/>
          <w:iCs/>
        </w:rPr>
        <w:fldChar w:fldCharType="separate"/>
      </w:r>
      <w:r w:rsidR="005E4F33" w:rsidRPr="00677542">
        <w:rPr>
          <w:rStyle w:val="Hipersaitas"/>
          <w:i/>
          <w:iCs/>
          <w:color w:val="auto"/>
          <w:u w:val="none"/>
          <w:shd w:val="clear" w:color="auto" w:fill="FFFFFF"/>
        </w:rPr>
        <w:t>3K-3-209/2013</w:t>
      </w:r>
      <w:r w:rsidR="005E4F33" w:rsidRPr="00677542">
        <w:rPr>
          <w:i/>
          <w:iCs/>
        </w:rPr>
        <w:fldChar w:fldCharType="end"/>
      </w:r>
      <w:bookmarkStart w:id="6" w:name="pn49549896-68a3-4437-94ea-dd485eec5759"/>
      <w:bookmarkEnd w:id="5"/>
      <w:bookmarkEnd w:id="6"/>
      <w:r w:rsidR="005E4F33" w:rsidRPr="00677542">
        <w:rPr>
          <w:shd w:val="clear" w:color="auto" w:fill="FFFFFF"/>
        </w:rPr>
        <w:t>).</w:t>
      </w:r>
    </w:p>
    <w:p w14:paraId="5AE909BA" w14:textId="2B6A7870" w:rsidR="00C430A4" w:rsidRPr="00677542" w:rsidRDefault="00C430A4">
      <w:pPr>
        <w:ind w:firstLine="851"/>
        <w:jc w:val="both"/>
        <w:rPr>
          <w:shd w:val="clear" w:color="auto" w:fill="FFFFFF"/>
        </w:rPr>
      </w:pPr>
      <w:r w:rsidRPr="00677542">
        <w:rPr>
          <w:shd w:val="clear" w:color="auto" w:fill="FFFFFF"/>
        </w:rPr>
        <w:t xml:space="preserve">Kasacinio teismo praktikoje išaiškinta, </w:t>
      </w:r>
      <w:r w:rsidRPr="00677542">
        <w:rPr>
          <w:i/>
          <w:iCs/>
          <w:shd w:val="clear" w:color="auto" w:fill="FFFFFF"/>
        </w:rPr>
        <w:t>kad teismas negali priteisti vaikui išlaikyti daugiau, negu objektyviai leidžia tėvų turtinė padėtis</w:t>
      </w:r>
      <w:r w:rsidRPr="00677542">
        <w:rPr>
          <w:shd w:val="clear" w:color="auto" w:fill="FFFFFF"/>
        </w:rPr>
        <w:t>, todėl kiekvienu konkrečiu atveju nagrinėdamas bylą dėl išlaikymo priteisimo ar jo dydžio pakeitimo teismas privalo nustatyti tėvų turtinę padėtį (</w:t>
      </w:r>
      <w:bookmarkStart w:id="7" w:name="nd5b094da-8e65-4eeb-90ac-1b02177e9c5d"/>
      <w:r w:rsidRPr="00677542">
        <w:rPr>
          <w:i/>
          <w:iCs/>
          <w:shd w:val="clear" w:color="auto" w:fill="FFFFFF"/>
        </w:rPr>
        <w:fldChar w:fldCharType="begin"/>
      </w:r>
      <w:r w:rsidRPr="00677542">
        <w:rPr>
          <w:i/>
          <w:iCs/>
          <w:shd w:val="clear" w:color="auto" w:fill="FFFFFF"/>
        </w:rPr>
        <w:instrText>HYPERLINK "https://www.infolex.lt/ta/563172" \o "Lietuvos Aukščiausiasis teismas" \t "_blank"</w:instrText>
      </w:r>
      <w:r w:rsidRPr="00677542">
        <w:rPr>
          <w:i/>
          <w:iCs/>
          <w:shd w:val="clear" w:color="auto" w:fill="FFFFFF"/>
        </w:rPr>
        <w:fldChar w:fldCharType="separate"/>
      </w:r>
      <w:r w:rsidRPr="00677542">
        <w:rPr>
          <w:rStyle w:val="Hipersaitas"/>
          <w:i/>
          <w:iCs/>
          <w:color w:val="auto"/>
          <w:u w:val="none"/>
          <w:shd w:val="clear" w:color="auto" w:fill="FFFFFF"/>
        </w:rPr>
        <w:t>Lietuvos Aukščiausiojo Teismo</w:t>
      </w:r>
      <w:r w:rsidRPr="00677542">
        <w:rPr>
          <w:i/>
          <w:iCs/>
          <w:shd w:val="clear" w:color="auto" w:fill="FFFFFF"/>
        </w:rPr>
        <w:fldChar w:fldCharType="end"/>
      </w:r>
      <w:bookmarkStart w:id="8" w:name="pnd5b094da-8e65-4eeb-90ac-1b02177e9c5d"/>
      <w:bookmarkEnd w:id="7"/>
      <w:bookmarkEnd w:id="8"/>
      <w:r w:rsidRPr="00677542">
        <w:rPr>
          <w:i/>
          <w:iCs/>
          <w:shd w:val="clear" w:color="auto" w:fill="FFFFFF"/>
        </w:rPr>
        <w:t> 2020 m. balandžio 2 d. nutartis civilinėje byloje Nr. e3K-3-164-687/2020</w:t>
      </w:r>
      <w:r w:rsidRPr="00677542">
        <w:rPr>
          <w:shd w:val="clear" w:color="auto" w:fill="FFFFFF"/>
        </w:rPr>
        <w:t xml:space="preserve">). Tėvų turtinė padėtis turi būti vertinama, atsižvelgiant į faktinių aplinkybių visumą: tėvų gaunamas pajamas, turimą kilnojamąjį ir nekilnojamąjį turtą, investicijas, sveikatą, </w:t>
      </w:r>
      <w:r w:rsidRPr="00677542">
        <w:rPr>
          <w:i/>
          <w:iCs/>
          <w:shd w:val="clear" w:color="auto" w:fill="FFFFFF"/>
        </w:rPr>
        <w:t>išlaikytinių skaičių, taip pat tėvų elgesį, siekiant uždirbti, gauti pajamas vaikams išlaikyti</w:t>
      </w:r>
      <w:r w:rsidRPr="00677542">
        <w:rPr>
          <w:shd w:val="clear" w:color="auto" w:fill="FFFFFF"/>
        </w:rPr>
        <w:t>. Nustatant vieno iš tėvų turtinę padėtį, vertintinas ne tik jo turimas turtas ir gaunamos pajamos, bet ir tai, kokių priemonių jis ėmėsi, kad gautų atitinkančias savo amžių bei profesines galimybes pajamas, iš kurių būtų teikiamas išlaikymas vaikams (</w:t>
      </w:r>
      <w:r w:rsidRPr="00677542">
        <w:rPr>
          <w:i/>
          <w:iCs/>
          <w:shd w:val="clear" w:color="auto" w:fill="FFFFFF"/>
        </w:rPr>
        <w:t>Lietuvos Aukščiausiojo Teismo 2013 m. spalio 21 d. nutart</w:t>
      </w:r>
      <w:r w:rsidR="00F20BD0" w:rsidRPr="00677542">
        <w:rPr>
          <w:i/>
          <w:iCs/>
          <w:shd w:val="clear" w:color="auto" w:fill="FFFFFF"/>
        </w:rPr>
        <w:t>is</w:t>
      </w:r>
      <w:r w:rsidRPr="00677542">
        <w:rPr>
          <w:i/>
          <w:iCs/>
          <w:shd w:val="clear" w:color="auto" w:fill="FFFFFF"/>
        </w:rPr>
        <w:t xml:space="preserve"> civilinėje byloje Nr. </w:t>
      </w:r>
      <w:bookmarkStart w:id="9" w:name="n0a762808-8c30-4263-8706-c80d68a13e37"/>
      <w:r w:rsidRPr="00677542">
        <w:rPr>
          <w:i/>
          <w:iCs/>
          <w:shd w:val="clear" w:color="auto" w:fill="FFFFFF"/>
        </w:rPr>
        <w:fldChar w:fldCharType="begin"/>
      </w:r>
      <w:r w:rsidRPr="00677542">
        <w:rPr>
          <w:i/>
          <w:iCs/>
          <w:shd w:val="clear" w:color="auto" w:fill="FFFFFF"/>
        </w:rPr>
        <w:instrText>HYPERLINK "https://www.infolex.lt/tp/731965" \o "3K-3-491/2013 Dėl sutuoktinio kaltės ir santuokinio turto padalijimo" \t "_blank"</w:instrText>
      </w:r>
      <w:r w:rsidRPr="00677542">
        <w:rPr>
          <w:i/>
          <w:iCs/>
          <w:shd w:val="clear" w:color="auto" w:fill="FFFFFF"/>
        </w:rPr>
        <w:fldChar w:fldCharType="separate"/>
      </w:r>
      <w:r w:rsidRPr="00677542">
        <w:rPr>
          <w:rStyle w:val="Hipersaitas"/>
          <w:i/>
          <w:iCs/>
          <w:color w:val="auto"/>
          <w:u w:val="none"/>
          <w:shd w:val="clear" w:color="auto" w:fill="FFFFFF"/>
        </w:rPr>
        <w:t>3K-3-491/2013</w:t>
      </w:r>
      <w:r w:rsidRPr="00677542">
        <w:rPr>
          <w:i/>
          <w:iCs/>
          <w:shd w:val="clear" w:color="auto" w:fill="FFFFFF"/>
        </w:rPr>
        <w:fldChar w:fldCharType="end"/>
      </w:r>
      <w:bookmarkStart w:id="10" w:name="pn0a762808-8c30-4263-8706-c80d68a13e37"/>
      <w:bookmarkEnd w:id="9"/>
      <w:bookmarkEnd w:id="10"/>
      <w:r w:rsidRPr="00677542">
        <w:rPr>
          <w:shd w:val="clear" w:color="auto" w:fill="FFFFFF"/>
        </w:rPr>
        <w:t>). </w:t>
      </w:r>
    </w:p>
    <w:p w14:paraId="7591D5D6" w14:textId="754739EB" w:rsidR="002F0BDA" w:rsidRPr="00677542" w:rsidRDefault="00C430A4" w:rsidP="007E6B69">
      <w:pPr>
        <w:ind w:firstLine="851"/>
        <w:jc w:val="both"/>
        <w:rPr>
          <w:shd w:val="clear" w:color="auto" w:fill="FFFFFF"/>
        </w:rPr>
      </w:pPr>
      <w:r w:rsidRPr="00677542">
        <w:rPr>
          <w:shd w:val="clear" w:color="auto" w:fill="FFFFFF"/>
        </w:rPr>
        <w:t>Vertindamas tėvų turtinę padėtį, teismas turi atsižvelgti į prioritetinės vaikų teisių ir interesų apsaugos ir gynimo principą</w:t>
      </w:r>
      <w:r w:rsidR="00F20BD0" w:rsidRPr="00677542">
        <w:rPr>
          <w:shd w:val="clear" w:color="auto" w:fill="FFFFFF"/>
        </w:rPr>
        <w:t xml:space="preserve">, </w:t>
      </w:r>
      <w:r w:rsidRPr="00677542">
        <w:rPr>
          <w:shd w:val="clear" w:color="auto" w:fill="FFFFFF"/>
        </w:rPr>
        <w:t>lemiantį, kad visos abejonės dėl išlaikymo priteisimo, jo dydžio, formos nustatymo turi būti vertinamos vaiko interesų naudai. Jei yra pagrįstų abejonių dėl tikrosios tėvų turtinės padėties, jų gaunamų pajamų, teismas ją turi vertinti vaiko interesų naudai, t. y. laikyti, kad padėtis leidžia priteisti vaiko poreikius atitinkantį išlaikymo dydį. </w:t>
      </w:r>
      <w:r w:rsidRPr="00677542">
        <w:rPr>
          <w:i/>
          <w:iCs/>
          <w:shd w:val="clear" w:color="auto" w:fill="FFFFFF"/>
        </w:rPr>
        <w:t>Sąžiningo ir rūpestingo asmens, kuris turi pareigą išlaikyti savo nepilnametį vaiką, elgesio standartai reikalauja imtis visų jam prieinamų priemonių, kad gautų pajamas, pakankamas vaikui išlaikyti.</w:t>
      </w:r>
      <w:r w:rsidRPr="00677542">
        <w:rPr>
          <w:shd w:val="clear" w:color="auto" w:fill="FFFFFF"/>
        </w:rPr>
        <w:t> Kilus ginčui dėl tėvų turtinės padėties, įstatymo pareiga tėvams išlaikyti vaiką lemia pareigą teikti tikrosios jų turtinės padėties įrodymus</w:t>
      </w:r>
      <w:r w:rsidR="00F20BD0" w:rsidRPr="00677542">
        <w:rPr>
          <w:shd w:val="clear" w:color="auto" w:fill="FFFFFF"/>
        </w:rPr>
        <w:t xml:space="preserve"> </w:t>
      </w:r>
      <w:r w:rsidRPr="00677542">
        <w:rPr>
          <w:shd w:val="clear" w:color="auto" w:fill="FFFFFF"/>
        </w:rPr>
        <w:t>(</w:t>
      </w:r>
      <w:r w:rsidRPr="00677542">
        <w:rPr>
          <w:i/>
          <w:iCs/>
          <w:shd w:val="clear" w:color="auto" w:fill="FFFFFF"/>
        </w:rPr>
        <w:t>Lietuvos Aukščiausiojo Teismo 2015 m. balandžio 8 d. nutart</w:t>
      </w:r>
      <w:r w:rsidR="00A85FEC" w:rsidRPr="00677542">
        <w:rPr>
          <w:i/>
          <w:iCs/>
          <w:shd w:val="clear" w:color="auto" w:fill="FFFFFF"/>
        </w:rPr>
        <w:t>is civilinėje byloje</w:t>
      </w:r>
      <w:r w:rsidRPr="00677542">
        <w:rPr>
          <w:i/>
          <w:iCs/>
          <w:shd w:val="clear" w:color="auto" w:fill="FFFFFF"/>
        </w:rPr>
        <w:t xml:space="preserve"> Nr. </w:t>
      </w:r>
      <w:bookmarkStart w:id="11" w:name="n1e81deb9-2a1d-49e5-95b8-bf4f75888ab9"/>
      <w:r w:rsidRPr="00677542">
        <w:rPr>
          <w:i/>
          <w:iCs/>
          <w:shd w:val="clear" w:color="auto" w:fill="FFFFFF"/>
        </w:rPr>
        <w:fldChar w:fldCharType="begin"/>
      </w:r>
      <w:r w:rsidRPr="00677542">
        <w:rPr>
          <w:i/>
          <w:iCs/>
          <w:shd w:val="clear" w:color="auto" w:fill="FFFFFF"/>
        </w:rPr>
        <w:instrText>HYPERLINK "https://www.infolex.lt/tp/1025128" \o "3K-3-195-915/2015 Dėl išlaikymo vaikui priteisimo ir vaiko gyvenamosios vietos nustatymo" \t "_blank"</w:instrText>
      </w:r>
      <w:r w:rsidRPr="00677542">
        <w:rPr>
          <w:i/>
          <w:iCs/>
          <w:shd w:val="clear" w:color="auto" w:fill="FFFFFF"/>
        </w:rPr>
        <w:fldChar w:fldCharType="separate"/>
      </w:r>
      <w:r w:rsidRPr="00677542">
        <w:rPr>
          <w:rStyle w:val="Hipersaitas"/>
          <w:i/>
          <w:iCs/>
          <w:color w:val="auto"/>
          <w:u w:val="none"/>
          <w:shd w:val="clear" w:color="auto" w:fill="FFFFFF"/>
        </w:rPr>
        <w:t>3K-3-195-915/2015</w:t>
      </w:r>
      <w:r w:rsidRPr="00677542">
        <w:rPr>
          <w:i/>
          <w:iCs/>
          <w:shd w:val="clear" w:color="auto" w:fill="FFFFFF"/>
        </w:rPr>
        <w:fldChar w:fldCharType="end"/>
      </w:r>
      <w:bookmarkStart w:id="12" w:name="pn1e81deb9-2a1d-49e5-95b8-bf4f75888ab9"/>
      <w:bookmarkEnd w:id="11"/>
      <w:bookmarkEnd w:id="12"/>
      <w:r w:rsidRPr="00677542">
        <w:rPr>
          <w:shd w:val="clear" w:color="auto" w:fill="FFFFFF"/>
        </w:rPr>
        <w:t>).</w:t>
      </w:r>
      <w:r w:rsidR="00CF09F5" w:rsidRPr="00677542">
        <w:rPr>
          <w:shd w:val="clear" w:color="auto" w:fill="FFFFFF"/>
        </w:rPr>
        <w:t xml:space="preserve"> T</w:t>
      </w:r>
      <w:r w:rsidR="007E6B69" w:rsidRPr="00677542">
        <w:rPr>
          <w:shd w:val="clear" w:color="auto" w:fill="FFFFFF"/>
        </w:rPr>
        <w:t xml:space="preserve">aigi, kaip matyti iš kasacinio teismo praktikos, teismai, vertindami </w:t>
      </w:r>
      <w:r w:rsidR="004F0BB4">
        <w:rPr>
          <w:shd w:val="clear" w:color="auto" w:fill="FFFFFF"/>
        </w:rPr>
        <w:t>nustatytiną</w:t>
      </w:r>
      <w:r w:rsidR="007E6B69" w:rsidRPr="00677542">
        <w:rPr>
          <w:shd w:val="clear" w:color="auto" w:fill="FFFFFF"/>
        </w:rPr>
        <w:t xml:space="preserve"> vaiko išlaikymo dydį, privalo kiekvienu atveju objektyviai įvertinti </w:t>
      </w:r>
      <w:r w:rsidR="00630F2D" w:rsidRPr="00677542">
        <w:rPr>
          <w:shd w:val="clear" w:color="auto" w:fill="FFFFFF"/>
        </w:rPr>
        <w:t xml:space="preserve">ne tik vaiko poreikius, bet ir atsižvelgti į realias tėvų gaunamas pajamas, taip pat jų siekį </w:t>
      </w:r>
      <w:r w:rsidR="004514A7" w:rsidRPr="00677542">
        <w:rPr>
          <w:shd w:val="clear" w:color="auto" w:fill="FFFFFF"/>
        </w:rPr>
        <w:t xml:space="preserve">užsidirbti ir tinkamai </w:t>
      </w:r>
      <w:r w:rsidR="00537495" w:rsidRPr="00677542">
        <w:rPr>
          <w:shd w:val="clear" w:color="auto" w:fill="FFFFFF"/>
        </w:rPr>
        <w:t xml:space="preserve">vykdyti savo </w:t>
      </w:r>
      <w:r w:rsidR="004514A7" w:rsidRPr="00677542">
        <w:rPr>
          <w:shd w:val="clear" w:color="auto" w:fill="FFFFFF"/>
        </w:rPr>
        <w:t>pareig</w:t>
      </w:r>
      <w:r w:rsidR="00537495" w:rsidRPr="00677542">
        <w:rPr>
          <w:shd w:val="clear" w:color="auto" w:fill="FFFFFF"/>
        </w:rPr>
        <w:t>ą</w:t>
      </w:r>
      <w:r w:rsidR="004514A7" w:rsidRPr="00677542">
        <w:rPr>
          <w:shd w:val="clear" w:color="auto" w:fill="FFFFFF"/>
        </w:rPr>
        <w:t xml:space="preserve"> išlaikyti vaiką</w:t>
      </w:r>
      <w:r w:rsidR="00537495" w:rsidRPr="00677542">
        <w:rPr>
          <w:shd w:val="clear" w:color="auto" w:fill="FFFFFF"/>
        </w:rPr>
        <w:t xml:space="preserve">. </w:t>
      </w:r>
      <w:r w:rsidR="00227EAF" w:rsidRPr="00677542">
        <w:rPr>
          <w:shd w:val="clear" w:color="auto" w:fill="FFFFFF"/>
        </w:rPr>
        <w:t xml:space="preserve">Atsižvelgiant į tai, nesutiktina su peticijoje nurodomomis aplinkybėmis, </w:t>
      </w:r>
      <w:r w:rsidR="00977D86" w:rsidRPr="00677542">
        <w:rPr>
          <w:shd w:val="clear" w:color="auto" w:fill="FFFFFF"/>
        </w:rPr>
        <w:t>jog</w:t>
      </w:r>
      <w:r w:rsidR="00227EAF" w:rsidRPr="00677542">
        <w:rPr>
          <w:shd w:val="clear" w:color="auto" w:fill="FFFFFF"/>
        </w:rPr>
        <w:t xml:space="preserve"> teismai priteisia išlaikymą, neatsižvelgdami į tėvų finansinę padėtį. </w:t>
      </w:r>
    </w:p>
    <w:p w14:paraId="42BB3407" w14:textId="6C9F49EA" w:rsidR="00D264D2" w:rsidRPr="00677542" w:rsidRDefault="00977D86" w:rsidP="00D264D2">
      <w:pPr>
        <w:ind w:firstLine="851"/>
        <w:jc w:val="both"/>
        <w:rPr>
          <w:shd w:val="clear" w:color="auto" w:fill="FFFFFF"/>
        </w:rPr>
      </w:pPr>
      <w:r w:rsidRPr="00677542">
        <w:rPr>
          <w:shd w:val="clear" w:color="auto" w:fill="FFFFFF"/>
        </w:rPr>
        <w:t>Be to, nepagrįst</w:t>
      </w:r>
      <w:r w:rsidR="00CB5031" w:rsidRPr="00677542">
        <w:rPr>
          <w:shd w:val="clear" w:color="auto" w:fill="FFFFFF"/>
        </w:rPr>
        <w:t>i</w:t>
      </w:r>
      <w:r w:rsidRPr="00677542">
        <w:rPr>
          <w:shd w:val="clear" w:color="auto" w:fill="FFFFFF"/>
        </w:rPr>
        <w:t xml:space="preserve"> ir peticijoje nurodyt</w:t>
      </w:r>
      <w:r w:rsidR="00CB5031" w:rsidRPr="00677542">
        <w:rPr>
          <w:shd w:val="clear" w:color="auto" w:fill="FFFFFF"/>
        </w:rPr>
        <w:t>i argumentai</w:t>
      </w:r>
      <w:r w:rsidRPr="00677542">
        <w:rPr>
          <w:shd w:val="clear" w:color="auto" w:fill="FFFFFF"/>
        </w:rPr>
        <w:t xml:space="preserve">, kad dabartinė išlaikymo priteisimo tvarka skatina skyrybas, siekiant </w:t>
      </w:r>
      <w:r w:rsidR="002F0BDA" w:rsidRPr="00677542">
        <w:rPr>
          <w:shd w:val="clear" w:color="auto" w:fill="FFFFFF"/>
        </w:rPr>
        <w:t>praturtėti sutuoktinio sąskaita</w:t>
      </w:r>
      <w:r w:rsidR="00D264D2" w:rsidRPr="00677542">
        <w:rPr>
          <w:shd w:val="clear" w:color="auto" w:fill="FFFFFF"/>
        </w:rPr>
        <w:t>, gavus išlaikymą už vaikus</w:t>
      </w:r>
      <w:r w:rsidR="00713875">
        <w:rPr>
          <w:shd w:val="clear" w:color="auto" w:fill="FFFFFF"/>
        </w:rPr>
        <w:t>,</w:t>
      </w:r>
      <w:r w:rsidR="00CB5031" w:rsidRPr="00677542">
        <w:rPr>
          <w:shd w:val="clear" w:color="auto" w:fill="FFFFFF"/>
        </w:rPr>
        <w:t xml:space="preserve"> ir nėra jokio mechanizmo patikrinti</w:t>
      </w:r>
      <w:r w:rsidR="00713875">
        <w:rPr>
          <w:shd w:val="clear" w:color="auto" w:fill="FFFFFF"/>
        </w:rPr>
        <w:t>,</w:t>
      </w:r>
      <w:r w:rsidR="00CB5031" w:rsidRPr="00677542">
        <w:rPr>
          <w:shd w:val="clear" w:color="auto" w:fill="FFFFFF"/>
        </w:rPr>
        <w:t xml:space="preserve"> kam išleidžiami pinigai</w:t>
      </w:r>
      <w:r w:rsidR="002F0BDA" w:rsidRPr="00677542">
        <w:rPr>
          <w:shd w:val="clear" w:color="auto" w:fill="FFFFFF"/>
        </w:rPr>
        <w:t xml:space="preserve">. </w:t>
      </w:r>
      <w:r w:rsidR="00D264D2" w:rsidRPr="00677542">
        <w:rPr>
          <w:shd w:val="clear" w:color="auto" w:fill="FFFFFF"/>
        </w:rPr>
        <w:t xml:space="preserve">Pirmiausia, </w:t>
      </w:r>
      <w:r w:rsidR="004861AA" w:rsidRPr="00677542">
        <w:rPr>
          <w:shd w:val="clear" w:color="auto" w:fill="FFFFFF"/>
        </w:rPr>
        <w:t>tėvai</w:t>
      </w:r>
      <w:r w:rsidR="00713875">
        <w:rPr>
          <w:shd w:val="clear" w:color="auto" w:fill="FFFFFF"/>
        </w:rPr>
        <w:t>,</w:t>
      </w:r>
      <w:r w:rsidR="004861AA" w:rsidRPr="00677542">
        <w:rPr>
          <w:shd w:val="clear" w:color="auto" w:fill="FFFFFF"/>
        </w:rPr>
        <w:t xml:space="preserve"> tiek būdami santuokoje, tiek išsiskyrę, turi </w:t>
      </w:r>
      <w:r w:rsidR="00F46FD9">
        <w:rPr>
          <w:shd w:val="clear" w:color="auto" w:fill="FFFFFF"/>
        </w:rPr>
        <w:t xml:space="preserve">vienodą </w:t>
      </w:r>
      <w:r w:rsidR="004861AA" w:rsidRPr="00677542">
        <w:rPr>
          <w:shd w:val="clear" w:color="auto" w:fill="FFFFFF"/>
        </w:rPr>
        <w:t xml:space="preserve">pareigą </w:t>
      </w:r>
      <w:r w:rsidR="00F46FD9">
        <w:rPr>
          <w:shd w:val="clear" w:color="auto" w:fill="FFFFFF"/>
        </w:rPr>
        <w:t xml:space="preserve">proporcingai savo turtinei padėčiai </w:t>
      </w:r>
      <w:r w:rsidR="004861AA" w:rsidRPr="00677542">
        <w:rPr>
          <w:shd w:val="clear" w:color="auto" w:fill="FFFFFF"/>
        </w:rPr>
        <w:t>prisidėti prie vaiko išlaikymo</w:t>
      </w:r>
      <w:r w:rsidR="006A5569" w:rsidRPr="00677542">
        <w:rPr>
          <w:shd w:val="clear" w:color="auto" w:fill="FFFFFF"/>
        </w:rPr>
        <w:t xml:space="preserve"> (CK 3.156 straipsni</w:t>
      </w:r>
      <w:r w:rsidR="00843DED" w:rsidRPr="00677542">
        <w:rPr>
          <w:shd w:val="clear" w:color="auto" w:fill="FFFFFF"/>
        </w:rPr>
        <w:t>s</w:t>
      </w:r>
      <w:r w:rsidR="001564D5">
        <w:rPr>
          <w:shd w:val="clear" w:color="auto" w:fill="FFFFFF"/>
        </w:rPr>
        <w:t>, 3.192 straipsnio 3 dalis</w:t>
      </w:r>
      <w:r w:rsidR="00843DED" w:rsidRPr="00677542">
        <w:rPr>
          <w:shd w:val="clear" w:color="auto" w:fill="FFFFFF"/>
        </w:rPr>
        <w:t>)</w:t>
      </w:r>
      <w:r w:rsidR="00DE397B" w:rsidRPr="00677542">
        <w:rPr>
          <w:shd w:val="clear" w:color="auto" w:fill="FFFFFF"/>
        </w:rPr>
        <w:t>, o tai vertina ir teismai, apskaičiuodami priteistiną vaiko išlaikymo dydį</w:t>
      </w:r>
      <w:r w:rsidR="004861AA" w:rsidRPr="00677542">
        <w:rPr>
          <w:shd w:val="clear" w:color="auto" w:fill="FFFFFF"/>
        </w:rPr>
        <w:t>.</w:t>
      </w:r>
      <w:r w:rsidR="00DE397B" w:rsidRPr="00677542">
        <w:rPr>
          <w:shd w:val="clear" w:color="auto" w:fill="FFFFFF"/>
        </w:rPr>
        <w:t xml:space="preserve"> Antra, </w:t>
      </w:r>
      <w:r w:rsidR="002B426D" w:rsidRPr="00677542">
        <w:rPr>
          <w:shd w:val="clear" w:color="auto" w:fill="FFFFFF"/>
        </w:rPr>
        <w:t>tėvų ir vaikų turtas yra atskirtas</w:t>
      </w:r>
      <w:r w:rsidR="00DC47F4" w:rsidRPr="00677542">
        <w:rPr>
          <w:shd w:val="clear" w:color="auto" w:fill="FFFFFF"/>
        </w:rPr>
        <w:t xml:space="preserve">, o priteistą išlaikymą vaikui buvęs sutuoktinis valdo </w:t>
      </w:r>
      <w:r w:rsidR="00040547" w:rsidRPr="00677542">
        <w:rPr>
          <w:shd w:val="clear" w:color="auto" w:fill="FFFFFF"/>
        </w:rPr>
        <w:t>uzufrukto teise</w:t>
      </w:r>
      <w:r w:rsidR="00044B35" w:rsidRPr="00677542">
        <w:rPr>
          <w:shd w:val="clear" w:color="auto" w:fill="FFFFFF"/>
        </w:rPr>
        <w:t xml:space="preserve"> ir</w:t>
      </w:r>
      <w:r w:rsidR="00F64B98" w:rsidRPr="00677542">
        <w:rPr>
          <w:shd w:val="clear" w:color="auto" w:fill="FFFFFF"/>
        </w:rPr>
        <w:t xml:space="preserve"> privalo</w:t>
      </w:r>
      <w:r w:rsidR="00040547" w:rsidRPr="00677542">
        <w:rPr>
          <w:shd w:val="clear" w:color="auto" w:fill="FFFFFF"/>
        </w:rPr>
        <w:t xml:space="preserve"> </w:t>
      </w:r>
      <w:r w:rsidR="00044B35" w:rsidRPr="00677542">
        <w:rPr>
          <w:shd w:val="clear" w:color="auto" w:fill="FFFFFF"/>
        </w:rPr>
        <w:t>tai daryti i</w:t>
      </w:r>
      <w:r w:rsidR="005A096D" w:rsidRPr="00677542">
        <w:rPr>
          <w:shd w:val="clear" w:color="auto" w:fill="FFFFFF"/>
        </w:rPr>
        <w:t>šimtinai</w:t>
      </w:r>
      <w:r w:rsidR="00F64B98" w:rsidRPr="00677542">
        <w:rPr>
          <w:shd w:val="clear" w:color="auto" w:fill="FFFFFF"/>
        </w:rPr>
        <w:t xml:space="preserve"> savo nepilnamečio vaiko</w:t>
      </w:r>
      <w:r w:rsidR="005A096D" w:rsidRPr="00677542">
        <w:rPr>
          <w:shd w:val="clear" w:color="auto" w:fill="FFFFFF"/>
        </w:rPr>
        <w:t xml:space="preserve"> </w:t>
      </w:r>
      <w:r w:rsidR="00F64B98" w:rsidRPr="00677542">
        <w:rPr>
          <w:shd w:val="clear" w:color="auto" w:fill="FFFFFF"/>
        </w:rPr>
        <w:t>interesai</w:t>
      </w:r>
      <w:r w:rsidR="00B75A9B" w:rsidRPr="00677542">
        <w:rPr>
          <w:shd w:val="clear" w:color="auto" w:fill="FFFFFF"/>
        </w:rPr>
        <w:t xml:space="preserve">s. Tuo atveju, jeigu lėšos </w:t>
      </w:r>
      <w:r w:rsidR="00FF3348" w:rsidRPr="00677542">
        <w:rPr>
          <w:shd w:val="clear" w:color="auto" w:fill="FFFFFF"/>
        </w:rPr>
        <w:t xml:space="preserve">nėra tvarkomos tinkamai, yra galimybė kreiptis į teismą dėl uzufrukto teisės </w:t>
      </w:r>
      <w:r w:rsidR="00EA693C" w:rsidRPr="00677542">
        <w:rPr>
          <w:shd w:val="clear" w:color="auto" w:fill="FFFFFF"/>
        </w:rPr>
        <w:t xml:space="preserve">panaikinimo (CK </w:t>
      </w:r>
      <w:r w:rsidR="00E05AFF" w:rsidRPr="00677542">
        <w:rPr>
          <w:shd w:val="clear" w:color="auto" w:fill="FFFFFF"/>
        </w:rPr>
        <w:t xml:space="preserve">3.186 straipsnio 1 dalis, </w:t>
      </w:r>
      <w:r w:rsidR="00EC1BFD" w:rsidRPr="00677542">
        <w:rPr>
          <w:shd w:val="clear" w:color="auto" w:fill="FFFFFF"/>
        </w:rPr>
        <w:t>3.190 straipsnio 1</w:t>
      </w:r>
      <w:r w:rsidR="002B0780">
        <w:rPr>
          <w:shd w:val="clear" w:color="auto" w:fill="FFFFFF"/>
        </w:rPr>
        <w:t> </w:t>
      </w:r>
      <w:r w:rsidR="00EC1BFD" w:rsidRPr="00677542">
        <w:rPr>
          <w:shd w:val="clear" w:color="auto" w:fill="FFFFFF"/>
        </w:rPr>
        <w:t xml:space="preserve">dalis, 3.191 </w:t>
      </w:r>
      <w:r w:rsidR="0044353B" w:rsidRPr="00677542">
        <w:rPr>
          <w:shd w:val="clear" w:color="auto" w:fill="FFFFFF"/>
        </w:rPr>
        <w:t xml:space="preserve">straipsnio 1 dalies 4 punktas). </w:t>
      </w:r>
      <w:r w:rsidR="00420483" w:rsidRPr="00677542">
        <w:rPr>
          <w:shd w:val="clear" w:color="auto" w:fill="FFFFFF"/>
        </w:rPr>
        <w:t xml:space="preserve">Dar daugiau, CK </w:t>
      </w:r>
      <w:r w:rsidR="00AD19C7" w:rsidRPr="00677542">
        <w:rPr>
          <w:shd w:val="clear" w:color="auto" w:fill="FFFFFF"/>
        </w:rPr>
        <w:t xml:space="preserve">saugo nepilnamečio vaiko turtą ir tais atvejais, kai </w:t>
      </w:r>
      <w:r w:rsidR="002D2898" w:rsidRPr="00677542">
        <w:rPr>
          <w:shd w:val="clear" w:color="auto" w:fill="FFFFFF"/>
        </w:rPr>
        <w:t xml:space="preserve">yra sudaroma nauja santuoka (CK 3.190 straipsnio 2 dalis). </w:t>
      </w:r>
    </w:p>
    <w:p w14:paraId="3DB98882" w14:textId="19F4E30A" w:rsidR="00FB0345" w:rsidRDefault="005A096D" w:rsidP="00D264D2">
      <w:pPr>
        <w:ind w:firstLine="851"/>
        <w:jc w:val="both"/>
        <w:rPr>
          <w:shd w:val="clear" w:color="auto" w:fill="FFFFFF"/>
        </w:rPr>
      </w:pPr>
      <w:r w:rsidRPr="00677542">
        <w:rPr>
          <w:shd w:val="clear" w:color="auto" w:fill="FFFFFF"/>
        </w:rPr>
        <w:t xml:space="preserve">Papildomai atkreiptinas dėmesys, kad </w:t>
      </w:r>
      <w:r w:rsidR="00932BDF" w:rsidRPr="00677542">
        <w:rPr>
          <w:shd w:val="clear" w:color="auto" w:fill="FFFFFF"/>
        </w:rPr>
        <w:t xml:space="preserve">turint įrodymų apie tai, jog </w:t>
      </w:r>
      <w:r w:rsidR="00FE4098" w:rsidRPr="00677542">
        <w:rPr>
          <w:shd w:val="clear" w:color="auto" w:fill="FFFFFF"/>
        </w:rPr>
        <w:t xml:space="preserve">pasikeitė šalių turtinė padėtis, galima kreiptis į teismą siekiant priteisto </w:t>
      </w:r>
      <w:r w:rsidR="007D5EE7" w:rsidRPr="00677542">
        <w:rPr>
          <w:shd w:val="clear" w:color="auto" w:fill="FFFFFF"/>
        </w:rPr>
        <w:t>išlaikymo dydžio sumažinimo arba padidinimo</w:t>
      </w:r>
      <w:r w:rsidR="00B45DC4" w:rsidRPr="00677542">
        <w:rPr>
          <w:shd w:val="clear" w:color="auto" w:fill="FFFFFF"/>
        </w:rPr>
        <w:t>, arba prašyti pakeisti priteisto išlaikymo formą</w:t>
      </w:r>
      <w:r w:rsidR="007D5EE7" w:rsidRPr="00677542">
        <w:rPr>
          <w:shd w:val="clear" w:color="auto" w:fill="FFFFFF"/>
        </w:rPr>
        <w:t xml:space="preserve"> (CK 3.201 straipsni</w:t>
      </w:r>
      <w:r w:rsidR="00B45DC4" w:rsidRPr="00677542">
        <w:rPr>
          <w:shd w:val="clear" w:color="auto" w:fill="FFFFFF"/>
        </w:rPr>
        <w:t>s)</w:t>
      </w:r>
      <w:r w:rsidR="007D5EE7" w:rsidRPr="00677542">
        <w:rPr>
          <w:shd w:val="clear" w:color="auto" w:fill="FFFFFF"/>
        </w:rPr>
        <w:t>.</w:t>
      </w:r>
      <w:r w:rsidR="00B45DC4" w:rsidRPr="00677542">
        <w:rPr>
          <w:shd w:val="clear" w:color="auto" w:fill="FFFFFF"/>
        </w:rPr>
        <w:t xml:space="preserve"> </w:t>
      </w:r>
      <w:r w:rsidR="00986280" w:rsidRPr="00677542">
        <w:rPr>
          <w:shd w:val="clear" w:color="auto" w:fill="FFFFFF"/>
        </w:rPr>
        <w:t>Tokiu atveju, pagal kasacinio teismo praktiką, tėvas (motina), įrodinėjantis didesnių ar mažesnių nei minimalioji mėnesinė alga išlaidų reikalaujančius vaiko poreikius, turi pareigą tai pagrįsti</w:t>
      </w:r>
      <w:r w:rsidR="00E234B2" w:rsidRPr="00677542">
        <w:rPr>
          <w:shd w:val="clear" w:color="auto" w:fill="FFFFFF"/>
        </w:rPr>
        <w:t xml:space="preserve"> pateikdamas detalius įrodymus</w:t>
      </w:r>
      <w:r w:rsidR="00677542" w:rsidRPr="00677542">
        <w:rPr>
          <w:shd w:val="clear" w:color="auto" w:fill="FFFFFF"/>
        </w:rPr>
        <w:t xml:space="preserve"> </w:t>
      </w:r>
      <w:r w:rsidR="00986280" w:rsidRPr="00677542">
        <w:rPr>
          <w:shd w:val="clear" w:color="auto" w:fill="FFFFFF"/>
        </w:rPr>
        <w:lastRenderedPageBreak/>
        <w:t>(</w:t>
      </w:r>
      <w:bookmarkStart w:id="13" w:name="na7e28f7a-359e-47b7-9fac-8b56ba5de4b3"/>
      <w:r w:rsidR="00197C72" w:rsidRPr="00E91D72">
        <w:rPr>
          <w:i/>
          <w:iCs/>
          <w:shd w:val="clear" w:color="auto" w:fill="FFFFFF"/>
        </w:rPr>
        <w:fldChar w:fldCharType="begin"/>
      </w:r>
      <w:r w:rsidR="00197C72" w:rsidRPr="00E91D72">
        <w:rPr>
          <w:i/>
          <w:iCs/>
          <w:shd w:val="clear" w:color="auto" w:fill="FFFFFF"/>
        </w:rPr>
        <w:instrText>HYPERLINK "https://www.infolex.lt/ta/563172" \o "Lietuvos Aukščiausiasis teismas" \t "_blank"</w:instrText>
      </w:r>
      <w:r w:rsidR="00197C72" w:rsidRPr="00E91D72">
        <w:rPr>
          <w:i/>
          <w:iCs/>
          <w:shd w:val="clear" w:color="auto" w:fill="FFFFFF"/>
        </w:rPr>
        <w:fldChar w:fldCharType="separate"/>
      </w:r>
      <w:r w:rsidR="00197C72" w:rsidRPr="00E91D72">
        <w:rPr>
          <w:rStyle w:val="Hipersaitas"/>
          <w:i/>
          <w:iCs/>
          <w:color w:val="auto"/>
          <w:u w:val="none"/>
          <w:shd w:val="clear" w:color="auto" w:fill="FFFFFF"/>
        </w:rPr>
        <w:t>Lietuvos Aukščiausiojo Teismo</w:t>
      </w:r>
      <w:r w:rsidR="00197C72" w:rsidRPr="00E91D72">
        <w:rPr>
          <w:i/>
          <w:iCs/>
          <w:shd w:val="clear" w:color="auto" w:fill="FFFFFF"/>
        </w:rPr>
        <w:fldChar w:fldCharType="end"/>
      </w:r>
      <w:bookmarkStart w:id="14" w:name="pna7e28f7a-359e-47b7-9fac-8b56ba5de4b3"/>
      <w:bookmarkEnd w:id="13"/>
      <w:bookmarkEnd w:id="14"/>
      <w:r w:rsidR="00197C72" w:rsidRPr="00E91D72">
        <w:rPr>
          <w:i/>
          <w:iCs/>
          <w:shd w:val="clear" w:color="auto" w:fill="FFFFFF"/>
        </w:rPr>
        <w:t xml:space="preserve"> 2020 m. spalio 28 d. nutartis civilinėje byloje </w:t>
      </w:r>
      <w:bookmarkStart w:id="15" w:name="pn5ba38609-3aa6-410f-8c47-cda07d778372"/>
      <w:bookmarkEnd w:id="15"/>
      <w:r w:rsidR="00197C72" w:rsidRPr="00E91D72">
        <w:rPr>
          <w:i/>
          <w:iCs/>
          <w:shd w:val="clear" w:color="auto" w:fill="FFFFFF"/>
        </w:rPr>
        <w:t>Nr. </w:t>
      </w:r>
      <w:bookmarkStart w:id="16" w:name="n43793e6b-1f9d-4de3-9bd3-246ae98d0e88"/>
      <w:r w:rsidR="00197C72" w:rsidRPr="00E91D72">
        <w:rPr>
          <w:i/>
          <w:iCs/>
          <w:shd w:val="clear" w:color="auto" w:fill="FFFFFF"/>
        </w:rPr>
        <w:fldChar w:fldCharType="begin"/>
      </w:r>
      <w:r w:rsidR="00197C72" w:rsidRPr="00E91D72">
        <w:rPr>
          <w:i/>
          <w:iCs/>
          <w:shd w:val="clear" w:color="auto" w:fill="FFFFFF"/>
        </w:rPr>
        <w:instrText>HYPERLINK "https://www.infolex.lt/tp/1942772" \o "e3K-3-273-969/2020 Dėl materialiosios teisės normų, reglamentuojančių išlaikymą nepilnamečiam vaikui ir išlaikymo įsiskolinimą, taip pat proceso teisės normų, reglamentuojančių įrodymų tyrimą ir verti" \t "_blank"</w:instrText>
      </w:r>
      <w:r w:rsidR="00197C72" w:rsidRPr="00E91D72">
        <w:rPr>
          <w:i/>
          <w:iCs/>
          <w:shd w:val="clear" w:color="auto" w:fill="FFFFFF"/>
        </w:rPr>
        <w:fldChar w:fldCharType="separate"/>
      </w:r>
      <w:r w:rsidR="00197C72" w:rsidRPr="00E91D72">
        <w:rPr>
          <w:rStyle w:val="Hipersaitas"/>
          <w:i/>
          <w:iCs/>
          <w:color w:val="auto"/>
          <w:u w:val="none"/>
          <w:shd w:val="clear" w:color="auto" w:fill="FFFFFF"/>
        </w:rPr>
        <w:t>e3K-3-273-969/2020</w:t>
      </w:r>
      <w:r w:rsidR="00197C72" w:rsidRPr="00E91D72">
        <w:rPr>
          <w:i/>
          <w:iCs/>
          <w:shd w:val="clear" w:color="auto" w:fill="FFFFFF"/>
        </w:rPr>
        <w:fldChar w:fldCharType="end"/>
      </w:r>
      <w:bookmarkEnd w:id="16"/>
      <w:r w:rsidR="00986280" w:rsidRPr="00677542">
        <w:rPr>
          <w:shd w:val="clear" w:color="auto" w:fill="FFFFFF"/>
        </w:rPr>
        <w:t>).</w:t>
      </w:r>
      <w:r w:rsidR="007D5EE7" w:rsidRPr="00677542">
        <w:rPr>
          <w:shd w:val="clear" w:color="auto" w:fill="FFFFFF"/>
        </w:rPr>
        <w:t xml:space="preserve"> </w:t>
      </w:r>
    </w:p>
    <w:p w14:paraId="19356CD4" w14:textId="627CAE76" w:rsidR="00A20DB3" w:rsidRDefault="00A20DB3" w:rsidP="00D264D2">
      <w:pPr>
        <w:ind w:firstLine="851"/>
        <w:jc w:val="both"/>
        <w:rPr>
          <w:shd w:val="clear" w:color="auto" w:fill="FFFFFF"/>
        </w:rPr>
      </w:pPr>
      <w:r>
        <w:rPr>
          <w:shd w:val="clear" w:color="auto" w:fill="FFFFFF"/>
        </w:rPr>
        <w:t xml:space="preserve">Atsižvelgiant į tai, Teisingumo ministerijos vertinimu, </w:t>
      </w:r>
      <w:r w:rsidR="00A1058C">
        <w:rPr>
          <w:shd w:val="clear" w:color="auto" w:fill="FFFFFF"/>
        </w:rPr>
        <w:t xml:space="preserve">šiuo metu galiojantis CK įtvirtintas vaikų išlaikymo </w:t>
      </w:r>
      <w:r w:rsidR="00546FC0">
        <w:rPr>
          <w:shd w:val="clear" w:color="auto" w:fill="FFFFFF"/>
        </w:rPr>
        <w:t xml:space="preserve">dydžio ir formos parinkimo modelis </w:t>
      </w:r>
      <w:r w:rsidR="00A1058C">
        <w:rPr>
          <w:shd w:val="clear" w:color="auto" w:fill="FFFFFF"/>
        </w:rPr>
        <w:t xml:space="preserve">tinkamai užtikrina </w:t>
      </w:r>
      <w:r w:rsidR="00A33CB7" w:rsidRPr="00A33CB7">
        <w:rPr>
          <w:shd w:val="clear" w:color="auto" w:fill="FFFFFF"/>
        </w:rPr>
        <w:t>vaikų teisių ir interesų apsaugos gynimo princip</w:t>
      </w:r>
      <w:r w:rsidR="00A33CB7">
        <w:rPr>
          <w:shd w:val="clear" w:color="auto" w:fill="FFFFFF"/>
        </w:rPr>
        <w:t xml:space="preserve">o </w:t>
      </w:r>
      <w:r w:rsidR="0034306C">
        <w:rPr>
          <w:shd w:val="clear" w:color="auto" w:fill="FFFFFF"/>
        </w:rPr>
        <w:t xml:space="preserve">įgyvendinimą, </w:t>
      </w:r>
      <w:r w:rsidR="00EE2E43">
        <w:rPr>
          <w:shd w:val="clear" w:color="auto" w:fill="FFFFFF"/>
        </w:rPr>
        <w:t xml:space="preserve">sudaro prielaidas teismams kiekvienu konkrečiu atveju priimti individualizuotą ir pagrįstą sprendimą, </w:t>
      </w:r>
      <w:r w:rsidR="0034306C">
        <w:rPr>
          <w:shd w:val="clear" w:color="auto" w:fill="FFFFFF"/>
        </w:rPr>
        <w:t>o susiformavusi kasacinio teismo praktika</w:t>
      </w:r>
      <w:r w:rsidR="00EE2E43">
        <w:rPr>
          <w:shd w:val="clear" w:color="auto" w:fill="FFFFFF"/>
        </w:rPr>
        <w:t xml:space="preserve"> užtikrina</w:t>
      </w:r>
      <w:r w:rsidR="00ED3E79">
        <w:rPr>
          <w:shd w:val="clear" w:color="auto" w:fill="FFFFFF"/>
        </w:rPr>
        <w:t xml:space="preserve"> tai</w:t>
      </w:r>
      <w:r w:rsidR="007B6F99">
        <w:rPr>
          <w:shd w:val="clear" w:color="auto" w:fill="FFFFFF"/>
        </w:rPr>
        <w:t xml:space="preserve">, </w:t>
      </w:r>
      <w:r w:rsidR="00ED3E79">
        <w:rPr>
          <w:shd w:val="clear" w:color="auto" w:fill="FFFFFF"/>
        </w:rPr>
        <w:t>jog</w:t>
      </w:r>
      <w:r w:rsidR="007B6F99">
        <w:rPr>
          <w:shd w:val="clear" w:color="auto" w:fill="FFFFFF"/>
        </w:rPr>
        <w:t xml:space="preserve"> vaiko išlaikymo dydis būtų parenkamas objektyviai įvertinus visas byloje esančias aplinkybes</w:t>
      </w:r>
      <w:r w:rsidR="00DA138D">
        <w:rPr>
          <w:shd w:val="clear" w:color="auto" w:fill="FFFFFF"/>
        </w:rPr>
        <w:t>.</w:t>
      </w:r>
    </w:p>
    <w:p w14:paraId="3B30DB0E" w14:textId="4CDF083B" w:rsidR="00C24B5C" w:rsidRPr="003E6ACE" w:rsidRDefault="00C24B5C" w:rsidP="00C24B5C">
      <w:pPr>
        <w:ind w:firstLine="851"/>
        <w:jc w:val="both"/>
        <w:rPr>
          <w:shd w:val="clear" w:color="auto" w:fill="FFFFFF"/>
        </w:rPr>
      </w:pPr>
      <w:r>
        <w:rPr>
          <w:shd w:val="clear" w:color="auto" w:fill="FFFFFF"/>
        </w:rPr>
        <w:t xml:space="preserve">Vyriausybė užtikrina bendrą vaiko teisių apsaugos politikos įgyvendinimą (pavyzdžiui, šiuo metu valstybė ir taip prisideda prie vaiko teisės gauti išlaikymą iš savo tėvų, mokėdama išlaikymą </w:t>
      </w:r>
      <w:r w:rsidRPr="00E30EB7">
        <w:rPr>
          <w:shd w:val="clear" w:color="auto" w:fill="FFFFFF"/>
        </w:rPr>
        <w:t>nepilnameči</w:t>
      </w:r>
      <w:r>
        <w:rPr>
          <w:shd w:val="clear" w:color="auto" w:fill="FFFFFF"/>
        </w:rPr>
        <w:t>ams</w:t>
      </w:r>
      <w:r w:rsidRPr="00E30EB7">
        <w:rPr>
          <w:shd w:val="clear" w:color="auto" w:fill="FFFFFF"/>
        </w:rPr>
        <w:t xml:space="preserve"> vaik</w:t>
      </w:r>
      <w:r>
        <w:rPr>
          <w:shd w:val="clear" w:color="auto" w:fill="FFFFFF"/>
        </w:rPr>
        <w:t>ams</w:t>
      </w:r>
      <w:r w:rsidRPr="00E30EB7">
        <w:rPr>
          <w:shd w:val="clear" w:color="auto" w:fill="FFFFFF"/>
        </w:rPr>
        <w:t>, ilgiau kaip mėnesį negaunan</w:t>
      </w:r>
      <w:r w:rsidR="0086764F">
        <w:rPr>
          <w:shd w:val="clear" w:color="auto" w:fill="FFFFFF"/>
        </w:rPr>
        <w:t>tiems</w:t>
      </w:r>
      <w:r w:rsidRPr="00E30EB7">
        <w:rPr>
          <w:shd w:val="clear" w:color="auto" w:fill="FFFFFF"/>
        </w:rPr>
        <w:t xml:space="preserve"> išlaikymo iš tėvo (motinos) ar iš kitų pilnamečių artimųjų giminaičių, turinčių galimybę juos išlaikyti</w:t>
      </w:r>
      <w:r>
        <w:rPr>
          <w:shd w:val="clear" w:color="auto" w:fill="FFFFFF"/>
        </w:rPr>
        <w:t xml:space="preserve"> (CK 3.204 straipsnio 1 dalis)), tačiau neturi kompetencijos spręsti dėl vaikų teisės į </w:t>
      </w:r>
      <w:r w:rsidR="006A5A14">
        <w:rPr>
          <w:shd w:val="clear" w:color="auto" w:fill="FFFFFF"/>
        </w:rPr>
        <w:t xml:space="preserve">tam tikro dydžio </w:t>
      </w:r>
      <w:r>
        <w:rPr>
          <w:shd w:val="clear" w:color="auto" w:fill="FFFFFF"/>
        </w:rPr>
        <w:t>išlaikymą</w:t>
      </w:r>
      <w:r w:rsidRPr="00E30EB7">
        <w:rPr>
          <w:shd w:val="clear" w:color="auto" w:fill="FFFFFF"/>
        </w:rPr>
        <w:t>.</w:t>
      </w:r>
    </w:p>
    <w:p w14:paraId="52468C77" w14:textId="541B32D8" w:rsidR="00C721BA" w:rsidRDefault="00C24B5C" w:rsidP="00A16AF5">
      <w:pPr>
        <w:ind w:firstLine="851"/>
        <w:jc w:val="both"/>
        <w:rPr>
          <w:shd w:val="clear" w:color="auto" w:fill="FFFFFF"/>
        </w:rPr>
      </w:pPr>
      <w:r>
        <w:rPr>
          <w:shd w:val="clear" w:color="auto" w:fill="FFFFFF"/>
        </w:rPr>
        <w:t>S</w:t>
      </w:r>
      <w:r w:rsidR="00DA138D">
        <w:rPr>
          <w:shd w:val="clear" w:color="auto" w:fill="FFFFFF"/>
        </w:rPr>
        <w:t>uteikus</w:t>
      </w:r>
      <w:r>
        <w:rPr>
          <w:shd w:val="clear" w:color="auto" w:fill="FFFFFF"/>
        </w:rPr>
        <w:t xml:space="preserve"> </w:t>
      </w:r>
      <w:r w:rsidR="00DA138D">
        <w:rPr>
          <w:shd w:val="clear" w:color="auto" w:fill="FFFFFF"/>
        </w:rPr>
        <w:t xml:space="preserve">galimybę </w:t>
      </w:r>
      <w:r w:rsidR="0086764F">
        <w:rPr>
          <w:shd w:val="clear" w:color="auto" w:fill="FFFFFF"/>
        </w:rPr>
        <w:t xml:space="preserve">Vyriausybei reguliuoti vaikui teiktino tėvų išlaikymo dydį </w:t>
      </w:r>
      <w:r>
        <w:rPr>
          <w:shd w:val="clear" w:color="auto" w:fill="FFFFFF"/>
        </w:rPr>
        <w:t xml:space="preserve">ir </w:t>
      </w:r>
      <w:r w:rsidR="000F4A25">
        <w:rPr>
          <w:shd w:val="clear" w:color="auto" w:fill="FFFFFF"/>
        </w:rPr>
        <w:t>nustačius, kad</w:t>
      </w:r>
      <w:r w:rsidR="00DA138D">
        <w:rPr>
          <w:shd w:val="clear" w:color="auto" w:fill="FFFFFF"/>
        </w:rPr>
        <w:t xml:space="preserve"> </w:t>
      </w:r>
      <w:r w:rsidR="00A25DCC">
        <w:rPr>
          <w:shd w:val="clear" w:color="auto" w:fill="FFFFFF"/>
        </w:rPr>
        <w:t>vaiko poreiki</w:t>
      </w:r>
      <w:r w:rsidR="000F4A25">
        <w:rPr>
          <w:shd w:val="clear" w:color="auto" w:fill="FFFFFF"/>
        </w:rPr>
        <w:t>ai vertinami</w:t>
      </w:r>
      <w:r w:rsidR="00A25DCC">
        <w:rPr>
          <w:shd w:val="clear" w:color="auto" w:fill="FFFFFF"/>
        </w:rPr>
        <w:t xml:space="preserve"> remiantis</w:t>
      </w:r>
      <w:r w:rsidR="00AC5D84">
        <w:rPr>
          <w:shd w:val="clear" w:color="auto" w:fill="FFFFFF"/>
        </w:rPr>
        <w:t xml:space="preserve"> </w:t>
      </w:r>
      <w:r w:rsidR="00996C49">
        <w:rPr>
          <w:shd w:val="clear" w:color="auto" w:fill="FFFFFF"/>
        </w:rPr>
        <w:t xml:space="preserve">vien </w:t>
      </w:r>
      <w:r w:rsidR="00AC5D84">
        <w:rPr>
          <w:shd w:val="clear" w:color="auto" w:fill="FFFFFF"/>
        </w:rPr>
        <w:t>formaliais</w:t>
      </w:r>
      <w:r w:rsidR="00A25DCC">
        <w:rPr>
          <w:shd w:val="clear" w:color="auto" w:fill="FFFFFF"/>
        </w:rPr>
        <w:t xml:space="preserve"> </w:t>
      </w:r>
      <w:r w:rsidR="00205914">
        <w:rPr>
          <w:shd w:val="clear" w:color="auto" w:fill="FFFFFF"/>
        </w:rPr>
        <w:t>Vyriausybė nutarimu</w:t>
      </w:r>
      <w:r w:rsidR="00AC5D84">
        <w:rPr>
          <w:shd w:val="clear" w:color="auto" w:fill="FFFFFF"/>
        </w:rPr>
        <w:t xml:space="preserve"> nustatytais </w:t>
      </w:r>
      <w:r w:rsidR="00CB08A3">
        <w:rPr>
          <w:shd w:val="clear" w:color="auto" w:fill="FFFFFF"/>
        </w:rPr>
        <w:t xml:space="preserve">kriterijais (pavyzdžiui, kaip teigiama </w:t>
      </w:r>
      <w:r w:rsidR="0086764F">
        <w:rPr>
          <w:shd w:val="clear" w:color="auto" w:fill="FFFFFF"/>
        </w:rPr>
        <w:t>peticijoje</w:t>
      </w:r>
      <w:r w:rsidR="00CB08A3">
        <w:rPr>
          <w:shd w:val="clear" w:color="auto" w:fill="FFFFFF"/>
        </w:rPr>
        <w:t>, 25 proc. minimaliojo šalies atlyginimo vienam vaikui)</w:t>
      </w:r>
      <w:r w:rsidR="00205914">
        <w:rPr>
          <w:shd w:val="clear" w:color="auto" w:fill="FFFFFF"/>
        </w:rPr>
        <w:t>, nebūtų užtikrintas objektyvu</w:t>
      </w:r>
      <w:r w:rsidR="0027559C">
        <w:rPr>
          <w:shd w:val="clear" w:color="auto" w:fill="FFFFFF"/>
        </w:rPr>
        <w:t>s konkrečios situacijos vertini</w:t>
      </w:r>
      <w:r w:rsidR="00205914">
        <w:rPr>
          <w:shd w:val="clear" w:color="auto" w:fill="FFFFFF"/>
        </w:rPr>
        <w:t>mas</w:t>
      </w:r>
      <w:r w:rsidR="000719E0">
        <w:rPr>
          <w:shd w:val="clear" w:color="auto" w:fill="FFFFFF"/>
        </w:rPr>
        <w:t xml:space="preserve">, </w:t>
      </w:r>
      <w:r w:rsidR="00EF2DD5">
        <w:rPr>
          <w:shd w:val="clear" w:color="auto" w:fill="FFFFFF"/>
        </w:rPr>
        <w:t xml:space="preserve">nebūtų </w:t>
      </w:r>
      <w:r w:rsidR="00D2099B">
        <w:rPr>
          <w:shd w:val="clear" w:color="auto" w:fill="FFFFFF"/>
        </w:rPr>
        <w:t>įvertinti</w:t>
      </w:r>
      <w:r w:rsidR="00A03849">
        <w:rPr>
          <w:shd w:val="clear" w:color="auto" w:fill="FFFFFF"/>
        </w:rPr>
        <w:t xml:space="preserve"> </w:t>
      </w:r>
      <w:r w:rsidR="00EF2DD5">
        <w:rPr>
          <w:shd w:val="clear" w:color="auto" w:fill="FFFFFF"/>
        </w:rPr>
        <w:t>individualūs vaiko poreikia</w:t>
      </w:r>
      <w:r w:rsidR="00CD7AA1">
        <w:rPr>
          <w:shd w:val="clear" w:color="auto" w:fill="FFFFFF"/>
        </w:rPr>
        <w:t xml:space="preserve">i </w:t>
      </w:r>
      <w:r w:rsidR="004E4636">
        <w:rPr>
          <w:shd w:val="clear" w:color="auto" w:fill="FFFFFF"/>
        </w:rPr>
        <w:t xml:space="preserve">(pavyzdžiui, </w:t>
      </w:r>
      <w:r w:rsidR="00CD7AA1">
        <w:rPr>
          <w:shd w:val="clear" w:color="auto" w:fill="FFFFFF"/>
        </w:rPr>
        <w:t>tokie kaip liga</w:t>
      </w:r>
      <w:r w:rsidR="004E4636">
        <w:rPr>
          <w:shd w:val="clear" w:color="auto" w:fill="FFFFFF"/>
        </w:rPr>
        <w:t>)</w:t>
      </w:r>
      <w:r w:rsidR="000719E0">
        <w:rPr>
          <w:shd w:val="clear" w:color="auto" w:fill="FFFFFF"/>
        </w:rPr>
        <w:t xml:space="preserve">, </w:t>
      </w:r>
      <w:r w:rsidR="000F4A25">
        <w:rPr>
          <w:shd w:val="clear" w:color="auto" w:fill="FFFFFF"/>
        </w:rPr>
        <w:t xml:space="preserve">taip pat ir tėvų galimybės išlaikyti vaikus, </w:t>
      </w:r>
      <w:r w:rsidR="000719E0">
        <w:rPr>
          <w:shd w:val="clear" w:color="auto" w:fill="FFFFFF"/>
        </w:rPr>
        <w:t xml:space="preserve">o tokiu siūlomu reguliavimu būtų galima užtikrinti tik pačių minimaliausių vaiko poreikių </w:t>
      </w:r>
      <w:r w:rsidR="004E4636">
        <w:rPr>
          <w:shd w:val="clear" w:color="auto" w:fill="FFFFFF"/>
        </w:rPr>
        <w:t>tenkinimą</w:t>
      </w:r>
      <w:r w:rsidR="000F4A25">
        <w:rPr>
          <w:shd w:val="clear" w:color="auto" w:fill="FFFFFF"/>
        </w:rPr>
        <w:t xml:space="preserve"> ir toks teisinis reguliavimas neatitiktų geriausių vaiko interesų principo</w:t>
      </w:r>
      <w:r w:rsidR="004E4636">
        <w:rPr>
          <w:shd w:val="clear" w:color="auto" w:fill="FFFFFF"/>
        </w:rPr>
        <w:t xml:space="preserve">. </w:t>
      </w:r>
      <w:r w:rsidR="008579B2">
        <w:rPr>
          <w:shd w:val="clear" w:color="auto" w:fill="FFFFFF"/>
        </w:rPr>
        <w:t>T</w:t>
      </w:r>
      <w:r w:rsidR="003E6ACE">
        <w:rPr>
          <w:shd w:val="clear" w:color="auto" w:fill="FFFFFF"/>
        </w:rPr>
        <w:t>eisingumo ministerijos vertinimu,</w:t>
      </w:r>
      <w:r w:rsidR="008579B2">
        <w:rPr>
          <w:shd w:val="clear" w:color="auto" w:fill="FFFFFF"/>
        </w:rPr>
        <w:t xml:space="preserve"> </w:t>
      </w:r>
      <w:r w:rsidR="003E6ACE">
        <w:rPr>
          <w:shd w:val="clear" w:color="auto" w:fill="FFFFFF"/>
        </w:rPr>
        <w:t xml:space="preserve">tik </w:t>
      </w:r>
      <w:r w:rsidR="00695E18">
        <w:rPr>
          <w:shd w:val="clear" w:color="auto" w:fill="FFFFFF"/>
        </w:rPr>
        <w:t xml:space="preserve">nepriklausomas ir nešališkas teismas, įvertinęs </w:t>
      </w:r>
      <w:r w:rsidR="003E6ACE">
        <w:rPr>
          <w:shd w:val="clear" w:color="auto" w:fill="FFFFFF"/>
        </w:rPr>
        <w:t xml:space="preserve">visas byloje esančias aplinkybes ir įrodymus, atsižvelgęs tiek į vaiko poreikius, tiek į tėvų finansinę padėtį, gali tinkamai įvertinti </w:t>
      </w:r>
      <w:r w:rsidR="00374ECC">
        <w:rPr>
          <w:shd w:val="clear" w:color="auto" w:fill="FFFFFF"/>
        </w:rPr>
        <w:t xml:space="preserve">reikiamą išlaikymo dydį, o pasikeitus </w:t>
      </w:r>
      <w:r>
        <w:rPr>
          <w:shd w:val="clear" w:color="auto" w:fill="FFFFFF"/>
        </w:rPr>
        <w:t xml:space="preserve">finansinei </w:t>
      </w:r>
      <w:r w:rsidR="00374ECC">
        <w:rPr>
          <w:shd w:val="clear" w:color="auto" w:fill="FFFFFF"/>
        </w:rPr>
        <w:t xml:space="preserve">situacijai, </w:t>
      </w:r>
      <w:r w:rsidR="00923136">
        <w:rPr>
          <w:shd w:val="clear" w:color="auto" w:fill="FFFFFF"/>
        </w:rPr>
        <w:t>jį pakeisti</w:t>
      </w:r>
      <w:r w:rsidR="00374ECC">
        <w:rPr>
          <w:shd w:val="clear" w:color="auto" w:fill="FFFFFF"/>
        </w:rPr>
        <w:t xml:space="preserve">. </w:t>
      </w:r>
    </w:p>
    <w:p w14:paraId="5CF683BA" w14:textId="0CEFD1D4" w:rsidR="008B0682" w:rsidRPr="003E6ACE" w:rsidRDefault="0065309F">
      <w:pPr>
        <w:ind w:firstLine="851"/>
        <w:jc w:val="both"/>
      </w:pPr>
      <w:r w:rsidRPr="003E6ACE">
        <w:t xml:space="preserve">Atsižvelgiant į tai kas išdėstyta, Teisingumo ministerijos nuomone, nėra tikslinga keisti peticijoje nurodytų </w:t>
      </w:r>
      <w:r w:rsidRPr="008A3856">
        <w:t xml:space="preserve">CK </w:t>
      </w:r>
      <w:r w:rsidR="008A3856" w:rsidRPr="008A3856">
        <w:t>3</w:t>
      </w:r>
      <w:r w:rsidRPr="008A3856">
        <w:t>.</w:t>
      </w:r>
      <w:r w:rsidR="008A3856" w:rsidRPr="008A3856">
        <w:t>192</w:t>
      </w:r>
      <w:r w:rsidRPr="008A3856">
        <w:t xml:space="preserve"> straipsnio nuostatų, o </w:t>
      </w:r>
      <w:bookmarkStart w:id="17" w:name="_Hlk94618885"/>
      <w:r w:rsidRPr="008A3856">
        <w:t>pareiškėjo siūlymams dėl jų pakeitimo neturėtų būti pritarta</w:t>
      </w:r>
      <w:r w:rsidRPr="003E6ACE">
        <w:t>.</w:t>
      </w:r>
      <w:bookmarkEnd w:id="17"/>
    </w:p>
    <w:p w14:paraId="78286D2E" w14:textId="77777777" w:rsidR="008B0682" w:rsidRPr="0098358C" w:rsidRDefault="008B0682">
      <w:pPr>
        <w:jc w:val="both"/>
        <w:rPr>
          <w:color w:val="FF0000"/>
        </w:rPr>
      </w:pPr>
    </w:p>
    <w:p w14:paraId="41F16C28" w14:textId="77777777" w:rsidR="008B0682" w:rsidRPr="0098358C" w:rsidRDefault="008B0682">
      <w:pPr>
        <w:jc w:val="both"/>
        <w:rPr>
          <w:color w:val="FF0000"/>
        </w:rPr>
      </w:pPr>
    </w:p>
    <w:p w14:paraId="65CF0A7A" w14:textId="77777777" w:rsidR="008B0682" w:rsidRPr="0098358C" w:rsidRDefault="008B0682">
      <w:pPr>
        <w:jc w:val="both"/>
        <w:rPr>
          <w:color w:val="FF0000"/>
        </w:rPr>
      </w:pPr>
    </w:p>
    <w:p w14:paraId="52D1E341" w14:textId="77777777" w:rsidR="008B0682" w:rsidRPr="0098358C" w:rsidRDefault="008B0682">
      <w:pPr>
        <w:jc w:val="both"/>
        <w:rPr>
          <w:color w:val="FF0000"/>
        </w:rPr>
      </w:pPr>
    </w:p>
    <w:p w14:paraId="590814E5" w14:textId="77777777" w:rsidR="008B0682" w:rsidRPr="00F20BD0" w:rsidRDefault="0065309F">
      <w:pPr>
        <w:tabs>
          <w:tab w:val="right" w:pos="9412"/>
        </w:tabs>
      </w:pPr>
      <w:r w:rsidRPr="00F20BD0">
        <w:t>Teisingumo ministrė</w:t>
      </w:r>
      <w:r w:rsidRPr="00F20BD0">
        <w:tab/>
        <w:t>Ewelina Dobrowolska</w:t>
      </w:r>
    </w:p>
    <w:p w14:paraId="26167EB1" w14:textId="77777777" w:rsidR="008B0682" w:rsidRPr="00F20BD0" w:rsidRDefault="008B0682"/>
    <w:p w14:paraId="48071C8C" w14:textId="77777777" w:rsidR="008B0682" w:rsidRPr="00F20BD0" w:rsidRDefault="008B0682"/>
    <w:p w14:paraId="53DF154E" w14:textId="77777777" w:rsidR="008B0682" w:rsidRPr="00F20BD0" w:rsidRDefault="008B0682"/>
    <w:p w14:paraId="30412123" w14:textId="77777777" w:rsidR="008B0682" w:rsidRPr="00F20BD0" w:rsidRDefault="008B0682"/>
    <w:p w14:paraId="4DA10059" w14:textId="77777777" w:rsidR="006D73F4" w:rsidRPr="00F20BD0" w:rsidRDefault="006D73F4"/>
    <w:p w14:paraId="34973EDC" w14:textId="77777777" w:rsidR="006D73F4" w:rsidRPr="00F20BD0" w:rsidRDefault="006D73F4"/>
    <w:p w14:paraId="2953404F" w14:textId="77777777" w:rsidR="006D73F4" w:rsidRPr="00F20BD0" w:rsidRDefault="006D73F4"/>
    <w:p w14:paraId="79D6EDFD" w14:textId="77777777" w:rsidR="008B0682" w:rsidRPr="00F20BD0" w:rsidRDefault="0065309F">
      <w:pPr>
        <w:spacing w:line="256" w:lineRule="auto"/>
      </w:pPr>
      <w:r w:rsidRPr="00F20BD0">
        <w:t>Samanta Delekaitė, tel. +370 671 90 738, el. p. samanta.delekaite@tm.lt</w:t>
      </w:r>
    </w:p>
    <w:sectPr w:rsidR="008B0682" w:rsidRPr="00F20BD0">
      <w:headerReference w:type="default" r:id="rId8"/>
      <w:footerReference w:type="default" r:id="rId9"/>
      <w:headerReference w:type="first" r:id="rId10"/>
      <w:footerReference w:type="first" r:id="rId11"/>
      <w:footnotePr>
        <w:pos w:val="beneathText"/>
      </w:footnotePr>
      <w:pgSz w:w="11905" w:h="16837"/>
      <w:pgMar w:top="1134" w:right="737" w:bottom="1134" w:left="1701" w:header="1123" w:footer="57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3119F" w14:textId="77777777" w:rsidR="00472E2C" w:rsidRDefault="00472E2C">
      <w:r>
        <w:separator/>
      </w:r>
    </w:p>
  </w:endnote>
  <w:endnote w:type="continuationSeparator" w:id="0">
    <w:p w14:paraId="50130819" w14:textId="77777777" w:rsidR="00472E2C" w:rsidRDefault="0047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9E0B5" w14:textId="77777777" w:rsidR="002A42E6" w:rsidRDefault="0065309F">
    <w:pPr>
      <w:pStyle w:val="Porat"/>
    </w:pPr>
    <w:r>
      <w:rPr>
        <w:noProof/>
      </w:rPr>
      <w:drawing>
        <wp:inline distT="0" distB="0" distL="0" distR="0" wp14:anchorId="4616C912" wp14:editId="732C8948">
          <wp:extent cx="688972" cy="688972"/>
          <wp:effectExtent l="0" t="0" r="0" b="0"/>
          <wp:docPr id="82283946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972" cy="688972"/>
                  </a:xfrm>
                  <a:prstGeom prst="rect">
                    <a:avLst/>
                  </a:prstGeom>
                  <a:noFill/>
                  <a:ln>
                    <a:noFill/>
                    <a:prstDash/>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FD21" w14:textId="77777777" w:rsidR="002A42E6" w:rsidRDefault="0065309F">
    <w:pPr>
      <w:pStyle w:val="Porat"/>
      <w:tabs>
        <w:tab w:val="clear" w:pos="8306"/>
        <w:tab w:val="left" w:pos="8080"/>
        <w:tab w:val="right" w:pos="9356"/>
      </w:tabs>
    </w:pPr>
    <w:r>
      <w:rPr>
        <w:noProof/>
      </w:rPr>
      <w:drawing>
        <wp:inline distT="0" distB="0" distL="0" distR="0" wp14:anchorId="6266C456" wp14:editId="1B86FDD3">
          <wp:extent cx="706767" cy="706767"/>
          <wp:effectExtent l="0" t="0" r="0" b="0"/>
          <wp:docPr id="1192571237" name="Paveikslėlis 1" descr="Paveikslėlis, kuriame yra Grafika, ekrano kopija, Šriftas, kvadrato formos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06767" cy="706767"/>
                  </a:xfrm>
                  <a:prstGeom prst="rect">
                    <a:avLst/>
                  </a:prstGeom>
                  <a:noFill/>
                  <a:ln>
                    <a:noFill/>
                    <a:prstDash/>
                  </a:ln>
                </pic:spPr>
              </pic:pic>
            </a:graphicData>
          </a:graphic>
        </wp:inline>
      </w:drawing>
    </w:r>
  </w:p>
  <w:p w14:paraId="10E6C889" w14:textId="77777777" w:rsidR="002A42E6" w:rsidRDefault="0065309F">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AE794" w14:textId="77777777" w:rsidR="00472E2C" w:rsidRDefault="00472E2C">
      <w:r>
        <w:rPr>
          <w:color w:val="000000"/>
        </w:rPr>
        <w:separator/>
      </w:r>
    </w:p>
  </w:footnote>
  <w:footnote w:type="continuationSeparator" w:id="0">
    <w:p w14:paraId="2853C84A" w14:textId="77777777" w:rsidR="00472E2C" w:rsidRDefault="0047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23B4F" w14:textId="2AFBABEB" w:rsidR="002A42E6" w:rsidRDefault="0065309F">
    <w:pPr>
      <w:pStyle w:val="Antrats"/>
      <w:jc w:val="center"/>
    </w:pPr>
    <w:r>
      <w:fldChar w:fldCharType="begin"/>
    </w:r>
    <w:r>
      <w:instrText xml:space="preserve"> PAGE </w:instrText>
    </w:r>
    <w:r>
      <w:fldChar w:fldCharType="separate"/>
    </w:r>
    <w:r w:rsidR="00FA5AA4">
      <w:rPr>
        <w:noProof/>
      </w:rPr>
      <w:t>2</w:t>
    </w:r>
    <w:r>
      <w:fldChar w:fldCharType="end"/>
    </w:r>
  </w:p>
  <w:p w14:paraId="3D5A33C5" w14:textId="77777777" w:rsidR="002A42E6" w:rsidRDefault="002A42E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B9FE" w14:textId="77777777" w:rsidR="002A42E6" w:rsidRDefault="0065309F">
    <w:pPr>
      <w:tabs>
        <w:tab w:val="right" w:pos="8306"/>
      </w:tabs>
      <w:jc w:val="center"/>
    </w:pPr>
    <w:r>
      <w:rPr>
        <w:noProof/>
      </w:rPr>
      <w:drawing>
        <wp:inline distT="0" distB="0" distL="0" distR="0" wp14:anchorId="0E9B95E1" wp14:editId="01D1A2FF">
          <wp:extent cx="571189" cy="647349"/>
          <wp:effectExtent l="0" t="0" r="311" b="351"/>
          <wp:docPr id="649040421" name="Grafinis elementa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9" cy="647349"/>
                  </a:xfrm>
                  <a:prstGeom prst="rect">
                    <a:avLst/>
                  </a:prstGeom>
                  <a:noFill/>
                  <a:ln>
                    <a:noFill/>
                    <a:prstDash/>
                  </a:ln>
                </pic:spPr>
              </pic:pic>
            </a:graphicData>
          </a:graphic>
        </wp:inline>
      </w:drawing>
    </w:r>
  </w:p>
  <w:p w14:paraId="2E9B1081" w14:textId="77777777" w:rsidR="002A42E6" w:rsidRDefault="002A42E6">
    <w:pPr>
      <w:tabs>
        <w:tab w:val="right" w:pos="8306"/>
      </w:tabs>
      <w:jc w:val="center"/>
      <w:rPr>
        <w:sz w:val="16"/>
        <w:lang w:eastAsia="en-US"/>
      </w:rPr>
    </w:pPr>
  </w:p>
  <w:p w14:paraId="0DD4E66E" w14:textId="77777777" w:rsidR="002A42E6" w:rsidRDefault="0065309F">
    <w:pPr>
      <w:jc w:val="center"/>
      <w:rPr>
        <w:b/>
        <w:bCs/>
        <w:lang w:eastAsia="en-US"/>
      </w:rPr>
    </w:pPr>
    <w:r>
      <w:rPr>
        <w:b/>
        <w:bCs/>
        <w:lang w:eastAsia="en-US"/>
      </w:rPr>
      <w:t>LIETUVOS RESPUBLIKOS TEISINGUMO MINISTERIJA</w:t>
    </w:r>
  </w:p>
  <w:p w14:paraId="3B98BAF7" w14:textId="77777777" w:rsidR="002A42E6" w:rsidRDefault="002A42E6">
    <w:pPr>
      <w:jc w:val="center"/>
      <w:rPr>
        <w:b/>
        <w:bCs/>
        <w:lang w:eastAsia="en-US"/>
      </w:rPr>
    </w:pPr>
  </w:p>
  <w:p w14:paraId="6D4967A0" w14:textId="77777777" w:rsidR="002A42E6" w:rsidRDefault="0065309F">
    <w:pPr>
      <w:pBdr>
        <w:bottom w:val="single" w:sz="4" w:space="1" w:color="000000"/>
      </w:pBdr>
      <w:jc w:val="center"/>
      <w:rPr>
        <w:lang w:eastAsia="en-US"/>
      </w:rPr>
    </w:pPr>
    <w:r>
      <w:rPr>
        <w:lang w:eastAsia="en-US"/>
      </w:rPr>
      <w:t xml:space="preserve">Biudžetinė įstaiga, Gedimino pr. 30, 01104 Vilnius, </w:t>
    </w:r>
  </w:p>
  <w:p w14:paraId="3419536C" w14:textId="77777777" w:rsidR="002A42E6" w:rsidRDefault="0065309F">
    <w:pPr>
      <w:pBdr>
        <w:bottom w:val="single" w:sz="4" w:space="1" w:color="000000"/>
      </w:pBdr>
      <w:jc w:val="center"/>
    </w:pPr>
    <w:r>
      <w:rPr>
        <w:lang w:eastAsia="en-US"/>
      </w:rPr>
      <w:t>mob. tel</w:t>
    </w:r>
    <w:r>
      <w:rPr>
        <w:rStyle w:val="Knygospavadinimas"/>
        <w:b w:val="0"/>
        <w:bCs w:val="0"/>
        <w:i w:val="0"/>
        <w:iCs w:val="0"/>
      </w:rPr>
      <w:t>. +370 600 38 904,</w:t>
    </w:r>
    <w:r>
      <w:rPr>
        <w:lang w:eastAsia="en-US"/>
      </w:rPr>
      <w:t xml:space="preserve"> el. p. rastine@tm.lt, https://tm.lrv.lt</w:t>
    </w:r>
  </w:p>
  <w:p w14:paraId="4AA21819" w14:textId="77777777" w:rsidR="002A42E6" w:rsidRDefault="0065309F">
    <w:pPr>
      <w:pBdr>
        <w:bottom w:val="single" w:sz="4" w:space="1" w:color="000000"/>
      </w:pBdr>
      <w:jc w:val="center"/>
      <w:rPr>
        <w:lang w:eastAsia="en-US"/>
      </w:rPr>
    </w:pPr>
    <w:r>
      <w:rPr>
        <w:lang w:eastAsia="en-US"/>
      </w:rPr>
      <w:t>Duomenys kaupiami ir saugomi Juridinių asmenų registre, kodas 188604955</w:t>
    </w:r>
  </w:p>
  <w:p w14:paraId="478343F5" w14:textId="77777777" w:rsidR="002A42E6" w:rsidRDefault="002A42E6">
    <w:pPr>
      <w:tabs>
        <w:tab w:val="right" w:pos="8306"/>
      </w:tabs>
      <w:jc w:val="center"/>
      <w:rPr>
        <w:sz w:val="20"/>
        <w:lang w:eastAsia="en-US"/>
      </w:rPr>
    </w:pPr>
  </w:p>
  <w:p w14:paraId="11D2F5C8" w14:textId="77777777" w:rsidR="002A42E6" w:rsidRDefault="002A42E6">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B18C0"/>
    <w:multiLevelType w:val="multilevel"/>
    <w:tmpl w:val="64D259BC"/>
    <w:styleLink w:val="LFO2"/>
    <w:lvl w:ilvl="0">
      <w:start w:val="1"/>
      <w:numFmt w:val="decimal"/>
      <w:pStyle w:val="Tekstasnumeruotas"/>
      <w:suff w:val="space"/>
      <w:lvlText w:val="%1. "/>
      <w:lvlJc w:val="left"/>
      <w:pPr>
        <w:ind w:left="0" w:firstLine="885"/>
      </w:pPr>
    </w:lvl>
    <w:lvl w:ilvl="1">
      <w:start w:val="1"/>
      <w:numFmt w:val="decimal"/>
      <w:suff w:val="space"/>
      <w:lvlText w:val="%1.%2."/>
      <w:lvlJc w:val="left"/>
      <w:pPr>
        <w:ind w:left="0" w:firstLine="1247"/>
      </w:pPr>
    </w:lvl>
    <w:lvl w:ilvl="2">
      <w:start w:val="1"/>
      <w:numFmt w:val="decimal"/>
      <w:lvlText w:val="%1.%2.%3."/>
      <w:lvlJc w:val="left"/>
      <w:pPr>
        <w:ind w:left="862" w:hanging="504"/>
      </w:pPr>
    </w:lvl>
    <w:lvl w:ilvl="3">
      <w:start w:val="1"/>
      <w:numFmt w:val="decimal"/>
      <w:lvlText w:val="%1.%2.%3.%4."/>
      <w:lvlJc w:val="left"/>
      <w:pPr>
        <w:ind w:left="1366" w:hanging="648"/>
      </w:pPr>
    </w:lvl>
    <w:lvl w:ilvl="4">
      <w:start w:val="1"/>
      <w:numFmt w:val="decimal"/>
      <w:lvlText w:val="%1.%2.%3.%4.%5."/>
      <w:lvlJc w:val="left"/>
      <w:pPr>
        <w:ind w:left="1870" w:hanging="792"/>
      </w:pPr>
    </w:lvl>
    <w:lvl w:ilvl="5">
      <w:start w:val="1"/>
      <w:numFmt w:val="decimal"/>
      <w:lvlText w:val="%1.%2.%3.%4.%5.%6."/>
      <w:lvlJc w:val="left"/>
      <w:pPr>
        <w:ind w:left="2374" w:hanging="936"/>
      </w:pPr>
    </w:lvl>
    <w:lvl w:ilvl="6">
      <w:start w:val="1"/>
      <w:numFmt w:val="decimal"/>
      <w:lvlText w:val="%1.%2.%3.%4.%5.%6.%7."/>
      <w:lvlJc w:val="left"/>
      <w:pPr>
        <w:ind w:left="2878" w:hanging="1080"/>
      </w:pPr>
    </w:lvl>
    <w:lvl w:ilvl="7">
      <w:start w:val="1"/>
      <w:numFmt w:val="decimal"/>
      <w:lvlText w:val="%1.%2.%3.%4.%5.%6.%7.%8."/>
      <w:lvlJc w:val="left"/>
      <w:pPr>
        <w:ind w:left="3382" w:hanging="1224"/>
      </w:pPr>
    </w:lvl>
    <w:lvl w:ilvl="8">
      <w:start w:val="1"/>
      <w:numFmt w:val="decimal"/>
      <w:lvlText w:val="%1.%2.%3.%4.%5.%6.%7.%8.%9."/>
      <w:lvlJc w:val="left"/>
      <w:pPr>
        <w:ind w:left="3958"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82"/>
    <w:rsid w:val="00012927"/>
    <w:rsid w:val="00021494"/>
    <w:rsid w:val="000334F8"/>
    <w:rsid w:val="00040547"/>
    <w:rsid w:val="00041C39"/>
    <w:rsid w:val="00044B35"/>
    <w:rsid w:val="000455E5"/>
    <w:rsid w:val="00060CA1"/>
    <w:rsid w:val="000719E0"/>
    <w:rsid w:val="00092073"/>
    <w:rsid w:val="000A3FE4"/>
    <w:rsid w:val="000D1EE8"/>
    <w:rsid w:val="000D6970"/>
    <w:rsid w:val="000D7023"/>
    <w:rsid w:val="000E5F39"/>
    <w:rsid w:val="000F4A25"/>
    <w:rsid w:val="0011586B"/>
    <w:rsid w:val="00127856"/>
    <w:rsid w:val="00130510"/>
    <w:rsid w:val="00144188"/>
    <w:rsid w:val="001517BE"/>
    <w:rsid w:val="001564D5"/>
    <w:rsid w:val="00195C03"/>
    <w:rsid w:val="00197C72"/>
    <w:rsid w:val="001B6596"/>
    <w:rsid w:val="001D297D"/>
    <w:rsid w:val="00205914"/>
    <w:rsid w:val="00207C0E"/>
    <w:rsid w:val="00227EAF"/>
    <w:rsid w:val="00263598"/>
    <w:rsid w:val="002669CF"/>
    <w:rsid w:val="0027191E"/>
    <w:rsid w:val="0027559C"/>
    <w:rsid w:val="002A42E6"/>
    <w:rsid w:val="002A562C"/>
    <w:rsid w:val="002B0780"/>
    <w:rsid w:val="002B426D"/>
    <w:rsid w:val="002B7662"/>
    <w:rsid w:val="002C5140"/>
    <w:rsid w:val="002D2898"/>
    <w:rsid w:val="002F0BDA"/>
    <w:rsid w:val="00305C46"/>
    <w:rsid w:val="00306E43"/>
    <w:rsid w:val="00336967"/>
    <w:rsid w:val="003375DB"/>
    <w:rsid w:val="0034306C"/>
    <w:rsid w:val="003447AC"/>
    <w:rsid w:val="003542A0"/>
    <w:rsid w:val="00354871"/>
    <w:rsid w:val="00374ECC"/>
    <w:rsid w:val="00375020"/>
    <w:rsid w:val="00396F8D"/>
    <w:rsid w:val="003C7F86"/>
    <w:rsid w:val="003D2696"/>
    <w:rsid w:val="003E1A6A"/>
    <w:rsid w:val="003E6ACE"/>
    <w:rsid w:val="003F6135"/>
    <w:rsid w:val="004126AE"/>
    <w:rsid w:val="00420483"/>
    <w:rsid w:val="0044353B"/>
    <w:rsid w:val="004514A7"/>
    <w:rsid w:val="004550CE"/>
    <w:rsid w:val="00472E2C"/>
    <w:rsid w:val="00474B46"/>
    <w:rsid w:val="004861AA"/>
    <w:rsid w:val="00487C52"/>
    <w:rsid w:val="004C6F0E"/>
    <w:rsid w:val="004D054E"/>
    <w:rsid w:val="004E4636"/>
    <w:rsid w:val="004E636D"/>
    <w:rsid w:val="004F0BB4"/>
    <w:rsid w:val="005101A4"/>
    <w:rsid w:val="00537495"/>
    <w:rsid w:val="00546FC0"/>
    <w:rsid w:val="00553A31"/>
    <w:rsid w:val="00556279"/>
    <w:rsid w:val="00574203"/>
    <w:rsid w:val="005A096D"/>
    <w:rsid w:val="005A7522"/>
    <w:rsid w:val="005D0103"/>
    <w:rsid w:val="005E07EE"/>
    <w:rsid w:val="005E4F33"/>
    <w:rsid w:val="005F2CAE"/>
    <w:rsid w:val="00620760"/>
    <w:rsid w:val="00625418"/>
    <w:rsid w:val="00625E48"/>
    <w:rsid w:val="00630F2D"/>
    <w:rsid w:val="006335DE"/>
    <w:rsid w:val="00633B0A"/>
    <w:rsid w:val="006375E7"/>
    <w:rsid w:val="0065309F"/>
    <w:rsid w:val="00657A21"/>
    <w:rsid w:val="00661450"/>
    <w:rsid w:val="00677542"/>
    <w:rsid w:val="00695E18"/>
    <w:rsid w:val="006A3C53"/>
    <w:rsid w:val="006A5569"/>
    <w:rsid w:val="006A5A14"/>
    <w:rsid w:val="006B412D"/>
    <w:rsid w:val="006B4475"/>
    <w:rsid w:val="006D330D"/>
    <w:rsid w:val="006D73F4"/>
    <w:rsid w:val="006F6B65"/>
    <w:rsid w:val="00710F81"/>
    <w:rsid w:val="00713875"/>
    <w:rsid w:val="00715E85"/>
    <w:rsid w:val="007503AB"/>
    <w:rsid w:val="007A01AD"/>
    <w:rsid w:val="007A29AE"/>
    <w:rsid w:val="007B3919"/>
    <w:rsid w:val="007B6F99"/>
    <w:rsid w:val="007C3951"/>
    <w:rsid w:val="007C3F7C"/>
    <w:rsid w:val="007C6E64"/>
    <w:rsid w:val="007D5EE7"/>
    <w:rsid w:val="007E14F9"/>
    <w:rsid w:val="007E6B69"/>
    <w:rsid w:val="0080788B"/>
    <w:rsid w:val="0081696A"/>
    <w:rsid w:val="00843DED"/>
    <w:rsid w:val="00846E42"/>
    <w:rsid w:val="008579B2"/>
    <w:rsid w:val="0086764F"/>
    <w:rsid w:val="00875B33"/>
    <w:rsid w:val="0087738D"/>
    <w:rsid w:val="00881B25"/>
    <w:rsid w:val="00886381"/>
    <w:rsid w:val="008934EB"/>
    <w:rsid w:val="00894E31"/>
    <w:rsid w:val="008A3856"/>
    <w:rsid w:val="008B0682"/>
    <w:rsid w:val="008C14EC"/>
    <w:rsid w:val="008D2521"/>
    <w:rsid w:val="008F5862"/>
    <w:rsid w:val="00901ABF"/>
    <w:rsid w:val="00923136"/>
    <w:rsid w:val="00931EB4"/>
    <w:rsid w:val="00932BDF"/>
    <w:rsid w:val="00940125"/>
    <w:rsid w:val="009475A1"/>
    <w:rsid w:val="00964C25"/>
    <w:rsid w:val="00977D86"/>
    <w:rsid w:val="009815CB"/>
    <w:rsid w:val="0098358C"/>
    <w:rsid w:val="00986280"/>
    <w:rsid w:val="009965BE"/>
    <w:rsid w:val="00996C49"/>
    <w:rsid w:val="009B6940"/>
    <w:rsid w:val="009D0FCD"/>
    <w:rsid w:val="009F52B0"/>
    <w:rsid w:val="00A03849"/>
    <w:rsid w:val="00A04C6F"/>
    <w:rsid w:val="00A1058C"/>
    <w:rsid w:val="00A16AF5"/>
    <w:rsid w:val="00A17418"/>
    <w:rsid w:val="00A20DB3"/>
    <w:rsid w:val="00A251E1"/>
    <w:rsid w:val="00A25DCC"/>
    <w:rsid w:val="00A33CB7"/>
    <w:rsid w:val="00A47F29"/>
    <w:rsid w:val="00A512F8"/>
    <w:rsid w:val="00A712E1"/>
    <w:rsid w:val="00A72DDB"/>
    <w:rsid w:val="00A85FEC"/>
    <w:rsid w:val="00A877A5"/>
    <w:rsid w:val="00AB615F"/>
    <w:rsid w:val="00AC5D84"/>
    <w:rsid w:val="00AD19C7"/>
    <w:rsid w:val="00B17286"/>
    <w:rsid w:val="00B24F9F"/>
    <w:rsid w:val="00B33EAB"/>
    <w:rsid w:val="00B45DC4"/>
    <w:rsid w:val="00B52F1F"/>
    <w:rsid w:val="00B67C56"/>
    <w:rsid w:val="00B72DA5"/>
    <w:rsid w:val="00B75A9B"/>
    <w:rsid w:val="00BC3C4A"/>
    <w:rsid w:val="00BC7601"/>
    <w:rsid w:val="00C05810"/>
    <w:rsid w:val="00C24B5C"/>
    <w:rsid w:val="00C430A4"/>
    <w:rsid w:val="00C4421E"/>
    <w:rsid w:val="00C721BA"/>
    <w:rsid w:val="00C8759F"/>
    <w:rsid w:val="00C93127"/>
    <w:rsid w:val="00CA5F1B"/>
    <w:rsid w:val="00CB08A3"/>
    <w:rsid w:val="00CB5031"/>
    <w:rsid w:val="00CD29ED"/>
    <w:rsid w:val="00CD7AA1"/>
    <w:rsid w:val="00CE5A5B"/>
    <w:rsid w:val="00CF09F5"/>
    <w:rsid w:val="00D2099B"/>
    <w:rsid w:val="00D24BA6"/>
    <w:rsid w:val="00D264D2"/>
    <w:rsid w:val="00D40275"/>
    <w:rsid w:val="00D4109D"/>
    <w:rsid w:val="00D933F6"/>
    <w:rsid w:val="00DA138D"/>
    <w:rsid w:val="00DA5E11"/>
    <w:rsid w:val="00DC47F4"/>
    <w:rsid w:val="00DE397B"/>
    <w:rsid w:val="00E05AFF"/>
    <w:rsid w:val="00E11622"/>
    <w:rsid w:val="00E11E78"/>
    <w:rsid w:val="00E234B2"/>
    <w:rsid w:val="00E2466D"/>
    <w:rsid w:val="00E26251"/>
    <w:rsid w:val="00E30EB7"/>
    <w:rsid w:val="00E57A14"/>
    <w:rsid w:val="00E71E00"/>
    <w:rsid w:val="00E84903"/>
    <w:rsid w:val="00E91D72"/>
    <w:rsid w:val="00EA693C"/>
    <w:rsid w:val="00EC1BFD"/>
    <w:rsid w:val="00ED3E79"/>
    <w:rsid w:val="00EE2E43"/>
    <w:rsid w:val="00EF2178"/>
    <w:rsid w:val="00EF2DD5"/>
    <w:rsid w:val="00F11246"/>
    <w:rsid w:val="00F20BD0"/>
    <w:rsid w:val="00F349B6"/>
    <w:rsid w:val="00F46FD9"/>
    <w:rsid w:val="00F55B4C"/>
    <w:rsid w:val="00F64B98"/>
    <w:rsid w:val="00F9395B"/>
    <w:rsid w:val="00FA405B"/>
    <w:rsid w:val="00FA5AA4"/>
    <w:rsid w:val="00FB0345"/>
    <w:rsid w:val="00FC116E"/>
    <w:rsid w:val="00FE3B88"/>
    <w:rsid w:val="00FE4098"/>
    <w:rsid w:val="00FF3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13A8"/>
  <w15:docId w15:val="{97994086-519B-46DA-A688-68A5AA4D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4"/>
        <w:szCs w:val="24"/>
        <w:lang w:val="lt-LT" w:eastAsia="lt-LT"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style>
  <w:style w:type="paragraph" w:styleId="Antrat1">
    <w:name w:val="heading 1"/>
    <w:basedOn w:val="prastasis"/>
    <w:next w:val="prastasis"/>
    <w:uiPriority w:val="9"/>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Pr>
      <w:rFonts w:ascii="Calibri" w:hAnsi="Calibri"/>
      <w:sz w:val="24"/>
    </w:rPr>
  </w:style>
  <w:style w:type="character" w:customStyle="1" w:styleId="Numeravimosimboliai">
    <w:name w:val="Numeravimo simboliai"/>
  </w:style>
  <w:style w:type="character" w:styleId="Hipersaitas">
    <w:name w:val="Hyperlink"/>
    <w:basedOn w:val="Numatytasispastraiposriftas1"/>
    <w:rPr>
      <w:rFonts w:ascii="Calibri" w:hAnsi="Calibri"/>
      <w:color w:val="0000FF"/>
      <w:sz w:val="24"/>
      <w:u w:val="single"/>
    </w:rPr>
  </w:style>
  <w:style w:type="character" w:customStyle="1" w:styleId="Numatytasispastraiposriftas1">
    <w:name w:val="Numatytasis pastraipos šriftas1"/>
    <w:rPr>
      <w:rFonts w:ascii="Calibri" w:hAnsi="Calibri"/>
      <w:sz w:val="24"/>
    </w:rPr>
  </w:style>
  <w:style w:type="paragraph" w:customStyle="1" w:styleId="Pavadinimas2">
    <w:name w:val="Pavadinimas2"/>
    <w:basedOn w:val="prastasis"/>
    <w:pPr>
      <w:suppressLineNumbers/>
      <w:spacing w:before="120" w:after="120"/>
    </w:pPr>
    <w:rPr>
      <w:rFonts w:cs="Tahoma"/>
      <w:i/>
      <w:iCs/>
    </w:rPr>
  </w:style>
  <w:style w:type="paragraph" w:customStyle="1" w:styleId="Tekstas">
    <w:name w:val="Tekstas"/>
    <w:basedOn w:val="prastasis"/>
    <w:pPr>
      <w:spacing w:before="40" w:after="40"/>
      <w:ind w:right="40" w:firstLine="1247"/>
      <w:jc w:val="both"/>
    </w:p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grindinistekstas">
    <w:name w:val="Body Text"/>
    <w:basedOn w:val="prastasis"/>
    <w:pPr>
      <w:spacing w:after="120"/>
    </w:pPr>
  </w:style>
  <w:style w:type="paragraph" w:styleId="Pavadinimas">
    <w:name w:val="Title"/>
    <w:basedOn w:val="Antrat10"/>
    <w:next w:val="Paantrat"/>
    <w:uiPriority w:val="10"/>
    <w:qFormat/>
  </w:style>
  <w:style w:type="paragraph" w:styleId="Paantrat">
    <w:name w:val="Subtitle"/>
    <w:basedOn w:val="Antrat10"/>
    <w:next w:val="Pagrindinistekstas"/>
    <w:uiPriority w:val="11"/>
    <w:qFormat/>
    <w:rPr>
      <w:i/>
      <w:iCs/>
      <w:sz w:val="28"/>
    </w:rPr>
  </w:style>
  <w:style w:type="paragraph" w:styleId="Sraas">
    <w:name w:val="List"/>
    <w:basedOn w:val="Tekstas"/>
    <w:rPr>
      <w:rFonts w:cs="Tahoma"/>
    </w:rPr>
  </w:style>
  <w:style w:type="paragraph" w:styleId="Porat">
    <w:name w:val="footer"/>
    <w:basedOn w:val="prastasis"/>
    <w:pPr>
      <w:tabs>
        <w:tab w:val="right" w:pos="8306"/>
      </w:tabs>
      <w:jc w:val="right"/>
    </w:pPr>
    <w:rPr>
      <w:sz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customStyle="1" w:styleId="Kadroturinys">
    <w:name w:val="Kadro turinys"/>
    <w:basedOn w:val="Tekstas"/>
  </w:style>
  <w:style w:type="paragraph" w:customStyle="1" w:styleId="Rodykl">
    <w:name w:val="Rodyklė"/>
    <w:basedOn w:val="prastasis"/>
    <w:pPr>
      <w:suppressLineNumbers/>
    </w:pPr>
    <w:rPr>
      <w:rFonts w:cs="Tahoma"/>
    </w:rPr>
  </w:style>
  <w:style w:type="paragraph" w:customStyle="1" w:styleId="Pavadinimas1">
    <w:name w:val="Pavadinimas1"/>
    <w:basedOn w:val="prastasis"/>
    <w:pPr>
      <w:spacing w:before="40" w:after="40"/>
      <w:ind w:right="1959"/>
    </w:pPr>
    <w:rPr>
      <w:caps/>
    </w:rPr>
  </w:style>
  <w:style w:type="paragraph" w:customStyle="1" w:styleId="Adresas">
    <w:name w:val="Adresas"/>
    <w:basedOn w:val="prastasis"/>
    <w:pPr>
      <w:ind w:right="318"/>
    </w:pPr>
  </w:style>
  <w:style w:type="paragraph" w:customStyle="1" w:styleId="Kopija">
    <w:name w:val="Kopija"/>
    <w:basedOn w:val="Adresas"/>
    <w:pPr>
      <w:ind w:right="3999"/>
    </w:pPr>
  </w:style>
  <w:style w:type="paragraph" w:customStyle="1" w:styleId="Institucija">
    <w:name w:val="Institucija"/>
    <w:basedOn w:val="Antrat10"/>
    <w:rPr>
      <w:b/>
      <w:bCs/>
      <w:sz w:val="26"/>
    </w:rPr>
  </w:style>
  <w:style w:type="paragraph" w:styleId="Antrats">
    <w:name w:val="header"/>
    <w:basedOn w:val="prastasis"/>
    <w:pPr>
      <w:suppressLineNumbers/>
      <w:tabs>
        <w:tab w:val="center" w:pos="-568"/>
        <w:tab w:val="right" w:pos="-1135"/>
      </w:tabs>
    </w:pPr>
  </w:style>
  <w:style w:type="paragraph" w:customStyle="1" w:styleId="Tekstasnumeruotas">
    <w:name w:val="Tekstas:numeruotas"/>
    <w:basedOn w:val="Tekstas"/>
    <w:pPr>
      <w:numPr>
        <w:numId w:val="1"/>
      </w:numPr>
      <w:ind w:right="0"/>
    </w:pPr>
  </w:style>
  <w:style w:type="paragraph" w:customStyle="1" w:styleId="RATOPAVADINIMAS">
    <w:name w:val="RAŠTO PAVADINIMAS"/>
    <w:basedOn w:val="Pavadinimas1"/>
    <w:rPr>
      <w:b/>
      <w:bCs/>
    </w:rPr>
  </w:style>
  <w:style w:type="character" w:customStyle="1" w:styleId="PoratDiagrama">
    <w:name w:val="Poraštė Diagrama"/>
    <w:basedOn w:val="Numatytasispastraiposriftas"/>
    <w:rPr>
      <w:sz w:val="16"/>
      <w:szCs w:val="24"/>
      <w:lang w:eastAsia="ar-SA"/>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lang w:eastAsia="ar-SA"/>
    </w:rPr>
  </w:style>
  <w:style w:type="character" w:customStyle="1" w:styleId="UnresolvedMention">
    <w:name w:val="Unresolved Mention"/>
    <w:basedOn w:val="Numatytasispastraiposriftas"/>
    <w:rPr>
      <w:color w:val="605E5C"/>
      <w:shd w:val="clear" w:color="auto" w:fill="E1DFDD"/>
    </w:rPr>
  </w:style>
  <w:style w:type="character" w:styleId="Knygospavadinimas">
    <w:name w:val="Book Title"/>
    <w:basedOn w:val="Numatytasispastraiposriftas"/>
    <w:rPr>
      <w:b/>
      <w:bCs/>
      <w:i/>
      <w:iCs/>
      <w:spacing w:val="5"/>
    </w:rPr>
  </w:style>
  <w:style w:type="character" w:customStyle="1" w:styleId="AntratsDiagrama">
    <w:name w:val="Antraštės Diagrama"/>
    <w:basedOn w:val="Numatytasispastraiposriftas"/>
    <w:rPr>
      <w:sz w:val="24"/>
      <w:szCs w:val="24"/>
      <w:lang w:eastAsia="ar-SA"/>
    </w:rPr>
  </w:style>
  <w:style w:type="paragraph" w:styleId="Puslapioinaostekstas">
    <w:name w:val="footnote text"/>
    <w:basedOn w:val="prastasis"/>
    <w:pPr>
      <w:jc w:val="both"/>
    </w:pPr>
    <w:rPr>
      <w:sz w:val="20"/>
      <w:szCs w:val="20"/>
    </w:rPr>
  </w:style>
  <w:style w:type="character" w:customStyle="1" w:styleId="PuslapioinaostekstasDiagrama">
    <w:name w:val="Puslapio išnašos tekstas Diagrama"/>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Dokumentoinaostekstas">
    <w:name w:val="endnote text"/>
    <w:basedOn w:val="prastasis"/>
    <w:pPr>
      <w:jc w:val="both"/>
    </w:pPr>
    <w:rPr>
      <w:sz w:val="20"/>
      <w:szCs w:val="20"/>
    </w:rPr>
  </w:style>
  <w:style w:type="character" w:customStyle="1" w:styleId="DokumentoinaostekstasDiagrama">
    <w:name w:val="Dokumento išnašos tekstas Diagrama"/>
    <w:basedOn w:val="Numatytasispastraiposriftas"/>
    <w:rPr>
      <w:sz w:val="20"/>
      <w:szCs w:val="20"/>
    </w:rPr>
  </w:style>
  <w:style w:type="character" w:styleId="Dokumentoinaosnumeris">
    <w:name w:val="endnote reference"/>
    <w:basedOn w:val="Numatytasispastraiposriftas"/>
    <w:rPr>
      <w:position w:val="0"/>
      <w:vertAlign w:val="superscript"/>
    </w:rPr>
  </w:style>
  <w:style w:type="numbering" w:customStyle="1" w:styleId="LFO2">
    <w:name w:val="LFO2"/>
    <w:basedOn w:val="Sraonra"/>
    <w:pPr>
      <w:numPr>
        <w:numId w:val="1"/>
      </w:numPr>
    </w:pPr>
  </w:style>
  <w:style w:type="paragraph" w:styleId="Pataisymai">
    <w:name w:val="Revision"/>
    <w:hidden/>
    <w:uiPriority w:val="99"/>
    <w:semiHidden/>
    <w:rsid w:val="004D054E"/>
    <w:pPr>
      <w:autoSpaceDN/>
    </w:pPr>
  </w:style>
  <w:style w:type="character" w:styleId="Komentaronuoroda">
    <w:name w:val="annotation reference"/>
    <w:basedOn w:val="Numatytasispastraiposriftas"/>
    <w:uiPriority w:val="99"/>
    <w:semiHidden/>
    <w:unhideWhenUsed/>
    <w:rsid w:val="004E636D"/>
    <w:rPr>
      <w:sz w:val="16"/>
      <w:szCs w:val="16"/>
    </w:rPr>
  </w:style>
  <w:style w:type="paragraph" w:styleId="Komentarotekstas">
    <w:name w:val="annotation text"/>
    <w:basedOn w:val="prastasis"/>
    <w:link w:val="KomentarotekstasDiagrama"/>
    <w:uiPriority w:val="99"/>
    <w:unhideWhenUsed/>
    <w:rsid w:val="004E636D"/>
    <w:rPr>
      <w:sz w:val="20"/>
      <w:szCs w:val="20"/>
    </w:rPr>
  </w:style>
  <w:style w:type="character" w:customStyle="1" w:styleId="KomentarotekstasDiagrama">
    <w:name w:val="Komentaro tekstas Diagrama"/>
    <w:basedOn w:val="Numatytasispastraiposriftas"/>
    <w:link w:val="Komentarotekstas"/>
    <w:uiPriority w:val="99"/>
    <w:rsid w:val="004E636D"/>
    <w:rPr>
      <w:sz w:val="20"/>
      <w:szCs w:val="20"/>
    </w:rPr>
  </w:style>
  <w:style w:type="paragraph" w:styleId="Komentarotema">
    <w:name w:val="annotation subject"/>
    <w:basedOn w:val="Komentarotekstas"/>
    <w:next w:val="Komentarotekstas"/>
    <w:link w:val="KomentarotemaDiagrama"/>
    <w:uiPriority w:val="99"/>
    <w:semiHidden/>
    <w:unhideWhenUsed/>
    <w:rsid w:val="004E636D"/>
    <w:rPr>
      <w:b/>
      <w:bCs/>
    </w:rPr>
  </w:style>
  <w:style w:type="character" w:customStyle="1" w:styleId="KomentarotemaDiagrama">
    <w:name w:val="Komentaro tema Diagrama"/>
    <w:basedOn w:val="KomentarotekstasDiagrama"/>
    <w:link w:val="Komentarotema"/>
    <w:uiPriority w:val="99"/>
    <w:semiHidden/>
    <w:rsid w:val="004E63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Z6YWEJNPDQQR-896559167-417</_dlc_DocId>
    <_dlc_DocIdUrl xmlns="28130d43-1b56-4a10-ad88-2cd38123f4c1">
      <Url>https://intranetas.lrs.lt/29/_layouts/15/DocIdRedir.aspx?ID=Z6YWEJNPDQQR-896559167-417</Url>
      <Description>Z6YWEJNPDQQR-896559167-417</Description>
    </_dlc_DocIdUrl>
  </documentManagement>
</p:properties>
</file>

<file path=customXml/itemProps1.xml><?xml version="1.0" encoding="utf-8"?>
<ds:datastoreItem xmlns:ds="http://schemas.openxmlformats.org/officeDocument/2006/customXml" ds:itemID="{7B1D4BDA-DE37-407B-A154-BA902FFA1D2D}">
  <ds:schemaRefs>
    <ds:schemaRef ds:uri="http://schemas.openxmlformats.org/officeDocument/2006/bibliography"/>
  </ds:schemaRefs>
</ds:datastoreItem>
</file>

<file path=customXml/itemProps2.xml><?xml version="1.0" encoding="utf-8"?>
<ds:datastoreItem xmlns:ds="http://schemas.openxmlformats.org/officeDocument/2006/customXml" ds:itemID="{074C438E-7827-4C1F-AEDC-7535613A1E45}"/>
</file>

<file path=customXml/itemProps3.xml><?xml version="1.0" encoding="utf-8"?>
<ds:datastoreItem xmlns:ds="http://schemas.openxmlformats.org/officeDocument/2006/customXml" ds:itemID="{E657358D-4776-42C2-9ACA-97A3ED4C8211}"/>
</file>

<file path=customXml/itemProps4.xml><?xml version="1.0" encoding="utf-8"?>
<ds:datastoreItem xmlns:ds="http://schemas.openxmlformats.org/officeDocument/2006/customXml" ds:itemID="{40DB77CF-73DF-41BA-90DA-1D6559816045}"/>
</file>

<file path=customXml/itemProps5.xml><?xml version="1.0" encoding="utf-8"?>
<ds:datastoreItem xmlns:ds="http://schemas.openxmlformats.org/officeDocument/2006/customXml" ds:itemID="{AE97C048-1F82-4089-B76B-C5B91C07251F}"/>
</file>

<file path=docProps/app.xml><?xml version="1.0" encoding="utf-8"?>
<Properties xmlns="http://schemas.openxmlformats.org/officeDocument/2006/extended-properties" xmlns:vt="http://schemas.openxmlformats.org/officeDocument/2006/docPropsVTypes">
  <Template>Normal.dotm</Template>
  <TotalTime>1</TotalTime>
  <Pages>3</Pages>
  <Words>6387</Words>
  <Characters>3641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Samanta Delekaitė</dc:creator>
  <cp:lastModifiedBy>KNIUKŠTIENĖ Rimantė</cp:lastModifiedBy>
  <cp:revision>2</cp:revision>
  <cp:lastPrinted>2024-04-02T06:25:00Z</cp:lastPrinted>
  <dcterms:created xsi:type="dcterms:W3CDTF">2024-04-02T06:26:00Z</dcterms:created>
  <dcterms:modified xsi:type="dcterms:W3CDTF">2024-04-02T06:26:00Z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93b08675-9852-46eb-8804-780d3b8f907c</vt:lpwstr>
  </property>
</Properties>
</file>