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1519" w14:textId="6AD40AA1" w:rsidR="005427A1" w:rsidRPr="003B402F" w:rsidRDefault="005427A1" w:rsidP="003B402F">
      <w:pPr>
        <w:tabs>
          <w:tab w:val="center" w:pos="4819"/>
          <w:tab w:val="right" w:pos="9638"/>
        </w:tabs>
        <w:spacing w:line="360" w:lineRule="auto"/>
        <w:rPr>
          <w:szCs w:val="24"/>
        </w:rPr>
      </w:pPr>
    </w:p>
    <w:p w14:paraId="67B23965" w14:textId="77777777" w:rsidR="005427A1" w:rsidRPr="003B402F" w:rsidRDefault="00AC3DB9" w:rsidP="003B402F">
      <w:pPr>
        <w:spacing w:line="360" w:lineRule="auto"/>
        <w:jc w:val="center"/>
        <w:rPr>
          <w:szCs w:val="24"/>
        </w:rPr>
      </w:pPr>
      <w:r w:rsidRPr="003B402F">
        <w:rPr>
          <w:noProof/>
          <w:szCs w:val="24"/>
          <w:lang w:eastAsia="lt-LT"/>
        </w:rPr>
        <w:drawing>
          <wp:inline distT="0" distB="0" distL="0" distR="0" wp14:anchorId="5F474BE0" wp14:editId="4D36C556">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3B50C550" w14:textId="77777777" w:rsidR="005427A1" w:rsidRPr="003B402F" w:rsidRDefault="005427A1" w:rsidP="003B402F">
      <w:pPr>
        <w:spacing w:line="360" w:lineRule="auto"/>
        <w:ind w:firstLine="851"/>
        <w:jc w:val="center"/>
        <w:rPr>
          <w:szCs w:val="24"/>
        </w:rPr>
      </w:pPr>
    </w:p>
    <w:p w14:paraId="24AE5DF0" w14:textId="77777777" w:rsidR="005427A1" w:rsidRPr="003B402F" w:rsidRDefault="00AC3DB9" w:rsidP="003B402F">
      <w:pPr>
        <w:spacing w:line="360" w:lineRule="auto"/>
        <w:jc w:val="center"/>
        <w:rPr>
          <w:b/>
          <w:bCs/>
          <w:szCs w:val="24"/>
        </w:rPr>
      </w:pPr>
      <w:r w:rsidRPr="003B402F">
        <w:rPr>
          <w:b/>
          <w:bCs/>
          <w:szCs w:val="24"/>
        </w:rPr>
        <w:t>LIETUVOS RESPUBLIKOS SEIMO</w:t>
      </w:r>
    </w:p>
    <w:p w14:paraId="50568BCA" w14:textId="77777777" w:rsidR="005427A1" w:rsidRPr="003B402F" w:rsidRDefault="00AC3DB9" w:rsidP="003B402F">
      <w:pPr>
        <w:spacing w:line="360" w:lineRule="auto"/>
        <w:jc w:val="center"/>
        <w:rPr>
          <w:b/>
          <w:bCs/>
          <w:spacing w:val="4"/>
          <w:szCs w:val="24"/>
        </w:rPr>
      </w:pPr>
      <w:r w:rsidRPr="003B402F">
        <w:rPr>
          <w:b/>
          <w:bCs/>
          <w:spacing w:val="4"/>
          <w:szCs w:val="24"/>
        </w:rPr>
        <w:t>PETICIJŲ KOMISIJA</w:t>
      </w:r>
    </w:p>
    <w:p w14:paraId="233DA8CA" w14:textId="77777777" w:rsidR="005427A1" w:rsidRPr="003B402F" w:rsidRDefault="00AC3DB9" w:rsidP="003B402F">
      <w:pPr>
        <w:spacing w:line="360" w:lineRule="auto"/>
        <w:jc w:val="center"/>
        <w:rPr>
          <w:rFonts w:eastAsia="Calibri"/>
          <w:b/>
          <w:szCs w:val="24"/>
        </w:rPr>
      </w:pPr>
      <w:r w:rsidRPr="003B402F">
        <w:rPr>
          <w:rFonts w:eastAsia="Calibri"/>
          <w:b/>
          <w:szCs w:val="24"/>
        </w:rPr>
        <w:t>IŠVADA</w:t>
      </w:r>
    </w:p>
    <w:p w14:paraId="0F811026" w14:textId="77777777" w:rsidR="005427A1" w:rsidRPr="003B402F" w:rsidRDefault="00AC3DB9" w:rsidP="003B402F">
      <w:pPr>
        <w:spacing w:line="360" w:lineRule="auto"/>
        <w:jc w:val="center"/>
        <w:rPr>
          <w:rFonts w:eastAsia="Calibri"/>
          <w:b/>
          <w:szCs w:val="24"/>
        </w:rPr>
      </w:pPr>
      <w:r w:rsidRPr="003B402F">
        <w:rPr>
          <w:rFonts w:eastAsia="Calibri"/>
          <w:b/>
          <w:szCs w:val="24"/>
        </w:rPr>
        <w:t>DĖL PETICIJOJE PATEIKTO SIŪLYMO NETENKINIMO</w:t>
      </w:r>
    </w:p>
    <w:p w14:paraId="65552F36" w14:textId="54023916" w:rsidR="005427A1" w:rsidRPr="003B402F" w:rsidRDefault="00EB4FAD" w:rsidP="003B402F">
      <w:pPr>
        <w:spacing w:line="360" w:lineRule="auto"/>
        <w:jc w:val="center"/>
        <w:rPr>
          <w:rFonts w:eastAsia="Calibri"/>
          <w:szCs w:val="24"/>
          <w:lang w:val="en-US"/>
        </w:rPr>
      </w:pPr>
      <w:r w:rsidRPr="003B402F">
        <w:rPr>
          <w:rFonts w:eastAsia="Calibri"/>
          <w:szCs w:val="24"/>
        </w:rPr>
        <w:t>2</w:t>
      </w:r>
      <w:r w:rsidR="003A61FB" w:rsidRPr="003B402F">
        <w:rPr>
          <w:rFonts w:eastAsia="Calibri"/>
          <w:szCs w:val="24"/>
        </w:rPr>
        <w:t xml:space="preserve">025 m. </w:t>
      </w:r>
      <w:r w:rsidR="00E3556C" w:rsidRPr="003B402F">
        <w:rPr>
          <w:rFonts w:eastAsia="Calibri"/>
          <w:szCs w:val="24"/>
        </w:rPr>
        <w:t>kovo 4</w:t>
      </w:r>
      <w:r w:rsidR="008F4A1A" w:rsidRPr="003B402F">
        <w:rPr>
          <w:rFonts w:eastAsia="Calibri"/>
          <w:szCs w:val="24"/>
        </w:rPr>
        <w:t xml:space="preserve"> </w:t>
      </w:r>
      <w:r w:rsidR="00CF7BAC" w:rsidRPr="003B402F">
        <w:rPr>
          <w:rFonts w:eastAsia="Calibri"/>
          <w:szCs w:val="24"/>
        </w:rPr>
        <w:t>d. Nr. 250-I-</w:t>
      </w:r>
      <w:r w:rsidR="003A61FB" w:rsidRPr="003B402F">
        <w:rPr>
          <w:rFonts w:eastAsia="Calibri"/>
          <w:szCs w:val="24"/>
          <w:lang w:val="en-US"/>
        </w:rPr>
        <w:t>3</w:t>
      </w:r>
    </w:p>
    <w:p w14:paraId="1001074F" w14:textId="77777777" w:rsidR="005427A1" w:rsidRPr="003B402F" w:rsidRDefault="00AC3DB9" w:rsidP="003B402F">
      <w:pPr>
        <w:spacing w:line="360" w:lineRule="auto"/>
        <w:jc w:val="center"/>
        <w:rPr>
          <w:rFonts w:eastAsia="Calibri"/>
          <w:szCs w:val="24"/>
        </w:rPr>
      </w:pPr>
      <w:r w:rsidRPr="003B402F">
        <w:rPr>
          <w:rFonts w:eastAsia="Calibri"/>
          <w:szCs w:val="24"/>
        </w:rPr>
        <w:t>Vilnius</w:t>
      </w:r>
    </w:p>
    <w:p w14:paraId="12820944" w14:textId="77777777" w:rsidR="005427A1" w:rsidRPr="003B402F" w:rsidRDefault="005427A1" w:rsidP="003B402F">
      <w:pPr>
        <w:spacing w:line="360" w:lineRule="auto"/>
        <w:jc w:val="right"/>
        <w:rPr>
          <w:rFonts w:eastAsia="Calibri"/>
          <w:szCs w:val="24"/>
        </w:rPr>
      </w:pPr>
    </w:p>
    <w:p w14:paraId="7BAFC7CE" w14:textId="321B8397" w:rsidR="00B376AC" w:rsidRPr="00181378" w:rsidRDefault="001B7668" w:rsidP="003B402F">
      <w:pPr>
        <w:spacing w:line="360" w:lineRule="auto"/>
        <w:ind w:firstLine="720"/>
        <w:jc w:val="both"/>
        <w:rPr>
          <w:bCs/>
          <w:color w:val="000000" w:themeColor="text1"/>
          <w:szCs w:val="24"/>
        </w:rPr>
      </w:pPr>
      <w:bookmarkStart w:id="0" w:name="_GoBack"/>
      <w:r w:rsidRPr="00181378">
        <w:rPr>
          <w:color w:val="000000" w:themeColor="text1"/>
          <w:szCs w:val="24"/>
        </w:rPr>
        <w:t>Lietuvos Respublikos Seimo Peticijų komisija (toliau – Komisija) 202</w:t>
      </w:r>
      <w:r w:rsidR="00E3556C" w:rsidRPr="00181378">
        <w:rPr>
          <w:color w:val="000000" w:themeColor="text1"/>
          <w:szCs w:val="24"/>
        </w:rPr>
        <w:t>6</w:t>
      </w:r>
      <w:r w:rsidRPr="00181378">
        <w:rPr>
          <w:color w:val="000000" w:themeColor="text1"/>
          <w:szCs w:val="24"/>
        </w:rPr>
        <w:t xml:space="preserve"> m.</w:t>
      </w:r>
      <w:r w:rsidR="00552DCF" w:rsidRPr="00181378">
        <w:rPr>
          <w:color w:val="000000" w:themeColor="text1"/>
          <w:szCs w:val="24"/>
        </w:rPr>
        <w:t xml:space="preserve"> </w:t>
      </w:r>
      <w:proofErr w:type="spellStart"/>
      <w:proofErr w:type="gramStart"/>
      <w:r w:rsidR="00E3556C" w:rsidRPr="00181378">
        <w:rPr>
          <w:color w:val="000000" w:themeColor="text1"/>
          <w:szCs w:val="24"/>
          <w:lang w:val="en-US"/>
        </w:rPr>
        <w:t>kovo</w:t>
      </w:r>
      <w:proofErr w:type="spellEnd"/>
      <w:proofErr w:type="gramEnd"/>
      <w:r w:rsidR="00E3556C" w:rsidRPr="00181378">
        <w:rPr>
          <w:color w:val="000000" w:themeColor="text1"/>
          <w:szCs w:val="24"/>
          <w:lang w:val="en-US"/>
        </w:rPr>
        <w:t xml:space="preserve"> 4</w:t>
      </w:r>
      <w:r w:rsidRPr="00181378">
        <w:rPr>
          <w:color w:val="000000" w:themeColor="text1"/>
          <w:szCs w:val="24"/>
        </w:rPr>
        <w:t xml:space="preserve"> d. posėdyje išnagrinėjo</w:t>
      </w:r>
      <w:r w:rsidR="000E65AF" w:rsidRPr="00181378">
        <w:rPr>
          <w:color w:val="000000" w:themeColor="text1"/>
          <w:szCs w:val="24"/>
        </w:rPr>
        <w:t xml:space="preserve"> pareiškėjo</w:t>
      </w:r>
      <w:r w:rsidR="00E3556C" w:rsidRPr="00181378">
        <w:rPr>
          <w:color w:val="000000" w:themeColor="text1"/>
          <w:szCs w:val="24"/>
        </w:rPr>
        <w:t>s</w:t>
      </w:r>
      <w:r w:rsidRPr="00181378">
        <w:rPr>
          <w:color w:val="000000" w:themeColor="text1"/>
          <w:szCs w:val="24"/>
        </w:rPr>
        <w:t xml:space="preserve"> peticiją, kurioje pateiktas siūlymas</w:t>
      </w:r>
      <w:r w:rsidRPr="00181378">
        <w:rPr>
          <w:color w:val="000000" w:themeColor="text1"/>
          <w:szCs w:val="24"/>
          <w:lang w:bidi="bn-IN"/>
        </w:rPr>
        <w:t xml:space="preserve"> </w:t>
      </w:r>
      <w:r w:rsidRPr="00181378">
        <w:rPr>
          <w:color w:val="000000" w:themeColor="text1"/>
          <w:szCs w:val="24"/>
        </w:rPr>
        <w:t xml:space="preserve">dėl </w:t>
      </w:r>
      <w:r w:rsidR="003A61FB" w:rsidRPr="00181378">
        <w:rPr>
          <w:color w:val="000000" w:themeColor="text1"/>
          <w:szCs w:val="24"/>
          <w:lang w:val="en"/>
        </w:rPr>
        <w:t>Lietuvos Respublikos</w:t>
      </w:r>
      <w:r w:rsidR="00E3556C" w:rsidRPr="00181378">
        <w:rPr>
          <w:bCs/>
          <w:color w:val="000000" w:themeColor="text1"/>
          <w:szCs w:val="24"/>
        </w:rPr>
        <w:t xml:space="preserve"> socialinio draudimo pensijų įstatymo </w:t>
      </w:r>
      <w:r w:rsidR="001444F5" w:rsidRPr="00181378">
        <w:rPr>
          <w:color w:val="000000" w:themeColor="text1"/>
          <w:szCs w:val="24"/>
        </w:rPr>
        <w:t>(toliau –</w:t>
      </w:r>
      <w:r w:rsidR="001444F5" w:rsidRPr="00181378">
        <w:rPr>
          <w:color w:val="000000" w:themeColor="text1"/>
          <w:szCs w:val="24"/>
        </w:rPr>
        <w:t xml:space="preserve"> </w:t>
      </w:r>
      <w:r w:rsidR="001444F5" w:rsidRPr="00181378">
        <w:rPr>
          <w:color w:val="000000" w:themeColor="text1"/>
          <w:szCs w:val="24"/>
        </w:rPr>
        <w:t xml:space="preserve">Pensijų įstatymas) </w:t>
      </w:r>
      <w:r w:rsidR="00E3556C" w:rsidRPr="00181378">
        <w:rPr>
          <w:bCs/>
          <w:color w:val="000000" w:themeColor="text1"/>
          <w:szCs w:val="24"/>
        </w:rPr>
        <w:t>6 straipsnio pakeitimo</w:t>
      </w:r>
      <w:r w:rsidR="003A61FB" w:rsidRPr="00181378">
        <w:rPr>
          <w:color w:val="000000" w:themeColor="text1"/>
          <w:szCs w:val="24"/>
          <w:lang w:val="en"/>
        </w:rPr>
        <w:t xml:space="preserve"> </w:t>
      </w:r>
      <w:r w:rsidRPr="00181378">
        <w:rPr>
          <w:rFonts w:eastAsia="Calibri"/>
          <w:color w:val="000000" w:themeColor="text1"/>
          <w:szCs w:val="24"/>
        </w:rPr>
        <w:t xml:space="preserve">ir priėmė sprendimą </w:t>
      </w:r>
      <w:r w:rsidRPr="00181378">
        <w:rPr>
          <w:color w:val="000000" w:themeColor="text1"/>
          <w:szCs w:val="24"/>
        </w:rPr>
        <w:t xml:space="preserve">teikti Seimui išvadą </w:t>
      </w:r>
      <w:r w:rsidRPr="00181378">
        <w:rPr>
          <w:rFonts w:eastAsia="Calibri"/>
          <w:color w:val="000000" w:themeColor="text1"/>
          <w:szCs w:val="24"/>
        </w:rPr>
        <w:t xml:space="preserve">netenkinti šio siūlymo. </w:t>
      </w:r>
      <w:r w:rsidRPr="00181378">
        <w:rPr>
          <w:color w:val="000000" w:themeColor="text1"/>
          <w:szCs w:val="24"/>
        </w:rPr>
        <w:t>Komisija</w:t>
      </w:r>
      <w:r w:rsidRPr="00181378">
        <w:rPr>
          <w:rFonts w:eastAsia="Calibri"/>
          <w:color w:val="000000" w:themeColor="text1"/>
          <w:szCs w:val="24"/>
        </w:rPr>
        <w:t xml:space="preserve"> sprendimą priėmė atsižvelgusi į </w:t>
      </w:r>
      <w:r w:rsidR="00E3556C" w:rsidRPr="00181378">
        <w:rPr>
          <w:rFonts w:eastAsiaTheme="majorEastAsia"/>
          <w:bCs/>
          <w:color w:val="000000" w:themeColor="text1"/>
          <w:szCs w:val="24"/>
        </w:rPr>
        <w:t>Lietuvos Respublikos socialinės apsaugos ir darbo ministerijos</w:t>
      </w:r>
      <w:r w:rsidR="00934E85" w:rsidRPr="00181378">
        <w:rPr>
          <w:rFonts w:eastAsiaTheme="majorEastAsia"/>
          <w:bCs/>
          <w:color w:val="000000" w:themeColor="text1"/>
          <w:szCs w:val="24"/>
        </w:rPr>
        <w:t xml:space="preserve"> (</w:t>
      </w:r>
      <w:r w:rsidR="00934E85" w:rsidRPr="00181378">
        <w:rPr>
          <w:color w:val="000000" w:themeColor="text1"/>
          <w:szCs w:val="24"/>
        </w:rPr>
        <w:t>toliau – SADM)</w:t>
      </w:r>
      <w:r w:rsidR="00E3556C" w:rsidRPr="00181378">
        <w:rPr>
          <w:rFonts w:eastAsiaTheme="majorEastAsia"/>
          <w:bCs/>
          <w:color w:val="000000" w:themeColor="text1"/>
          <w:szCs w:val="24"/>
        </w:rPr>
        <w:t xml:space="preserve">, </w:t>
      </w:r>
      <w:r w:rsidR="008B0418" w:rsidRPr="00181378">
        <w:rPr>
          <w:rFonts w:eastAsia="Segoe UI"/>
          <w:color w:val="000000" w:themeColor="text1"/>
          <w:szCs w:val="24"/>
        </w:rPr>
        <w:t xml:space="preserve">Valstybinio socialinio draudimo fondo valdybos ir </w:t>
      </w:r>
      <w:r w:rsidR="00E3556C" w:rsidRPr="00181378">
        <w:rPr>
          <w:rFonts w:eastAsiaTheme="majorEastAsia"/>
          <w:bCs/>
          <w:color w:val="000000" w:themeColor="text1"/>
          <w:szCs w:val="24"/>
        </w:rPr>
        <w:t xml:space="preserve">Lietuvos Respublikos Seimo kanceliarijos Teisės departamento </w:t>
      </w:r>
      <w:r w:rsidR="00E3556C" w:rsidRPr="00181378">
        <w:rPr>
          <w:color w:val="000000" w:themeColor="text1"/>
          <w:szCs w:val="24"/>
        </w:rPr>
        <w:t>nuomones.</w:t>
      </w:r>
      <w:r w:rsidRPr="00181378">
        <w:rPr>
          <w:rFonts w:eastAsiaTheme="majorEastAsia"/>
          <w:bCs/>
          <w:color w:val="000000" w:themeColor="text1"/>
          <w:szCs w:val="24"/>
        </w:rPr>
        <w:t xml:space="preserve"> </w:t>
      </w:r>
    </w:p>
    <w:p w14:paraId="38B8C903" w14:textId="41C1F5FE" w:rsidR="00B376AC" w:rsidRPr="00181378" w:rsidRDefault="00E3556C" w:rsidP="00B376AC">
      <w:pPr>
        <w:spacing w:line="360" w:lineRule="auto"/>
        <w:ind w:firstLine="720"/>
        <w:jc w:val="both"/>
        <w:rPr>
          <w:color w:val="000000" w:themeColor="text1"/>
          <w:szCs w:val="24"/>
        </w:rPr>
      </w:pPr>
      <w:r w:rsidRPr="00181378">
        <w:rPr>
          <w:rStyle w:val="normaltextrun"/>
          <w:color w:val="000000" w:themeColor="text1"/>
          <w:szCs w:val="24"/>
        </w:rPr>
        <w:t xml:space="preserve">Pareiškėja </w:t>
      </w:r>
      <w:r w:rsidRPr="00181378">
        <w:rPr>
          <w:rStyle w:val="normaltextrun"/>
          <w:color w:val="000000" w:themeColor="text1"/>
          <w:szCs w:val="24"/>
          <w:shd w:val="clear" w:color="auto" w:fill="FFFFFF"/>
        </w:rPr>
        <w:t>prašo</w:t>
      </w:r>
      <w:r w:rsidRPr="00181378">
        <w:rPr>
          <w:color w:val="000000" w:themeColor="text1"/>
          <w:szCs w:val="24"/>
        </w:rPr>
        <w:t xml:space="preserve"> pakeisti </w:t>
      </w:r>
      <w:r w:rsidR="001444F5" w:rsidRPr="00181378">
        <w:rPr>
          <w:color w:val="000000" w:themeColor="text1"/>
          <w:szCs w:val="24"/>
        </w:rPr>
        <w:t>P</w:t>
      </w:r>
      <w:r w:rsidRPr="00181378">
        <w:rPr>
          <w:color w:val="000000" w:themeColor="text1"/>
          <w:szCs w:val="24"/>
        </w:rPr>
        <w:t xml:space="preserve">ensijų įstatymo </w:t>
      </w:r>
      <w:r w:rsidRPr="00181378">
        <w:rPr>
          <w:color w:val="000000" w:themeColor="text1"/>
          <w:szCs w:val="24"/>
          <w:lang w:val="en-US"/>
        </w:rPr>
        <w:t xml:space="preserve">6 </w:t>
      </w:r>
      <w:proofErr w:type="spellStart"/>
      <w:r w:rsidRPr="00181378">
        <w:rPr>
          <w:color w:val="000000" w:themeColor="text1"/>
          <w:szCs w:val="24"/>
          <w:lang w:val="en-US"/>
        </w:rPr>
        <w:t>straipsn</w:t>
      </w:r>
      <w:proofErr w:type="spellEnd"/>
      <w:r w:rsidRPr="00181378">
        <w:rPr>
          <w:color w:val="000000" w:themeColor="text1"/>
          <w:szCs w:val="24"/>
        </w:rPr>
        <w:t xml:space="preserve">į, jo </w:t>
      </w:r>
      <w:r w:rsidRPr="00181378">
        <w:rPr>
          <w:color w:val="000000" w:themeColor="text1"/>
          <w:szCs w:val="24"/>
          <w:lang w:val="en-US"/>
        </w:rPr>
        <w:t xml:space="preserve">2 </w:t>
      </w:r>
      <w:r w:rsidRPr="00181378">
        <w:rPr>
          <w:color w:val="000000" w:themeColor="text1"/>
          <w:szCs w:val="24"/>
        </w:rPr>
        <w:t>dalyje nustatant, kad asmenims, turintiems teisę į netekto darbingumo pensiją pagal nustatytą darbingumo lygį (nepriklausomai nuo amžiaus), užtikrinama teisė gauti tokios pensijos dydį arba jos proporcingą dalį kaip priedą prie senatvės pensijos, atsižvelgiant į tai, kad asmenys, sulaukę pensinio amžiaus, negauna netekto darbingumo (negalios) pensijos.</w:t>
      </w:r>
    </w:p>
    <w:p w14:paraId="2C7E5C15" w14:textId="28E10FEF" w:rsidR="00B376AC" w:rsidRPr="00181378" w:rsidRDefault="00C86282" w:rsidP="00B376AC">
      <w:pPr>
        <w:spacing w:line="360" w:lineRule="auto"/>
        <w:ind w:firstLine="720"/>
        <w:jc w:val="both"/>
        <w:rPr>
          <w:color w:val="000000" w:themeColor="text1"/>
          <w:szCs w:val="24"/>
        </w:rPr>
      </w:pPr>
      <w:r w:rsidRPr="00181378">
        <w:rPr>
          <w:color w:val="000000" w:themeColor="text1"/>
          <w:szCs w:val="24"/>
        </w:rPr>
        <w:t>Atkreiptinas dėmesys į tai</w:t>
      </w:r>
      <w:r w:rsidR="005E7E48" w:rsidRPr="00181378">
        <w:rPr>
          <w:color w:val="000000" w:themeColor="text1"/>
          <w:szCs w:val="24"/>
        </w:rPr>
        <w:t>, kad nuo pat Lietuvos Respublikos valstybinių socialinio draudimo pensijų įstatymo (nuo 2018 m. sausio 1 d. –</w:t>
      </w:r>
      <w:r w:rsidR="001444F5" w:rsidRPr="00181378">
        <w:rPr>
          <w:color w:val="000000" w:themeColor="text1"/>
          <w:szCs w:val="24"/>
        </w:rPr>
        <w:t xml:space="preserve"> </w:t>
      </w:r>
      <w:r w:rsidR="005E7E48" w:rsidRPr="00181378">
        <w:rPr>
          <w:color w:val="000000" w:themeColor="text1"/>
          <w:szCs w:val="24"/>
        </w:rPr>
        <w:t xml:space="preserve">Pensijų įstatymas) įsigaliojimo 1995 m., nebuvo nustatyta teisė gauti dviejų socialinio draudimo pensijų – senatvės ir negalios – vienu metu. Tokia teisė neegzistavo ir iki 1995 m. </w:t>
      </w:r>
    </w:p>
    <w:p w14:paraId="03870C9E" w14:textId="5D2D0D54" w:rsidR="00B376AC" w:rsidRPr="00181378" w:rsidRDefault="00C86282" w:rsidP="00B376AC">
      <w:pPr>
        <w:spacing w:line="360" w:lineRule="auto"/>
        <w:ind w:firstLine="720"/>
        <w:jc w:val="both"/>
        <w:rPr>
          <w:color w:val="000000" w:themeColor="text1"/>
          <w:szCs w:val="24"/>
        </w:rPr>
      </w:pPr>
      <w:r w:rsidRPr="00181378">
        <w:rPr>
          <w:color w:val="000000" w:themeColor="text1"/>
          <w:szCs w:val="24"/>
        </w:rPr>
        <w:t>SADM pažymėjo</w:t>
      </w:r>
      <w:r w:rsidR="005E7E48" w:rsidRPr="00181378">
        <w:rPr>
          <w:color w:val="000000" w:themeColor="text1"/>
          <w:szCs w:val="24"/>
        </w:rPr>
        <w:t>, kad negalios pensijos apskaičiavimas nuo 1995 m. buvo nustatytas toks, kad asmenys, kuriems buvo nustatoma lengviausia negalia (tuo metu tai buvo III grupės invalidumas), jų pensijos buvo apskaičiuojamos taip pat, kaip asmenims su didesne negalia (tuo metu kaip II grupės invalidumas) ir mažinamos 50 proc</w:t>
      </w:r>
      <w:r w:rsidR="00E27C34" w:rsidRPr="00181378">
        <w:rPr>
          <w:color w:val="000000" w:themeColor="text1"/>
          <w:szCs w:val="24"/>
        </w:rPr>
        <w:t>entų</w:t>
      </w:r>
      <w:r w:rsidR="005E7E48" w:rsidRPr="00181378">
        <w:rPr>
          <w:color w:val="000000" w:themeColor="text1"/>
          <w:szCs w:val="24"/>
        </w:rPr>
        <w:t xml:space="preserve">. Tokia šių pensijų apskaičiavimo logika buvo grindžiama tuo, kad tai lengviausia negalia, žmonės ją turėdami, nėra tiek suvaržyti gyvenime, kaip turintys sunkią negalią, taigi turi ir daugiau galimybių dirbti ir būti savarankiškais. Ta pati negalios (iki 2005 m. liepos 1 d. – invalidumo, iki 2023 m. gruodžio 31 d. – netekto darbingumo pensijos) pensijų </w:t>
      </w:r>
      <w:r w:rsidR="005E7E48" w:rsidRPr="00181378">
        <w:rPr>
          <w:color w:val="000000" w:themeColor="text1"/>
          <w:szCs w:val="24"/>
        </w:rPr>
        <w:lastRenderedPageBreak/>
        <w:t xml:space="preserve">apskaičiavimo tvarka išliko ir 2005 m. įgyvendinus Neįgaliųjų socialinės integracijos įstatymo pakeitimus, kai vietoj invalidumo grupių buvo pradėti nustatyti atitinkamų intervalų netekto darbingumo procentai. Nuo 2005 m. liepos 1 d. asmenims, kuriems buvo nustatomas 45-55 proc. netektas darbingumas, negalios pensijos buvo apskaičiuojamos kaip netekus 60-70 proc. darbingumo ir mažinamos 50 proc. Netekus 75-100 proc. darbingumo, negalios pensijos jau buvo didinamos (kaip ir iki 2005 m. liepos 1 d. – I grupės invalidumo pensijos), kadangi šie asmenys, turėdami sunkiausią negalią, yra labiausiai suvaržyti, turi didesnius poreikius, dažniausiai nebegali dirbti, todėl socialinio draudimo pensijų sistema labiausiai kompensuoja šių asmenų patirtą riziką. </w:t>
      </w:r>
    </w:p>
    <w:p w14:paraId="0C4C21B8" w14:textId="1B6FFDAA" w:rsidR="00B376AC" w:rsidRPr="00181378" w:rsidRDefault="00E457F8" w:rsidP="00B376AC">
      <w:pPr>
        <w:spacing w:line="360" w:lineRule="auto"/>
        <w:ind w:firstLine="720"/>
        <w:jc w:val="both"/>
        <w:rPr>
          <w:color w:val="000000" w:themeColor="text1"/>
          <w:szCs w:val="24"/>
        </w:rPr>
      </w:pPr>
      <w:r w:rsidRPr="00181378">
        <w:rPr>
          <w:color w:val="000000" w:themeColor="text1"/>
          <w:szCs w:val="24"/>
        </w:rPr>
        <w:t>N</w:t>
      </w:r>
      <w:r w:rsidR="005E7E48" w:rsidRPr="00181378">
        <w:rPr>
          <w:color w:val="000000" w:themeColor="text1"/>
          <w:szCs w:val="24"/>
        </w:rPr>
        <w:t xml:space="preserve">uo 2018 m. Pensijų įstatyme negalios pensijų dydžiai buvo išdiferencijuoti pagal netekto darbingumo (nuo 2024 m. – netekto </w:t>
      </w:r>
      <w:proofErr w:type="spellStart"/>
      <w:r w:rsidR="005E7E48" w:rsidRPr="00181378">
        <w:rPr>
          <w:color w:val="000000" w:themeColor="text1"/>
          <w:szCs w:val="24"/>
        </w:rPr>
        <w:t>dalyvumo</w:t>
      </w:r>
      <w:proofErr w:type="spellEnd"/>
      <w:r w:rsidR="005E7E48" w:rsidRPr="00181378">
        <w:rPr>
          <w:color w:val="000000" w:themeColor="text1"/>
          <w:szCs w:val="24"/>
        </w:rPr>
        <w:t>) procentus (kas 5 proc</w:t>
      </w:r>
      <w:r w:rsidR="00E27C34" w:rsidRPr="00181378">
        <w:rPr>
          <w:color w:val="000000" w:themeColor="text1"/>
          <w:szCs w:val="24"/>
        </w:rPr>
        <w:t>.</w:t>
      </w:r>
      <w:r w:rsidR="005E7E48" w:rsidRPr="00181378">
        <w:rPr>
          <w:color w:val="000000" w:themeColor="text1"/>
          <w:szCs w:val="24"/>
        </w:rPr>
        <w:t xml:space="preserve">), nustačius netekto darbingumo lygio daugiklius, iš kurių dauginamos apskaičiuotos negalios pensijos. Netekto darbingumo (nuo 2024 m. – netekto </w:t>
      </w:r>
      <w:proofErr w:type="spellStart"/>
      <w:r w:rsidR="005E7E48" w:rsidRPr="00181378">
        <w:rPr>
          <w:color w:val="000000" w:themeColor="text1"/>
          <w:szCs w:val="24"/>
        </w:rPr>
        <w:t>dalyvumo</w:t>
      </w:r>
      <w:proofErr w:type="spellEnd"/>
      <w:r w:rsidR="005E7E48" w:rsidRPr="00181378">
        <w:rPr>
          <w:color w:val="000000" w:themeColor="text1"/>
          <w:szCs w:val="24"/>
        </w:rPr>
        <w:t>) lygio daugikliai buvo apskaičiuoti pagal mokamų negalios pensijų vidutinius dydžius bei darbingumo lygio skalę, siekiant nenutolti nuo tuo metu buvusių pensijų dydžių, bet kartu išvengti tuo metu galiojusio ženklaus pensijų dydžių slenksčio, pavyzdžiui, kai asmeniui vietoj 60 proc</w:t>
      </w:r>
      <w:r w:rsidR="00E27C34" w:rsidRPr="00181378">
        <w:rPr>
          <w:color w:val="000000" w:themeColor="text1"/>
          <w:szCs w:val="24"/>
        </w:rPr>
        <w:t>.</w:t>
      </w:r>
      <w:r w:rsidR="005E7E48" w:rsidRPr="00181378">
        <w:rPr>
          <w:color w:val="000000" w:themeColor="text1"/>
          <w:szCs w:val="24"/>
        </w:rPr>
        <w:t xml:space="preserve"> netekto darbingumo nustatydavo 55 proc</w:t>
      </w:r>
      <w:r w:rsidR="00E27C34" w:rsidRPr="00181378">
        <w:rPr>
          <w:color w:val="000000" w:themeColor="text1"/>
          <w:szCs w:val="24"/>
        </w:rPr>
        <w:t>entų</w:t>
      </w:r>
      <w:r w:rsidR="005E7E48" w:rsidRPr="00181378">
        <w:rPr>
          <w:color w:val="000000" w:themeColor="text1"/>
          <w:szCs w:val="24"/>
        </w:rPr>
        <w:t xml:space="preserve"> netektą darbingumą, pensija sumažėdavo perpus. </w:t>
      </w:r>
    </w:p>
    <w:p w14:paraId="431CF249" w14:textId="38203174" w:rsidR="00B376AC" w:rsidRPr="00181378" w:rsidRDefault="00E457F8" w:rsidP="00B376AC">
      <w:pPr>
        <w:spacing w:line="360" w:lineRule="auto"/>
        <w:ind w:firstLine="720"/>
        <w:jc w:val="both"/>
        <w:rPr>
          <w:color w:val="000000" w:themeColor="text1"/>
          <w:szCs w:val="24"/>
        </w:rPr>
      </w:pPr>
      <w:r w:rsidRPr="00181378">
        <w:rPr>
          <w:color w:val="000000" w:themeColor="text1"/>
          <w:szCs w:val="24"/>
        </w:rPr>
        <w:t>T</w:t>
      </w:r>
      <w:r w:rsidR="005E7E48" w:rsidRPr="00181378">
        <w:rPr>
          <w:color w:val="000000" w:themeColor="text1"/>
          <w:szCs w:val="24"/>
        </w:rPr>
        <w:t xml:space="preserve">eisė gauti abi pensijas – senatvės ir negalios – niekada nebuvo nustatyta. </w:t>
      </w:r>
      <w:r w:rsidR="00E27C34" w:rsidRPr="00181378">
        <w:rPr>
          <w:color w:val="000000" w:themeColor="text1"/>
          <w:szCs w:val="24"/>
        </w:rPr>
        <w:t>S</w:t>
      </w:r>
      <w:r w:rsidR="005E7E48" w:rsidRPr="00181378">
        <w:rPr>
          <w:color w:val="000000" w:themeColor="text1"/>
          <w:szCs w:val="24"/>
        </w:rPr>
        <w:t>enatvės pensijos amži</w:t>
      </w:r>
      <w:r w:rsidR="00E27C34" w:rsidRPr="00181378">
        <w:rPr>
          <w:color w:val="000000" w:themeColor="text1"/>
          <w:szCs w:val="24"/>
        </w:rPr>
        <w:t>aus sulaukę</w:t>
      </w:r>
      <w:r w:rsidR="005E7E48" w:rsidRPr="00181378">
        <w:rPr>
          <w:color w:val="000000" w:themeColor="text1"/>
          <w:szCs w:val="24"/>
        </w:rPr>
        <w:t xml:space="preserve"> asmenys turėjo rinktis, kurią pensiją gauti – senatvės ar negalios pensiją. Tiems, kam buvo nustatyta lengviausia negalia, gauti senatvės pensiją visuomet buvo naudingiau, nes, kaip minėta, su lengviausia negalia apskaičiuota pensija yra mažinama per pusę. Taip pat svarbu paminėti, kad nuo 2005 m. liepos 1 d. iki 2023 m. gruodžio 31 d. netektas darbingumas buvo nustatomas tik darbingo amžiaus asmenims, t. y. sukakus senatvės pensijos amžių, jokie netekto darbingumo proc. nebebuvo nustatomi. Todėl nuo 2018 m. dėstant Pensijų įstatymą nauja redakcija, buvo apsispręsta, kad sukakusiems senatvės pensijos amžių asmenis, kuriems iki senatvės amžiaus sukakties buvo mokėta negalios pensija, leisti pasirinkti, ar gauti senatvės pensiją, ar senatvės pensiją neįgaliajam. Pastaroji buvo paskaičiuojama kaip senatvės pensija ir dauginama iš netekto darbingumo (nuo 2024 m. –  netekto </w:t>
      </w:r>
      <w:proofErr w:type="spellStart"/>
      <w:r w:rsidR="005E7E48" w:rsidRPr="00181378">
        <w:rPr>
          <w:color w:val="000000" w:themeColor="text1"/>
          <w:szCs w:val="24"/>
        </w:rPr>
        <w:t>dalyvumo</w:t>
      </w:r>
      <w:proofErr w:type="spellEnd"/>
      <w:r w:rsidR="005E7E48" w:rsidRPr="00181378">
        <w:rPr>
          <w:color w:val="000000" w:themeColor="text1"/>
          <w:szCs w:val="24"/>
        </w:rPr>
        <w:t xml:space="preserve">) lygio daugiklio. Asmenys </w:t>
      </w:r>
      <w:r w:rsidR="00E27C34" w:rsidRPr="00181378">
        <w:rPr>
          <w:color w:val="000000" w:themeColor="text1"/>
          <w:szCs w:val="24"/>
        </w:rPr>
        <w:t xml:space="preserve">galėjo </w:t>
      </w:r>
      <w:r w:rsidR="005E7E48" w:rsidRPr="00181378">
        <w:rPr>
          <w:color w:val="000000" w:themeColor="text1"/>
          <w:szCs w:val="24"/>
        </w:rPr>
        <w:t xml:space="preserve">rinktis, kurią pensiją jiems gauti naudingiau. </w:t>
      </w:r>
    </w:p>
    <w:p w14:paraId="3C491937" w14:textId="1853A89C" w:rsidR="00B376AC" w:rsidRPr="00181378" w:rsidRDefault="005E7E48" w:rsidP="00B376AC">
      <w:pPr>
        <w:spacing w:line="360" w:lineRule="auto"/>
        <w:ind w:firstLine="720"/>
        <w:jc w:val="both"/>
        <w:rPr>
          <w:color w:val="000000" w:themeColor="text1"/>
          <w:szCs w:val="24"/>
        </w:rPr>
      </w:pPr>
      <w:r w:rsidRPr="00181378">
        <w:rPr>
          <w:color w:val="000000" w:themeColor="text1"/>
          <w:szCs w:val="24"/>
        </w:rPr>
        <w:t xml:space="preserve">Nuo 2024 m. įgyvendinus negalios nustatymo reformą, buvo įteisinta galimybė netekto </w:t>
      </w:r>
      <w:proofErr w:type="spellStart"/>
      <w:r w:rsidRPr="00181378">
        <w:rPr>
          <w:color w:val="000000" w:themeColor="text1"/>
          <w:szCs w:val="24"/>
        </w:rPr>
        <w:t>dalyvumo</w:t>
      </w:r>
      <w:proofErr w:type="spellEnd"/>
      <w:r w:rsidRPr="00181378">
        <w:rPr>
          <w:color w:val="000000" w:themeColor="text1"/>
          <w:szCs w:val="24"/>
        </w:rPr>
        <w:t xml:space="preserve"> proc. nustatyti ir sukakusiems senatvės pensijos amžių asmenims. Todėl ir Pensijų įstatyme atitinkamai buvo įteisinta senatvės pensijos asmeniui su negalia (iki 2023 m. gruodžio 31 d. – senatvės pensija neįgaliajam) perskaičiavimo galimybė, jei asmeniui nustatomi 70 proc. ir didesni netekto </w:t>
      </w:r>
      <w:proofErr w:type="spellStart"/>
      <w:r w:rsidRPr="00181378">
        <w:rPr>
          <w:color w:val="000000" w:themeColor="text1"/>
          <w:szCs w:val="24"/>
        </w:rPr>
        <w:t>dalyvumo</w:t>
      </w:r>
      <w:proofErr w:type="spellEnd"/>
      <w:r w:rsidRPr="00181378">
        <w:rPr>
          <w:color w:val="000000" w:themeColor="text1"/>
          <w:szCs w:val="24"/>
        </w:rPr>
        <w:t xml:space="preserve"> procentai. Kaip ir anksčiau galiojusioje Pensijų įstatymo redakcijoje, taip ir nuo 2024 m. sausio 1 d. galiojančioje Pensijų įstatymo redakcijoje, pensijų dydžiai asmenims su negalia reaguoja į jų netekto </w:t>
      </w:r>
      <w:proofErr w:type="spellStart"/>
      <w:r w:rsidRPr="00181378">
        <w:rPr>
          <w:color w:val="000000" w:themeColor="text1"/>
          <w:szCs w:val="24"/>
        </w:rPr>
        <w:t>dalyvumo</w:t>
      </w:r>
      <w:proofErr w:type="spellEnd"/>
      <w:r w:rsidRPr="00181378">
        <w:rPr>
          <w:color w:val="000000" w:themeColor="text1"/>
          <w:szCs w:val="24"/>
        </w:rPr>
        <w:t xml:space="preserve"> procentus, nepriklausomai nuo jų amžiaus. Sukakę senatvės pensijos amžių </w:t>
      </w:r>
      <w:r w:rsidRPr="00181378">
        <w:rPr>
          <w:color w:val="000000" w:themeColor="text1"/>
          <w:szCs w:val="24"/>
        </w:rPr>
        <w:lastRenderedPageBreak/>
        <w:t xml:space="preserve">asmenys, kuriems nustatyti 45 proc. netekto </w:t>
      </w:r>
      <w:proofErr w:type="spellStart"/>
      <w:r w:rsidRPr="00181378">
        <w:rPr>
          <w:color w:val="000000" w:themeColor="text1"/>
          <w:szCs w:val="24"/>
        </w:rPr>
        <w:t>dalyvumo</w:t>
      </w:r>
      <w:proofErr w:type="spellEnd"/>
      <w:r w:rsidRPr="00181378">
        <w:rPr>
          <w:color w:val="000000" w:themeColor="text1"/>
          <w:szCs w:val="24"/>
        </w:rPr>
        <w:t>, palyginti su tokiais pat darbingo amžiaus asmenimis turi galimybę gauti senatvės pensiją, kuri yra dvigubai didesnio dydžio nei negalios pensija. Darbingo amžiaus asmenys turintys tokio pat lygio negalią, tokios galimybės neturi (pavyzdys su 500 eurų dydžio pensija, sumažinta daugikliu 0,500).</w:t>
      </w:r>
    </w:p>
    <w:p w14:paraId="5A44C76A" w14:textId="461609BB" w:rsidR="00B376AC" w:rsidRPr="00181378" w:rsidRDefault="005E7E48" w:rsidP="00B376AC">
      <w:pPr>
        <w:spacing w:line="360" w:lineRule="auto"/>
        <w:ind w:firstLine="720"/>
        <w:jc w:val="both"/>
        <w:rPr>
          <w:color w:val="000000" w:themeColor="text1"/>
          <w:szCs w:val="24"/>
        </w:rPr>
      </w:pPr>
      <w:r w:rsidRPr="00181378">
        <w:rPr>
          <w:color w:val="000000" w:themeColor="text1"/>
          <w:szCs w:val="24"/>
        </w:rPr>
        <w:t xml:space="preserve">Darbingo amžiaus žmonės su nustatytu 45 proc. netektu </w:t>
      </w:r>
      <w:proofErr w:type="spellStart"/>
      <w:r w:rsidRPr="00181378">
        <w:rPr>
          <w:color w:val="000000" w:themeColor="text1"/>
          <w:szCs w:val="24"/>
        </w:rPr>
        <w:t>dalyvumu</w:t>
      </w:r>
      <w:proofErr w:type="spellEnd"/>
      <w:r w:rsidRPr="00181378">
        <w:rPr>
          <w:color w:val="000000" w:themeColor="text1"/>
          <w:szCs w:val="24"/>
        </w:rPr>
        <w:t xml:space="preserve">, turi daugiau galimybių integruotis į darbo rinką, todėl jiems taikomas mažiausias daugiklis. Sukakę senatvės pensijos amžių asmenys su tokiu pat netekto </w:t>
      </w:r>
      <w:proofErr w:type="spellStart"/>
      <w:r w:rsidRPr="00181378">
        <w:rPr>
          <w:color w:val="000000" w:themeColor="text1"/>
          <w:szCs w:val="24"/>
        </w:rPr>
        <w:t>dalyvumo</w:t>
      </w:r>
      <w:proofErr w:type="spellEnd"/>
      <w:r w:rsidRPr="00181378">
        <w:rPr>
          <w:color w:val="000000" w:themeColor="text1"/>
          <w:szCs w:val="24"/>
        </w:rPr>
        <w:t xml:space="preserve"> proc. turi kur kas mažesnes integracijos į darbo rinką galimybes, todėl jiems gali būti mokama didesnė senatvės pensija. Tačiau tokiu atveju papildomas, pareiškėjos siūlomas senatvės pensijos asmeniui su negalia didinimas dėl lengviausios negalios, galimai pažeistų lygiateisiškumo principą darbingo amžiaus žmonių atžvilgiu.</w:t>
      </w:r>
    </w:p>
    <w:p w14:paraId="12278FB5" w14:textId="0AC80BDC" w:rsidR="00B376AC" w:rsidRPr="00181378" w:rsidRDefault="005E7E48" w:rsidP="00B376AC">
      <w:pPr>
        <w:spacing w:line="360" w:lineRule="auto"/>
        <w:ind w:firstLine="720"/>
        <w:jc w:val="both"/>
        <w:rPr>
          <w:color w:val="000000" w:themeColor="text1"/>
          <w:szCs w:val="24"/>
        </w:rPr>
      </w:pPr>
      <w:r w:rsidRPr="00181378">
        <w:rPr>
          <w:color w:val="000000" w:themeColor="text1"/>
          <w:szCs w:val="24"/>
        </w:rPr>
        <w:t>Įvertinus visa tai, kas išdėstyta, </w:t>
      </w:r>
      <w:r w:rsidR="001444F5" w:rsidRPr="00181378">
        <w:rPr>
          <w:color w:val="000000" w:themeColor="text1"/>
          <w:szCs w:val="24"/>
        </w:rPr>
        <w:t>Komisija pritaria SADM</w:t>
      </w:r>
      <w:r w:rsidRPr="00181378">
        <w:rPr>
          <w:color w:val="000000" w:themeColor="text1"/>
          <w:szCs w:val="24"/>
        </w:rPr>
        <w:t xml:space="preserve"> nuomone</w:t>
      </w:r>
      <w:r w:rsidR="001444F5" w:rsidRPr="00181378">
        <w:rPr>
          <w:color w:val="000000" w:themeColor="text1"/>
          <w:szCs w:val="24"/>
        </w:rPr>
        <w:t>i</w:t>
      </w:r>
      <w:r w:rsidRPr="00181378">
        <w:rPr>
          <w:color w:val="000000" w:themeColor="text1"/>
          <w:szCs w:val="24"/>
        </w:rPr>
        <w:t>,</w:t>
      </w:r>
      <w:r w:rsidR="001444F5" w:rsidRPr="00181378">
        <w:rPr>
          <w:color w:val="000000" w:themeColor="text1"/>
          <w:szCs w:val="24"/>
        </w:rPr>
        <w:t xml:space="preserve"> kad</w:t>
      </w:r>
      <w:r w:rsidRPr="00181378">
        <w:rPr>
          <w:color w:val="000000" w:themeColor="text1"/>
          <w:szCs w:val="24"/>
        </w:rPr>
        <w:t xml:space="preserve"> pasiūlymas keisti Pensijų įstatymo nuostatas, kai su tokiu pat nustatytu netekto </w:t>
      </w:r>
      <w:proofErr w:type="spellStart"/>
      <w:r w:rsidRPr="00181378">
        <w:rPr>
          <w:color w:val="000000" w:themeColor="text1"/>
          <w:szCs w:val="24"/>
        </w:rPr>
        <w:t>dalyvumo</w:t>
      </w:r>
      <w:proofErr w:type="spellEnd"/>
      <w:r w:rsidRPr="00181378">
        <w:rPr>
          <w:color w:val="000000" w:themeColor="text1"/>
          <w:szCs w:val="24"/>
        </w:rPr>
        <w:t xml:space="preserve"> procentu asmenų negalios pensijos skirtųsi vien dėl to, kad vienas iš jų yra sukakęs senatvės pensijos amžių, diskriminuotų darbingo amžiaus asmenis. Jei būtų peržiūrėti visi netekto </w:t>
      </w:r>
      <w:proofErr w:type="spellStart"/>
      <w:r w:rsidRPr="00181378">
        <w:rPr>
          <w:color w:val="000000" w:themeColor="text1"/>
          <w:szCs w:val="24"/>
        </w:rPr>
        <w:t>dalyvumo</w:t>
      </w:r>
      <w:proofErr w:type="spellEnd"/>
      <w:r w:rsidRPr="00181378">
        <w:rPr>
          <w:color w:val="000000" w:themeColor="text1"/>
          <w:szCs w:val="24"/>
        </w:rPr>
        <w:t xml:space="preserve"> daugikliai, juos tektų taikyti visiems, o tai reikštų ir visų gaunamų negalios pensijų, ir senatvės pensijų asmenims su negalia perskaičiavimą, kas savo ruožtu reikštų didesnes išlaidas, nei nurodo pareiškėja, o taip pat prieštarautų Valstybės kontrolės išvadai, kad negalios pensijų dydžiai turi būti didinami tik tiems, kas negali grįžti į darbo rinką, o visiems kitiems jie turi būti tolygiai mažinami. </w:t>
      </w:r>
    </w:p>
    <w:p w14:paraId="12FB8D7F" w14:textId="66D768A7" w:rsidR="006C088F" w:rsidRPr="00181378" w:rsidRDefault="004D4198" w:rsidP="003B402F">
      <w:pPr>
        <w:spacing w:line="360" w:lineRule="auto"/>
        <w:ind w:firstLine="851"/>
        <w:jc w:val="both"/>
        <w:rPr>
          <w:strike/>
          <w:color w:val="000000" w:themeColor="text1"/>
          <w:szCs w:val="24"/>
        </w:rPr>
      </w:pPr>
      <w:r w:rsidRPr="00181378">
        <w:rPr>
          <w:color w:val="000000" w:themeColor="text1"/>
          <w:szCs w:val="24"/>
        </w:rPr>
        <w:t>Komisijos nuomone, pareiškėjo</w:t>
      </w:r>
      <w:r w:rsidR="001444F5" w:rsidRPr="00181378">
        <w:rPr>
          <w:color w:val="000000" w:themeColor="text1"/>
          <w:szCs w:val="24"/>
        </w:rPr>
        <w:t>s</w:t>
      </w:r>
      <w:r w:rsidRPr="00181378">
        <w:rPr>
          <w:color w:val="000000" w:themeColor="text1"/>
          <w:szCs w:val="24"/>
        </w:rPr>
        <w:t xml:space="preserve"> peticijoje pateikiama argumentacija nepagrindžia </w:t>
      </w:r>
      <w:r w:rsidR="001444F5" w:rsidRPr="00181378">
        <w:rPr>
          <w:color w:val="000000" w:themeColor="text1"/>
          <w:szCs w:val="24"/>
        </w:rPr>
        <w:t>P</w:t>
      </w:r>
      <w:r w:rsidR="00F910CF" w:rsidRPr="00181378">
        <w:rPr>
          <w:color w:val="000000" w:themeColor="text1"/>
          <w:szCs w:val="24"/>
        </w:rPr>
        <w:t xml:space="preserve">ensijų įstatymo </w:t>
      </w:r>
      <w:r w:rsidR="00F910CF" w:rsidRPr="00181378">
        <w:rPr>
          <w:bCs/>
          <w:color w:val="000000" w:themeColor="text1"/>
          <w:szCs w:val="24"/>
        </w:rPr>
        <w:t xml:space="preserve">6 straipsnio </w:t>
      </w:r>
      <w:r w:rsidRPr="00181378">
        <w:rPr>
          <w:color w:val="000000" w:themeColor="text1"/>
          <w:szCs w:val="24"/>
        </w:rPr>
        <w:t>pakeitimo būtinumo</w:t>
      </w:r>
      <w:r w:rsidR="00D90E5B" w:rsidRPr="00181378">
        <w:rPr>
          <w:color w:val="000000" w:themeColor="text1"/>
          <w:szCs w:val="24"/>
        </w:rPr>
        <w:t xml:space="preserve">. </w:t>
      </w:r>
    </w:p>
    <w:p w14:paraId="01AA53E0" w14:textId="1CC7D52E" w:rsidR="005427A1" w:rsidRPr="00181378" w:rsidRDefault="00F60FE9" w:rsidP="003B402F">
      <w:pPr>
        <w:pStyle w:val="Default"/>
        <w:spacing w:line="360" w:lineRule="auto"/>
        <w:ind w:firstLine="720"/>
        <w:jc w:val="both"/>
        <w:rPr>
          <w:color w:val="000000" w:themeColor="text1"/>
        </w:rPr>
      </w:pPr>
      <w:r w:rsidRPr="00181378">
        <w:rPr>
          <w:rFonts w:eastAsia="Calibri"/>
          <w:color w:val="000000" w:themeColor="text1"/>
          <w:lang w:eastAsia="ar-SA"/>
        </w:rPr>
        <w:t xml:space="preserve">Vadovaujantis Lietuvos Respublikos peticijų konstitucinio įstatymo 18 straipsnio 4 dalies </w:t>
      </w:r>
      <w:r w:rsidR="00783F7E" w:rsidRPr="00181378">
        <w:rPr>
          <w:rFonts w:eastAsia="Calibri"/>
          <w:color w:val="000000" w:themeColor="text1"/>
          <w:lang w:eastAsia="ar-SA"/>
        </w:rPr>
        <w:t>2 </w:t>
      </w:r>
      <w:r w:rsidRPr="00181378">
        <w:rPr>
          <w:rFonts w:eastAsia="Calibri"/>
          <w:color w:val="000000" w:themeColor="text1"/>
          <w:lang w:eastAsia="ar-SA"/>
        </w:rPr>
        <w:t xml:space="preserve">punktu ir Lietuvos Respublikos Seimo Peticijų komisijos nuostatų, patvirtintų Seimo 2023 m. birželio 27 d. nutarimu Nr. XIV-2101 „Dėl Lietuvos Respublikos Seimo Peticijų komisijos nuostatų patvirtinimo“, 8.7 punktu, </w:t>
      </w:r>
      <w:r w:rsidR="000D4965" w:rsidRPr="00181378">
        <w:rPr>
          <w:rFonts w:eastAsia="Calibri"/>
          <w:color w:val="000000" w:themeColor="text1"/>
          <w:lang w:eastAsia="ar-SA"/>
        </w:rPr>
        <w:t>K</w:t>
      </w:r>
      <w:r w:rsidRPr="00181378">
        <w:rPr>
          <w:rFonts w:eastAsia="Calibri"/>
          <w:color w:val="000000" w:themeColor="text1"/>
          <w:lang w:eastAsia="ar-SA"/>
        </w:rPr>
        <w:t>omisijos išvada dėl pareiškėjo peticijoje pateikto siūlymo netenkinimo teikiama Seimui, taip p</w:t>
      </w:r>
      <w:r w:rsidR="0070031F" w:rsidRPr="00181378">
        <w:rPr>
          <w:rFonts w:eastAsia="Calibri"/>
          <w:color w:val="000000" w:themeColor="text1"/>
          <w:lang w:eastAsia="ar-SA"/>
        </w:rPr>
        <w:t xml:space="preserve">at siūloma įtraukti į Seimo </w:t>
      </w:r>
      <w:r w:rsidR="005D0813" w:rsidRPr="00181378">
        <w:rPr>
          <w:rFonts w:eastAsia="Calibri"/>
          <w:color w:val="000000" w:themeColor="text1"/>
          <w:lang w:eastAsia="ar-SA"/>
        </w:rPr>
        <w:t>I</w:t>
      </w:r>
      <w:r w:rsidR="00934E85" w:rsidRPr="00181378">
        <w:rPr>
          <w:rFonts w:eastAsia="Calibri"/>
          <w:color w:val="000000" w:themeColor="text1"/>
          <w:lang w:eastAsia="ar-SA"/>
        </w:rPr>
        <w:t>V</w:t>
      </w:r>
      <w:r w:rsidR="002F4574" w:rsidRPr="00181378">
        <w:rPr>
          <w:rFonts w:eastAsia="Calibri"/>
          <w:color w:val="000000" w:themeColor="text1"/>
          <w:lang w:eastAsia="ar-SA"/>
        </w:rPr>
        <w:t xml:space="preserve"> (</w:t>
      </w:r>
      <w:r w:rsidR="00934E85" w:rsidRPr="00181378">
        <w:rPr>
          <w:rFonts w:eastAsia="Calibri"/>
          <w:color w:val="000000" w:themeColor="text1"/>
          <w:lang w:eastAsia="ar-SA"/>
        </w:rPr>
        <w:t>pavasario</w:t>
      </w:r>
      <w:r w:rsidRPr="00181378">
        <w:rPr>
          <w:rFonts w:eastAsia="Calibri"/>
          <w:color w:val="000000" w:themeColor="text1"/>
          <w:lang w:eastAsia="ar-SA"/>
        </w:rPr>
        <w:t>) sesijos darbotvarkę Seimo nutarimo „Dėl Lietuvos Respublikos Seimo Peticijų komisijos 202</w:t>
      </w:r>
      <w:r w:rsidR="00934E85" w:rsidRPr="00181378">
        <w:rPr>
          <w:rFonts w:eastAsia="Calibri"/>
          <w:color w:val="000000" w:themeColor="text1"/>
          <w:lang w:val="en-US" w:eastAsia="ar-SA"/>
        </w:rPr>
        <w:t xml:space="preserve">6 </w:t>
      </w:r>
      <w:r w:rsidR="003A61FB" w:rsidRPr="00181378">
        <w:rPr>
          <w:rFonts w:eastAsia="Calibri"/>
          <w:color w:val="000000" w:themeColor="text1"/>
          <w:lang w:eastAsia="ar-SA"/>
        </w:rPr>
        <w:t xml:space="preserve">m. </w:t>
      </w:r>
      <w:proofErr w:type="spellStart"/>
      <w:proofErr w:type="gramStart"/>
      <w:r w:rsidR="00934E85" w:rsidRPr="00181378">
        <w:rPr>
          <w:rFonts w:eastAsia="Calibri"/>
          <w:color w:val="000000" w:themeColor="text1"/>
          <w:lang w:val="en-US" w:eastAsia="ar-SA"/>
        </w:rPr>
        <w:t>kovo</w:t>
      </w:r>
      <w:proofErr w:type="spellEnd"/>
      <w:proofErr w:type="gramEnd"/>
      <w:r w:rsidR="00934E85" w:rsidRPr="00181378">
        <w:rPr>
          <w:rFonts w:eastAsia="Calibri"/>
          <w:color w:val="000000" w:themeColor="text1"/>
          <w:lang w:val="en-US" w:eastAsia="ar-SA"/>
        </w:rPr>
        <w:t xml:space="preserve"> 4</w:t>
      </w:r>
      <w:r w:rsidR="00DF6855" w:rsidRPr="00181378">
        <w:rPr>
          <w:rFonts w:eastAsia="Calibri"/>
          <w:color w:val="000000" w:themeColor="text1"/>
          <w:lang w:val="en-US" w:eastAsia="ar-SA"/>
        </w:rPr>
        <w:t xml:space="preserve"> </w:t>
      </w:r>
      <w:r w:rsidR="002F4574" w:rsidRPr="00181378">
        <w:rPr>
          <w:rFonts w:eastAsia="Calibri"/>
          <w:color w:val="000000" w:themeColor="text1"/>
          <w:lang w:eastAsia="ar-SA"/>
        </w:rPr>
        <w:t>d. išvad</w:t>
      </w:r>
      <w:r w:rsidR="00A5687E" w:rsidRPr="00181378">
        <w:rPr>
          <w:rFonts w:eastAsia="Calibri"/>
          <w:color w:val="000000" w:themeColor="text1"/>
          <w:lang w:eastAsia="ar-SA"/>
        </w:rPr>
        <w:t>os Nr. 250-I</w:t>
      </w:r>
      <w:r w:rsidR="003A61FB" w:rsidRPr="00181378">
        <w:rPr>
          <w:rFonts w:eastAsia="Calibri"/>
          <w:color w:val="000000" w:themeColor="text1"/>
          <w:lang w:eastAsia="ar-SA"/>
        </w:rPr>
        <w:t>-3</w:t>
      </w:r>
      <w:r w:rsidRPr="00181378">
        <w:rPr>
          <w:rFonts w:eastAsia="Calibri"/>
          <w:color w:val="000000" w:themeColor="text1"/>
          <w:lang w:eastAsia="ar-SA"/>
        </w:rPr>
        <w:t>“ projektą.</w:t>
      </w:r>
    </w:p>
    <w:p w14:paraId="7E60640E" w14:textId="214AD284" w:rsidR="00F60FE9" w:rsidRPr="00181378" w:rsidRDefault="00F60FE9" w:rsidP="003B402F">
      <w:pPr>
        <w:spacing w:line="360" w:lineRule="auto"/>
        <w:jc w:val="both"/>
        <w:rPr>
          <w:rFonts w:eastAsia="Calibri"/>
          <w:color w:val="000000" w:themeColor="text1"/>
          <w:szCs w:val="24"/>
          <w:lang w:eastAsia="ar-SA"/>
        </w:rPr>
      </w:pPr>
    </w:p>
    <w:p w14:paraId="52EB6951" w14:textId="77777777" w:rsidR="000C730C" w:rsidRPr="00181378" w:rsidRDefault="00AC3DB9" w:rsidP="003B402F">
      <w:pPr>
        <w:tabs>
          <w:tab w:val="left" w:pos="1134"/>
        </w:tabs>
        <w:spacing w:line="360" w:lineRule="auto"/>
        <w:jc w:val="both"/>
        <w:rPr>
          <w:rFonts w:eastAsia="Calibri"/>
          <w:color w:val="000000" w:themeColor="text1"/>
          <w:szCs w:val="24"/>
          <w:lang w:eastAsia="ar-SA"/>
        </w:rPr>
      </w:pPr>
      <w:r w:rsidRPr="00181378">
        <w:rPr>
          <w:rFonts w:eastAsia="Calibri"/>
          <w:color w:val="000000" w:themeColor="text1"/>
          <w:szCs w:val="24"/>
          <w:lang w:eastAsia="ar-SA"/>
        </w:rPr>
        <w:t xml:space="preserve">Komisijos </w:t>
      </w:r>
      <w:r w:rsidR="005D0813" w:rsidRPr="00181378">
        <w:rPr>
          <w:rFonts w:eastAsia="Calibri"/>
          <w:color w:val="000000" w:themeColor="text1"/>
          <w:szCs w:val="24"/>
          <w:lang w:eastAsia="ar-SA"/>
        </w:rPr>
        <w:t>pirmininkas</w:t>
      </w:r>
      <w:r w:rsidR="005D0813" w:rsidRPr="00181378">
        <w:rPr>
          <w:rFonts w:eastAsia="Calibri"/>
          <w:color w:val="000000" w:themeColor="text1"/>
          <w:szCs w:val="24"/>
          <w:lang w:eastAsia="ar-SA"/>
        </w:rPr>
        <w:tab/>
      </w:r>
      <w:r w:rsidR="005D0813" w:rsidRPr="00181378">
        <w:rPr>
          <w:rFonts w:eastAsia="Calibri"/>
          <w:color w:val="000000" w:themeColor="text1"/>
          <w:szCs w:val="24"/>
          <w:lang w:eastAsia="ar-SA"/>
        </w:rPr>
        <w:tab/>
      </w:r>
      <w:r w:rsidR="005D0813" w:rsidRPr="00181378">
        <w:rPr>
          <w:rFonts w:eastAsia="Calibri"/>
          <w:color w:val="000000" w:themeColor="text1"/>
          <w:szCs w:val="24"/>
          <w:lang w:eastAsia="ar-SA"/>
        </w:rPr>
        <w:tab/>
      </w:r>
      <w:r w:rsidR="005D0813" w:rsidRPr="00181378">
        <w:rPr>
          <w:rFonts w:eastAsia="Calibri"/>
          <w:color w:val="000000" w:themeColor="text1"/>
          <w:szCs w:val="24"/>
          <w:lang w:eastAsia="ar-SA"/>
        </w:rPr>
        <w:tab/>
      </w:r>
      <w:r w:rsidR="005D0813" w:rsidRPr="00181378">
        <w:rPr>
          <w:rFonts w:eastAsia="Calibri"/>
          <w:color w:val="000000" w:themeColor="text1"/>
          <w:szCs w:val="24"/>
          <w:lang w:eastAsia="ar-SA"/>
        </w:rPr>
        <w:tab/>
      </w:r>
      <w:r w:rsidR="006806C4" w:rsidRPr="00181378">
        <w:rPr>
          <w:rFonts w:eastAsia="Calibri"/>
          <w:color w:val="000000" w:themeColor="text1"/>
          <w:szCs w:val="24"/>
          <w:lang w:eastAsia="ar-SA"/>
        </w:rPr>
        <w:t xml:space="preserve">       </w:t>
      </w:r>
      <w:r w:rsidR="005D0813" w:rsidRPr="00181378">
        <w:rPr>
          <w:rFonts w:eastAsia="Calibri"/>
          <w:color w:val="000000" w:themeColor="text1"/>
          <w:szCs w:val="24"/>
          <w:lang w:eastAsia="ar-SA"/>
        </w:rPr>
        <w:t xml:space="preserve">Tadas </w:t>
      </w:r>
      <w:proofErr w:type="spellStart"/>
      <w:r w:rsidR="005D0813" w:rsidRPr="00181378">
        <w:rPr>
          <w:rFonts w:eastAsia="Calibri"/>
          <w:color w:val="000000" w:themeColor="text1"/>
          <w:szCs w:val="24"/>
          <w:lang w:eastAsia="ar-SA"/>
        </w:rPr>
        <w:t>Prajara</w:t>
      </w:r>
      <w:proofErr w:type="spellEnd"/>
    </w:p>
    <w:p w14:paraId="2C3433F3" w14:textId="77777777" w:rsidR="00CF7BAC" w:rsidRPr="00181378" w:rsidRDefault="00CF7BAC">
      <w:pPr>
        <w:tabs>
          <w:tab w:val="left" w:pos="1134"/>
        </w:tabs>
        <w:spacing w:line="360" w:lineRule="auto"/>
        <w:jc w:val="both"/>
        <w:rPr>
          <w:rFonts w:eastAsia="Calibri"/>
          <w:color w:val="000000" w:themeColor="text1"/>
          <w:szCs w:val="24"/>
          <w:lang w:eastAsia="ar-SA"/>
        </w:rPr>
      </w:pPr>
    </w:p>
    <w:p w14:paraId="69B9BDDA" w14:textId="77777777" w:rsidR="00CF7BAC" w:rsidRPr="00181378" w:rsidRDefault="00CF7BAC">
      <w:pPr>
        <w:tabs>
          <w:tab w:val="left" w:pos="1134"/>
        </w:tabs>
        <w:spacing w:line="360" w:lineRule="auto"/>
        <w:jc w:val="both"/>
        <w:rPr>
          <w:rFonts w:eastAsia="Calibri"/>
          <w:color w:val="000000" w:themeColor="text1"/>
          <w:szCs w:val="24"/>
          <w:lang w:eastAsia="ar-SA"/>
        </w:rPr>
      </w:pPr>
    </w:p>
    <w:p w14:paraId="15B54677" w14:textId="77777777" w:rsidR="00CF7BAC" w:rsidRPr="00181378" w:rsidRDefault="00CF7BAC">
      <w:pPr>
        <w:tabs>
          <w:tab w:val="left" w:pos="1134"/>
        </w:tabs>
        <w:spacing w:line="360" w:lineRule="auto"/>
        <w:jc w:val="both"/>
        <w:rPr>
          <w:rFonts w:eastAsia="Calibri"/>
          <w:color w:val="000000" w:themeColor="text1"/>
          <w:szCs w:val="24"/>
          <w:lang w:eastAsia="ar-SA"/>
        </w:rPr>
      </w:pPr>
    </w:p>
    <w:p w14:paraId="665CF6C7" w14:textId="77777777" w:rsidR="00CF7BAC" w:rsidRPr="00181378" w:rsidRDefault="00CF7BAC">
      <w:pPr>
        <w:tabs>
          <w:tab w:val="left" w:pos="1134"/>
        </w:tabs>
        <w:spacing w:line="360" w:lineRule="auto"/>
        <w:jc w:val="both"/>
        <w:rPr>
          <w:rFonts w:eastAsia="Calibri"/>
          <w:color w:val="000000" w:themeColor="text1"/>
          <w:szCs w:val="24"/>
          <w:lang w:eastAsia="ar-SA"/>
        </w:rPr>
      </w:pPr>
    </w:p>
    <w:bookmarkEnd w:id="0"/>
    <w:p w14:paraId="17742F4D" w14:textId="5B6DE082" w:rsidR="005427A1" w:rsidRPr="00181378" w:rsidRDefault="005427A1">
      <w:pPr>
        <w:tabs>
          <w:tab w:val="left" w:pos="1134"/>
        </w:tabs>
        <w:spacing w:line="360" w:lineRule="auto"/>
        <w:jc w:val="both"/>
        <w:rPr>
          <w:rFonts w:eastAsia="Calibri"/>
          <w:color w:val="000000" w:themeColor="text1"/>
          <w:szCs w:val="24"/>
        </w:rPr>
      </w:pPr>
    </w:p>
    <w:sectPr w:rsidR="005427A1" w:rsidRPr="0018137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0F87" w14:textId="77777777" w:rsidR="000E7AC8" w:rsidRDefault="000E7AC8">
      <w:pPr>
        <w:rPr>
          <w:rFonts w:ascii="CG Times" w:hAnsi="CG Times"/>
          <w:sz w:val="20"/>
        </w:rPr>
      </w:pPr>
      <w:r>
        <w:rPr>
          <w:rFonts w:ascii="CG Times" w:hAnsi="CG Times"/>
          <w:sz w:val="20"/>
        </w:rPr>
        <w:separator/>
      </w:r>
    </w:p>
  </w:endnote>
  <w:endnote w:type="continuationSeparator" w:id="0">
    <w:p w14:paraId="66862BFA" w14:textId="77777777" w:rsidR="000E7AC8" w:rsidRDefault="000E7AC8">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DBC2" w14:textId="77777777" w:rsidR="000E7AC8" w:rsidRDefault="000E7AC8">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FB1E" w14:textId="77777777" w:rsidR="000E7AC8" w:rsidRDefault="000E7AC8">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15A5" w14:textId="77777777" w:rsidR="000E7AC8" w:rsidRDefault="000E7AC8">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897A" w14:textId="77777777" w:rsidR="000E7AC8" w:rsidRDefault="000E7AC8">
      <w:pPr>
        <w:rPr>
          <w:rFonts w:ascii="CG Times" w:hAnsi="CG Times"/>
          <w:sz w:val="20"/>
        </w:rPr>
      </w:pPr>
      <w:r>
        <w:rPr>
          <w:rFonts w:ascii="CG Times" w:hAnsi="CG Times"/>
          <w:sz w:val="20"/>
        </w:rPr>
        <w:separator/>
      </w:r>
    </w:p>
  </w:footnote>
  <w:footnote w:type="continuationSeparator" w:id="0">
    <w:p w14:paraId="1241F22E" w14:textId="77777777" w:rsidR="000E7AC8" w:rsidRDefault="000E7AC8">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0067" w14:textId="77777777" w:rsidR="000E7AC8" w:rsidRDefault="000E7AC8">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4701" w14:textId="1B162D23" w:rsidR="000E7AC8" w:rsidRDefault="000E7AC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181378">
      <w:rPr>
        <w:noProof/>
        <w:szCs w:val="24"/>
      </w:rPr>
      <w:t>2</w:t>
    </w:r>
    <w:r>
      <w:rPr>
        <w:szCs w:val="24"/>
      </w:rPr>
      <w:fldChar w:fldCharType="end"/>
    </w:r>
  </w:p>
  <w:p w14:paraId="3D3FEB32" w14:textId="77777777" w:rsidR="000E7AC8" w:rsidRDefault="000E7AC8">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52817" w14:textId="77777777" w:rsidR="000E7AC8" w:rsidRDefault="000E7AC8">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C09E4"/>
    <w:multiLevelType w:val="hybridMultilevel"/>
    <w:tmpl w:val="ABE646D8"/>
    <w:lvl w:ilvl="0" w:tplc="44FABA4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4DA4"/>
    <w:rsid w:val="00083260"/>
    <w:rsid w:val="000A15D3"/>
    <w:rsid w:val="000B57C6"/>
    <w:rsid w:val="000B781B"/>
    <w:rsid w:val="000C5B5B"/>
    <w:rsid w:val="000C730C"/>
    <w:rsid w:val="000D4965"/>
    <w:rsid w:val="000E65AF"/>
    <w:rsid w:val="000E7AC8"/>
    <w:rsid w:val="0010364C"/>
    <w:rsid w:val="001136B4"/>
    <w:rsid w:val="00116259"/>
    <w:rsid w:val="001209AF"/>
    <w:rsid w:val="00121904"/>
    <w:rsid w:val="00125696"/>
    <w:rsid w:val="00125A79"/>
    <w:rsid w:val="0013463E"/>
    <w:rsid w:val="001366E5"/>
    <w:rsid w:val="001444F5"/>
    <w:rsid w:val="001606EE"/>
    <w:rsid w:val="00173EC2"/>
    <w:rsid w:val="00181378"/>
    <w:rsid w:val="00194795"/>
    <w:rsid w:val="001B7668"/>
    <w:rsid w:val="001C6181"/>
    <w:rsid w:val="001D5719"/>
    <w:rsid w:val="002117D2"/>
    <w:rsid w:val="00245A5E"/>
    <w:rsid w:val="002514F0"/>
    <w:rsid w:val="00251B38"/>
    <w:rsid w:val="00276913"/>
    <w:rsid w:val="002A15D8"/>
    <w:rsid w:val="002B140E"/>
    <w:rsid w:val="002E10C8"/>
    <w:rsid w:val="002F4574"/>
    <w:rsid w:val="002F53CF"/>
    <w:rsid w:val="002F7036"/>
    <w:rsid w:val="003364F0"/>
    <w:rsid w:val="00336D6D"/>
    <w:rsid w:val="00341A42"/>
    <w:rsid w:val="00373F2E"/>
    <w:rsid w:val="003A61FB"/>
    <w:rsid w:val="003A69A1"/>
    <w:rsid w:val="003B402F"/>
    <w:rsid w:val="00440382"/>
    <w:rsid w:val="00452B04"/>
    <w:rsid w:val="00463A97"/>
    <w:rsid w:val="00476259"/>
    <w:rsid w:val="00476D49"/>
    <w:rsid w:val="0048593D"/>
    <w:rsid w:val="004A0BA9"/>
    <w:rsid w:val="004A561A"/>
    <w:rsid w:val="004C29E9"/>
    <w:rsid w:val="004D4198"/>
    <w:rsid w:val="004E00ED"/>
    <w:rsid w:val="004E06FA"/>
    <w:rsid w:val="004E5D57"/>
    <w:rsid w:val="005273A0"/>
    <w:rsid w:val="005427A1"/>
    <w:rsid w:val="00552DCF"/>
    <w:rsid w:val="005846E2"/>
    <w:rsid w:val="00590DC6"/>
    <w:rsid w:val="00591E96"/>
    <w:rsid w:val="00593097"/>
    <w:rsid w:val="005A0810"/>
    <w:rsid w:val="005B0B93"/>
    <w:rsid w:val="005D0813"/>
    <w:rsid w:val="005E7E48"/>
    <w:rsid w:val="00610904"/>
    <w:rsid w:val="00625B47"/>
    <w:rsid w:val="006414A4"/>
    <w:rsid w:val="00643484"/>
    <w:rsid w:val="006806C4"/>
    <w:rsid w:val="00696ABA"/>
    <w:rsid w:val="006A4651"/>
    <w:rsid w:val="006C088F"/>
    <w:rsid w:val="006E593C"/>
    <w:rsid w:val="006F0FF2"/>
    <w:rsid w:val="006F6DD9"/>
    <w:rsid w:val="0070031F"/>
    <w:rsid w:val="00712F21"/>
    <w:rsid w:val="00713644"/>
    <w:rsid w:val="00737933"/>
    <w:rsid w:val="00765218"/>
    <w:rsid w:val="00783F7E"/>
    <w:rsid w:val="007978C0"/>
    <w:rsid w:val="007A014D"/>
    <w:rsid w:val="007D2F42"/>
    <w:rsid w:val="007D77E1"/>
    <w:rsid w:val="00804FD1"/>
    <w:rsid w:val="0080743B"/>
    <w:rsid w:val="00823BFD"/>
    <w:rsid w:val="00823DB7"/>
    <w:rsid w:val="00827DBB"/>
    <w:rsid w:val="00834AA6"/>
    <w:rsid w:val="008369B2"/>
    <w:rsid w:val="008648D7"/>
    <w:rsid w:val="008709C3"/>
    <w:rsid w:val="008B0418"/>
    <w:rsid w:val="008C5B32"/>
    <w:rsid w:val="008D131C"/>
    <w:rsid w:val="008D1A94"/>
    <w:rsid w:val="008D3DC6"/>
    <w:rsid w:val="008E51FC"/>
    <w:rsid w:val="008F1AA2"/>
    <w:rsid w:val="008F4A1A"/>
    <w:rsid w:val="008F5133"/>
    <w:rsid w:val="009032F7"/>
    <w:rsid w:val="0091178E"/>
    <w:rsid w:val="00913CCE"/>
    <w:rsid w:val="00916CF8"/>
    <w:rsid w:val="00924207"/>
    <w:rsid w:val="0092769C"/>
    <w:rsid w:val="00934E85"/>
    <w:rsid w:val="00945D27"/>
    <w:rsid w:val="009558AB"/>
    <w:rsid w:val="00990BEA"/>
    <w:rsid w:val="009B718B"/>
    <w:rsid w:val="009D0638"/>
    <w:rsid w:val="00A24955"/>
    <w:rsid w:val="00A24CA7"/>
    <w:rsid w:val="00A270F0"/>
    <w:rsid w:val="00A52656"/>
    <w:rsid w:val="00A52A26"/>
    <w:rsid w:val="00A5687E"/>
    <w:rsid w:val="00A914A7"/>
    <w:rsid w:val="00AB29EA"/>
    <w:rsid w:val="00AB6EF3"/>
    <w:rsid w:val="00AC03E2"/>
    <w:rsid w:val="00AC3DB9"/>
    <w:rsid w:val="00AD1B14"/>
    <w:rsid w:val="00AE7509"/>
    <w:rsid w:val="00B04E85"/>
    <w:rsid w:val="00B175D5"/>
    <w:rsid w:val="00B25B25"/>
    <w:rsid w:val="00B3570D"/>
    <w:rsid w:val="00B376AC"/>
    <w:rsid w:val="00B80D4B"/>
    <w:rsid w:val="00B97FA5"/>
    <w:rsid w:val="00BD1A41"/>
    <w:rsid w:val="00BD7788"/>
    <w:rsid w:val="00BF2352"/>
    <w:rsid w:val="00BF5B1D"/>
    <w:rsid w:val="00C145A4"/>
    <w:rsid w:val="00C238C5"/>
    <w:rsid w:val="00C42236"/>
    <w:rsid w:val="00C44D30"/>
    <w:rsid w:val="00C5060C"/>
    <w:rsid w:val="00C72C80"/>
    <w:rsid w:val="00C86282"/>
    <w:rsid w:val="00C91424"/>
    <w:rsid w:val="00CF7BAC"/>
    <w:rsid w:val="00D12CC4"/>
    <w:rsid w:val="00D4413C"/>
    <w:rsid w:val="00D627CE"/>
    <w:rsid w:val="00D7062E"/>
    <w:rsid w:val="00D7507C"/>
    <w:rsid w:val="00D7583E"/>
    <w:rsid w:val="00D90E5B"/>
    <w:rsid w:val="00D92E3C"/>
    <w:rsid w:val="00DA51E1"/>
    <w:rsid w:val="00DC5613"/>
    <w:rsid w:val="00DF6855"/>
    <w:rsid w:val="00E27C34"/>
    <w:rsid w:val="00E3334A"/>
    <w:rsid w:val="00E3556C"/>
    <w:rsid w:val="00E457F8"/>
    <w:rsid w:val="00E560F5"/>
    <w:rsid w:val="00E719C5"/>
    <w:rsid w:val="00EB4FAD"/>
    <w:rsid w:val="00ED76D3"/>
    <w:rsid w:val="00EE2035"/>
    <w:rsid w:val="00EE2C72"/>
    <w:rsid w:val="00F334E0"/>
    <w:rsid w:val="00F60FE9"/>
    <w:rsid w:val="00F64AD6"/>
    <w:rsid w:val="00F901F4"/>
    <w:rsid w:val="00F910CF"/>
    <w:rsid w:val="00FA0059"/>
    <w:rsid w:val="00FC7E67"/>
    <w:rsid w:val="00FD1E14"/>
    <w:rsid w:val="00FD61F4"/>
    <w:rsid w:val="00FE3CF0"/>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E07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paragraph" w:styleId="Sraopastraipa">
    <w:name w:val="List Paragraph"/>
    <w:basedOn w:val="prastasis"/>
    <w:link w:val="SraopastraipaDiagrama"/>
    <w:uiPriority w:val="34"/>
    <w:qFormat/>
    <w:rsid w:val="001209AF"/>
    <w:pPr>
      <w:ind w:left="720"/>
      <w:contextualSpacing/>
    </w:pPr>
  </w:style>
  <w:style w:type="character" w:customStyle="1" w:styleId="SraopastraipaDiagrama">
    <w:name w:val="Sąrašo pastraipa Diagrama"/>
    <w:link w:val="Sraopastraipa"/>
    <w:uiPriority w:val="34"/>
    <w:locked/>
    <w:rsid w:val="001209AF"/>
  </w:style>
  <w:style w:type="character" w:customStyle="1" w:styleId="itemdisplayname-386">
    <w:name w:val="itemdisplayname-386"/>
    <w:basedOn w:val="Numatytasispastraiposriftas"/>
    <w:rsid w:val="00A270F0"/>
  </w:style>
  <w:style w:type="character" w:customStyle="1" w:styleId="screenreaderfriendlyhiddentag-277">
    <w:name w:val="screenreaderfriendlyhiddentag-277"/>
    <w:basedOn w:val="Numatytasispastraiposriftas"/>
    <w:rsid w:val="00A270F0"/>
  </w:style>
  <w:style w:type="character" w:styleId="Komentaronuoroda">
    <w:name w:val="annotation reference"/>
    <w:basedOn w:val="Numatytasispastraiposriftas"/>
    <w:semiHidden/>
    <w:unhideWhenUsed/>
    <w:rsid w:val="004E06FA"/>
    <w:rPr>
      <w:sz w:val="16"/>
      <w:szCs w:val="16"/>
    </w:rPr>
  </w:style>
  <w:style w:type="paragraph" w:styleId="Komentarotema">
    <w:name w:val="annotation subject"/>
    <w:basedOn w:val="Komentarotekstas"/>
    <w:next w:val="Komentarotekstas"/>
    <w:link w:val="KomentarotemaDiagrama"/>
    <w:semiHidden/>
    <w:unhideWhenUsed/>
    <w:rsid w:val="004E06FA"/>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4E06FA"/>
    <w:rPr>
      <w:rFonts w:eastAsia="Andale Sans UI" w:cs="Tahoma"/>
      <w:b/>
      <w:bCs/>
      <w:sz w:val="20"/>
      <w:lang w:bidi="en-US"/>
    </w:rPr>
  </w:style>
  <w:style w:type="character" w:customStyle="1" w:styleId="shift">
    <w:name w:val="shift"/>
    <w:basedOn w:val="Numatytasispastraiposriftas"/>
    <w:rsid w:val="006C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7499">
      <w:bodyDiv w:val="1"/>
      <w:marLeft w:val="0"/>
      <w:marRight w:val="0"/>
      <w:marTop w:val="0"/>
      <w:marBottom w:val="0"/>
      <w:divBdr>
        <w:top w:val="none" w:sz="0" w:space="0" w:color="auto"/>
        <w:left w:val="none" w:sz="0" w:space="0" w:color="auto"/>
        <w:bottom w:val="none" w:sz="0" w:space="0" w:color="auto"/>
        <w:right w:val="none" w:sz="0" w:space="0" w:color="auto"/>
      </w:divBdr>
      <w:divsChild>
        <w:div w:id="1478650833">
          <w:marLeft w:val="0"/>
          <w:marRight w:val="0"/>
          <w:marTop w:val="0"/>
          <w:marBottom w:val="0"/>
          <w:divBdr>
            <w:top w:val="none" w:sz="0" w:space="0" w:color="auto"/>
            <w:left w:val="none" w:sz="0" w:space="0" w:color="auto"/>
            <w:bottom w:val="none" w:sz="0" w:space="0" w:color="auto"/>
            <w:right w:val="none" w:sz="0" w:space="0" w:color="auto"/>
          </w:divBdr>
          <w:divsChild>
            <w:div w:id="986319374">
              <w:marLeft w:val="0"/>
              <w:marRight w:val="0"/>
              <w:marTop w:val="0"/>
              <w:marBottom w:val="0"/>
              <w:divBdr>
                <w:top w:val="none" w:sz="0" w:space="0" w:color="auto"/>
                <w:left w:val="none" w:sz="0" w:space="0" w:color="auto"/>
                <w:bottom w:val="none" w:sz="0" w:space="0" w:color="auto"/>
                <w:right w:val="none" w:sz="0" w:space="0" w:color="auto"/>
              </w:divBdr>
            </w:div>
          </w:divsChild>
        </w:div>
        <w:div w:id="1860777411">
          <w:marLeft w:val="0"/>
          <w:marRight w:val="0"/>
          <w:marTop w:val="0"/>
          <w:marBottom w:val="0"/>
          <w:divBdr>
            <w:top w:val="none" w:sz="0" w:space="0" w:color="auto"/>
            <w:left w:val="none" w:sz="0" w:space="0" w:color="auto"/>
            <w:bottom w:val="none" w:sz="0" w:space="0" w:color="auto"/>
            <w:right w:val="none" w:sz="0" w:space="0" w:color="auto"/>
          </w:divBdr>
          <w:divsChild>
            <w:div w:id="1936358899">
              <w:marLeft w:val="0"/>
              <w:marRight w:val="0"/>
              <w:marTop w:val="0"/>
              <w:marBottom w:val="0"/>
              <w:divBdr>
                <w:top w:val="none" w:sz="0" w:space="0" w:color="auto"/>
                <w:left w:val="none" w:sz="0" w:space="0" w:color="auto"/>
                <w:bottom w:val="none" w:sz="0" w:space="0" w:color="auto"/>
                <w:right w:val="none" w:sz="0" w:space="0" w:color="auto"/>
              </w:divBdr>
              <w:divsChild>
                <w:div w:id="16647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07357">
      <w:bodyDiv w:val="1"/>
      <w:marLeft w:val="0"/>
      <w:marRight w:val="0"/>
      <w:marTop w:val="0"/>
      <w:marBottom w:val="0"/>
      <w:divBdr>
        <w:top w:val="none" w:sz="0" w:space="0" w:color="auto"/>
        <w:left w:val="none" w:sz="0" w:space="0" w:color="auto"/>
        <w:bottom w:val="none" w:sz="0" w:space="0" w:color="auto"/>
        <w:right w:val="none" w:sz="0" w:space="0" w:color="auto"/>
      </w:divBdr>
      <w:divsChild>
        <w:div w:id="2114398527">
          <w:marLeft w:val="0"/>
          <w:marRight w:val="0"/>
          <w:marTop w:val="0"/>
          <w:marBottom w:val="0"/>
          <w:divBdr>
            <w:top w:val="none" w:sz="0" w:space="0" w:color="auto"/>
            <w:left w:val="none" w:sz="0" w:space="0" w:color="auto"/>
            <w:bottom w:val="none" w:sz="0" w:space="0" w:color="auto"/>
            <w:right w:val="none" w:sz="0" w:space="0" w:color="auto"/>
          </w:divBdr>
          <w:divsChild>
            <w:div w:id="1466851481">
              <w:marLeft w:val="0"/>
              <w:marRight w:val="0"/>
              <w:marTop w:val="0"/>
              <w:marBottom w:val="0"/>
              <w:divBdr>
                <w:top w:val="none" w:sz="0" w:space="0" w:color="auto"/>
                <w:left w:val="none" w:sz="0" w:space="0" w:color="auto"/>
                <w:bottom w:val="none" w:sz="0" w:space="0" w:color="auto"/>
                <w:right w:val="none" w:sz="0" w:space="0" w:color="auto"/>
              </w:divBdr>
            </w:div>
          </w:divsChild>
        </w:div>
        <w:div w:id="294609100">
          <w:marLeft w:val="0"/>
          <w:marRight w:val="0"/>
          <w:marTop w:val="0"/>
          <w:marBottom w:val="0"/>
          <w:divBdr>
            <w:top w:val="none" w:sz="0" w:space="0" w:color="auto"/>
            <w:left w:val="none" w:sz="0" w:space="0" w:color="auto"/>
            <w:bottom w:val="none" w:sz="0" w:space="0" w:color="auto"/>
            <w:right w:val="none" w:sz="0" w:space="0" w:color="auto"/>
          </w:divBdr>
          <w:divsChild>
            <w:div w:id="678120801">
              <w:marLeft w:val="0"/>
              <w:marRight w:val="0"/>
              <w:marTop w:val="0"/>
              <w:marBottom w:val="0"/>
              <w:divBdr>
                <w:top w:val="none" w:sz="0" w:space="0" w:color="auto"/>
                <w:left w:val="none" w:sz="0" w:space="0" w:color="auto"/>
                <w:bottom w:val="none" w:sz="0" w:space="0" w:color="auto"/>
                <w:right w:val="none" w:sz="0" w:space="0" w:color="auto"/>
              </w:divBdr>
              <w:divsChild>
                <w:div w:id="18321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Z6YWEJNPDQQR-896559167-623</_dlc_DocId>
    <_dlc_DocIdUrl xmlns="28130d43-1b56-4a10-ad88-2cd38123f4c1">
      <Url>https://intranetas.lrs.lt/29/_layouts/15/DocIdRedir.aspx?ID=Z6YWEJNPDQQR-896559167-623</Url>
      <Description>Z6YWEJNPDQQR-896559167-623</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323CA703-425E-4045-829F-69BF6C764092}">
  <ds:schemaRefs>
    <ds:schemaRef ds:uri="http://schemas.openxmlformats.org/officeDocument/2006/bibliography"/>
  </ds:schemaRefs>
</ds:datastoreItem>
</file>

<file path=customXml/itemProps3.xml><?xml version="1.0" encoding="utf-8"?>
<ds:datastoreItem xmlns:ds="http://schemas.openxmlformats.org/officeDocument/2006/customXml" ds:itemID="{D7409C5F-F2F9-4C7F-8226-B246E99F923E}"/>
</file>

<file path=customXml/itemProps4.xml><?xml version="1.0" encoding="utf-8"?>
<ds:datastoreItem xmlns:ds="http://schemas.openxmlformats.org/officeDocument/2006/customXml" ds:itemID="{B96D8A50-3052-4FC2-ACE5-AD71A45019FB}"/>
</file>

<file path=customXml/itemProps5.xml><?xml version="1.0" encoding="utf-8"?>
<ds:datastoreItem xmlns:ds="http://schemas.openxmlformats.org/officeDocument/2006/customXml" ds:itemID="{90636AE6-F82F-4D52-8900-FEA752372944}"/>
</file>

<file path=customXml/itemProps6.xml><?xml version="1.0" encoding="utf-8"?>
<ds:datastoreItem xmlns:ds="http://schemas.openxmlformats.org/officeDocument/2006/customXml" ds:itemID="{3D64BB9F-9C4D-4ED4-AC31-BF74EF564E84}"/>
</file>

<file path=docProps/app.xml><?xml version="1.0" encoding="utf-8"?>
<Properties xmlns="http://schemas.openxmlformats.org/officeDocument/2006/extended-properties" xmlns:vt="http://schemas.openxmlformats.org/officeDocument/2006/docPropsVTypes">
  <Template>Normal</Template>
  <TotalTime>121</TotalTime>
  <Pages>3</Pages>
  <Words>4944</Words>
  <Characters>2819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12</cp:revision>
  <cp:lastPrinted>2026-03-24T13:37:00Z</cp:lastPrinted>
  <dcterms:created xsi:type="dcterms:W3CDTF">2026-03-09T10:08:00Z</dcterms:created>
  <dcterms:modified xsi:type="dcterms:W3CDTF">2026-03-24T13:46:00Z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7176c6f9-9313-4562-b567-3b03cd1d62c3</vt:lpwstr>
  </property>
</Properties>
</file>