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7D77E1">
            <w:rPr>
              <w:rFonts w:eastAsia="Calibri"/>
              <w:szCs w:val="24"/>
            </w:rPr>
            <w:t xml:space="preserve">025 m. rugsėjo </w:t>
          </w:r>
          <w:r w:rsidR="007D77E1">
            <w:rPr>
              <w:rFonts w:eastAsia="Calibri"/>
              <w:szCs w:val="24"/>
              <w:lang w:val="en-US"/>
            </w:rPr>
            <w:t>24</w:t>
          </w:r>
          <w:r w:rsidR="00CF7BAC">
            <w:rPr>
              <w:rFonts w:eastAsia="Calibri"/>
              <w:szCs w:val="24"/>
            </w:rPr>
            <w:t xml:space="preserve"> d. Nr. 250-I-</w:t>
          </w:r>
          <w:r w:rsidR="007D77E1">
            <w:rPr>
              <w:rFonts w:eastAsia="Calibri"/>
              <w:szCs w:val="24"/>
              <w:lang w:val="en-US"/>
            </w:rPr>
            <w:t>22</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8369B2" w:rsidRDefault="00AC3DB9" w:rsidP="0009131D">
              <w:pPr>
                <w:pStyle w:val="Default"/>
                <w:spacing w:line="360" w:lineRule="auto"/>
                <w:ind w:firstLine="851"/>
                <w:jc w:val="both"/>
                <w:rPr>
                  <w:color w:val="000000" w:themeColor="text1"/>
                </w:rPr>
              </w:pPr>
              <w:r w:rsidRPr="00CF7BAC">
                <w:t>Lietuvos Respublikos Seimo Pe</w:t>
              </w:r>
              <w:r w:rsidR="00FF75B2" w:rsidRPr="00CF7BAC">
                <w:t xml:space="preserve">ticijų komisija </w:t>
              </w:r>
              <w:r w:rsidR="00C145A4" w:rsidRPr="00CF7BAC">
                <w:t xml:space="preserve">(toliau – Komisija) </w:t>
              </w:r>
              <w:r w:rsidR="007D77E1">
                <w:t xml:space="preserve">2025 m. rugsėjo </w:t>
              </w:r>
              <w:r w:rsidR="006414A4">
                <w:rPr>
                  <w:lang w:val="en-US"/>
                </w:rPr>
                <w:t>24</w:t>
              </w:r>
              <w:r w:rsidR="001606EE" w:rsidRPr="00CF7BAC">
                <w:rPr>
                  <w:lang w:val="en-US"/>
                </w:rPr>
                <w:t xml:space="preserve"> </w:t>
              </w:r>
              <w:r w:rsidRPr="00CF7BAC">
                <w:t>d.</w:t>
              </w:r>
              <w:r w:rsidR="00916CF8" w:rsidRPr="00CF7BAC">
                <w:t xml:space="preserve"> posėdyje išnagrinėjo pareiškėjo</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7D77E1">
                <w:t>dėl teisės aktų, susijusių su</w:t>
              </w:r>
              <w:r w:rsidR="007D77E1" w:rsidRPr="00321FCC">
                <w:t xml:space="preserve"> sodininkų be</w:t>
              </w:r>
              <w:r w:rsidR="007D77E1">
                <w:t>ndrijų likvidavimu, pakeitimo</w:t>
              </w:r>
              <w:r w:rsidR="00276913">
                <w:t xml:space="preserve"> </w:t>
              </w:r>
              <w:r w:rsidR="00945D27" w:rsidRPr="00CF7BAC">
                <w:rPr>
                  <w:rFonts w:eastAsia="Calibri"/>
                </w:rPr>
                <w:t xml:space="preserve">ir priėmė sprendimą </w:t>
              </w:r>
              <w:r w:rsidR="00945D27" w:rsidRPr="00CF7BAC">
                <w:t xml:space="preserve">teikti Seimui išvadą </w:t>
              </w:r>
              <w:r w:rsidR="00945D27" w:rsidRPr="00CF7BAC">
                <w:rPr>
                  <w:rFonts w:eastAsia="Calibri"/>
                </w:rPr>
                <w:t>netenkinti šio siūlymo.</w:t>
              </w:r>
              <w:r w:rsidR="00D627CE" w:rsidRPr="00CF7BAC">
                <w:rPr>
                  <w:rFonts w:eastAsia="Calibri"/>
                </w:rPr>
                <w:t xml:space="preserve"> </w:t>
              </w:r>
              <w:r w:rsidR="00C145A4" w:rsidRPr="00CF7BAC">
                <w:t>K</w:t>
              </w:r>
              <w:r w:rsidR="00FF75B2" w:rsidRPr="00CF7BAC">
                <w:t>omisija</w:t>
              </w:r>
              <w:r w:rsidR="00F60FE9" w:rsidRPr="00CF7BAC">
                <w:rPr>
                  <w:rFonts w:eastAsia="Calibri"/>
                </w:rPr>
                <w:t xml:space="preserve"> sprendimą priė</w:t>
              </w:r>
              <w:r w:rsidR="00FF75B2" w:rsidRPr="00CF7BAC">
                <w:rPr>
                  <w:rFonts w:eastAsia="Calibri"/>
                </w:rPr>
                <w:t>mė</w:t>
              </w:r>
              <w:r w:rsidR="00945D27" w:rsidRPr="00CF7BAC">
                <w:rPr>
                  <w:rFonts w:eastAsia="Calibri"/>
                </w:rPr>
                <w:t xml:space="preserve"> atsižvelgus</w:t>
              </w:r>
              <w:r w:rsidR="00FF75B2" w:rsidRPr="00CF7BAC">
                <w:rPr>
                  <w:rFonts w:eastAsia="Calibri"/>
                </w:rPr>
                <w:t>i</w:t>
              </w:r>
              <w:r w:rsidR="00945D27" w:rsidRPr="00CF7BAC">
                <w:rPr>
                  <w:rFonts w:eastAsia="Calibri"/>
                </w:rPr>
                <w:t xml:space="preserve"> į </w:t>
              </w:r>
              <w:r w:rsidR="001606EE" w:rsidRPr="00CF7BAC">
                <w:rPr>
                  <w:color w:val="000000" w:themeColor="text1"/>
                </w:rPr>
                <w:t xml:space="preserve">Lietuvos Respublikos </w:t>
              </w:r>
              <w:r w:rsidR="007D77E1">
                <w:rPr>
                  <w:color w:val="000000" w:themeColor="text1"/>
                </w:rPr>
                <w:t xml:space="preserve">aplinkos ministerijos </w:t>
              </w:r>
              <w:r w:rsidR="005D0813" w:rsidRPr="00CF7BAC">
                <w:rPr>
                  <w:color w:val="000000" w:themeColor="text1"/>
                </w:rPr>
                <w:t>nuomonę dėl peticijoje pateikto siūlymo.</w:t>
              </w:r>
            </w:p>
            <w:p w:rsidR="0009131D" w:rsidRDefault="003E5A39" w:rsidP="0009131D">
              <w:pPr>
                <w:pStyle w:val="Default"/>
                <w:spacing w:line="360" w:lineRule="auto"/>
                <w:ind w:firstLine="851"/>
                <w:jc w:val="both"/>
                <w:rPr>
                  <w:color w:val="000000" w:themeColor="text1"/>
                </w:rPr>
              </w:pPr>
              <w:r>
                <w:rPr>
                  <w:color w:val="000000" w:themeColor="text1"/>
                </w:rPr>
                <w:t xml:space="preserve">Pareiškėjas prašo </w:t>
              </w:r>
              <w:r w:rsidRPr="003E5A39">
                <w:rPr>
                  <w:color w:val="000000" w:themeColor="text1"/>
                </w:rPr>
                <w:t>pripažinti netekusiu galios Lietuvos Respublikos Vyriausybės 2015 m. gruodžio 2 d. nutarimu Nr. 1238 „Dėl Lietuvos Respublikos Vyriausybės 2002 m. balandžio 15 d. nutarimo Nr. 534 „Dėl Lietuvos Respublikos nekilnojamojo turto kadastro nuostatų patvirtinimo“ pakeitimo“ patvirtintą Lietuvos Respublikos nekilnojamojo turto kadastro nuostatų (toliau – Nuostatai) 8 priedą „Sodininkų bendrijai skirtos mėgėjų sodo teritorijos ribų duomenų nustatymo, jų pažymėjimo kadastro žemėlapyje ir įrašų Nekilnojamojo turto kadastre apie žemės sklypų buvimą sodininkų bendrijai skirtoje mėgėjų sodo teritorijoje padarymo tvarkos aprašą“ (toliau – Aprašas)“.</w:t>
              </w:r>
              <w:r>
                <w:rPr>
                  <w:color w:val="000000" w:themeColor="text1"/>
                </w:rPr>
                <w:t xml:space="preserve"> Taip pat prašo </w:t>
              </w:r>
              <w:r w:rsidRPr="003E5A39">
                <w:rPr>
                  <w:color w:val="000000" w:themeColor="text1"/>
                </w:rPr>
                <w:t>priimti naują teisės aktą dėl sodininkų bendrijų, iš kurių žemės reformos metu paimta valstybinė žemė valstybės ar visuomenės poreikiams, kuri Žemės kodekso 73–77 straipsniuose nustatyta tvarka kolektyvinei sodininkystei iki 1991 m. buvo skirta neterminuotam naudojimui, likvidavimo tvarkos ir terminų.</w:t>
              </w:r>
              <w:r w:rsidR="0009131D">
                <w:rPr>
                  <w:color w:val="000000" w:themeColor="text1"/>
                </w:rPr>
                <w:t xml:space="preserve"> Pareiškėjo </w:t>
              </w:r>
              <w:r>
                <w:rPr>
                  <w:color w:val="000000" w:themeColor="text1"/>
                </w:rPr>
                <w:t xml:space="preserve">prašymams tenkinti reikalinga pakeisti </w:t>
              </w:r>
              <w:r w:rsidR="0009131D" w:rsidRPr="00CF7BAC">
                <w:rPr>
                  <w:color w:val="000000" w:themeColor="text1"/>
                </w:rPr>
                <w:t xml:space="preserve">Lietuvos Respublikos </w:t>
              </w:r>
              <w:r w:rsidR="0009131D">
                <w:rPr>
                  <w:color w:val="000000" w:themeColor="text1"/>
                </w:rPr>
                <w:t>n</w:t>
              </w:r>
              <w:r w:rsidRPr="003E5A39">
                <w:rPr>
                  <w:color w:val="000000" w:themeColor="text1"/>
                </w:rPr>
                <w:t xml:space="preserve">ekilnojamojo turto kadastro įstatymo, </w:t>
              </w:r>
              <w:r w:rsidR="0009131D" w:rsidRPr="00CF7BAC">
                <w:rPr>
                  <w:color w:val="000000" w:themeColor="text1"/>
                </w:rPr>
                <w:t xml:space="preserve">Lietuvos Respublikos </w:t>
              </w:r>
              <w:r w:rsidR="0009131D">
                <w:rPr>
                  <w:color w:val="000000" w:themeColor="text1"/>
                </w:rPr>
                <w:t>s</w:t>
              </w:r>
              <w:r w:rsidRPr="003E5A39">
                <w:rPr>
                  <w:color w:val="000000" w:themeColor="text1"/>
                </w:rPr>
                <w:t>odininkų bendrijų įstatymo</w:t>
              </w:r>
              <w:r>
                <w:rPr>
                  <w:color w:val="000000" w:themeColor="text1"/>
                </w:rPr>
                <w:t xml:space="preserve"> (toliau – SB įstatymas)</w:t>
              </w:r>
              <w:r w:rsidRPr="003E5A39">
                <w:rPr>
                  <w:color w:val="000000" w:themeColor="text1"/>
                </w:rPr>
                <w:t xml:space="preserve">, </w:t>
              </w:r>
              <w:r w:rsidR="0009131D" w:rsidRPr="00CF7BAC">
                <w:rPr>
                  <w:color w:val="000000" w:themeColor="text1"/>
                </w:rPr>
                <w:t xml:space="preserve">Lietuvos Respublikos </w:t>
              </w:r>
              <w:r w:rsidR="0009131D">
                <w:rPr>
                  <w:color w:val="000000" w:themeColor="text1"/>
                </w:rPr>
                <w:t>c</w:t>
              </w:r>
              <w:r w:rsidRPr="003E5A39">
                <w:rPr>
                  <w:color w:val="000000" w:themeColor="text1"/>
                </w:rPr>
                <w:t>ivilinio kodekso</w:t>
              </w:r>
              <w:r>
                <w:rPr>
                  <w:color w:val="000000" w:themeColor="text1"/>
                </w:rPr>
                <w:t xml:space="preserve"> nuostatas</w:t>
              </w:r>
              <w:r w:rsidR="0009131D">
                <w:rPr>
                  <w:color w:val="000000" w:themeColor="text1"/>
                </w:rPr>
                <w:t xml:space="preserve">. </w:t>
              </w:r>
            </w:p>
            <w:p w:rsidR="00695292" w:rsidRDefault="003E5A39" w:rsidP="0009131D">
              <w:pPr>
                <w:pStyle w:val="Default"/>
                <w:spacing w:line="360" w:lineRule="auto"/>
                <w:ind w:firstLine="851"/>
                <w:jc w:val="both"/>
              </w:pPr>
              <w:r>
                <w:t>Įvertinusi pareiškėjo prašymus Aplinkos ministerija nurodė, kad šiuo metu esantis teisinis reglamentavimas yra pakankamas</w:t>
              </w:r>
              <w:r w:rsidR="00FF072D">
                <w:t>.</w:t>
              </w:r>
              <w:r w:rsidRPr="003E5A39">
                <w:t xml:space="preserve"> </w:t>
              </w:r>
              <w:r w:rsidR="00181B18">
                <w:t>Į</w:t>
              </w:r>
              <w:r w:rsidRPr="003E5A39">
                <w:t>gyvendin</w:t>
              </w:r>
              <w:r w:rsidR="00181B18">
                <w:t>ant</w:t>
              </w:r>
              <w:r w:rsidRPr="003E5A39">
                <w:t xml:space="preserve"> 2024 m. sausio 1 d. įsigaliojusį naujos redakcijos </w:t>
              </w:r>
              <w:r w:rsidR="00FF072D">
                <w:t>V</w:t>
              </w:r>
              <w:r w:rsidRPr="003E5A39">
                <w:t xml:space="preserve">alstybės informacinių išteklių valdymo įstatymą, kuriuo pakeista registro samprata ir nustatytas naujas registro informacinės sistemos teisinis reguliavimas, ir nuo 2025 m. liepos 1 d. įsigaliosiančias </w:t>
              </w:r>
              <w:r w:rsidR="00FF072D">
                <w:t>N</w:t>
              </w:r>
              <w:r w:rsidRPr="003E5A39">
                <w:t xml:space="preserve">ekilnojamojo turto kadastro įstatymo Nr. VIII-1764 2, 4, 7, 9, 10, 11, 12 ir 17 straipsnių pakeitimo įstatymo (toliau – NTKĮ pakeitimo įstatymas) nuostatas, </w:t>
              </w:r>
              <w:r w:rsidR="00181B18" w:rsidRPr="003E5A39">
                <w:t xml:space="preserve">2025 m. liepos 1 d. </w:t>
              </w:r>
              <w:r w:rsidRPr="003E5A39">
                <w:t xml:space="preserve">Lietuvos Respublikos </w:t>
              </w:r>
              <w:r w:rsidRPr="003E5A39">
                <w:lastRenderedPageBreak/>
                <w:t>Vyriausybės 2002 m. balandžio 15 d. nutarim</w:t>
              </w:r>
              <w:r w:rsidR="00181B18">
                <w:t>as</w:t>
              </w:r>
              <w:r w:rsidRPr="003E5A39">
                <w:t xml:space="preserve"> Nr. 534 „Dėl Lietuvos Respublikos nekilnojamojo turto kadastro nuostatų patvirtinimo“ </w:t>
              </w:r>
              <w:r w:rsidR="00181B18">
                <w:t>pripažintas netekusiu galios</w:t>
              </w:r>
              <w:r w:rsidR="00695292">
                <w:t>.</w:t>
              </w:r>
            </w:p>
            <w:p w:rsidR="002E1AC9" w:rsidRDefault="00FF072D" w:rsidP="0009131D">
              <w:pPr>
                <w:pStyle w:val="Default"/>
                <w:spacing w:line="360" w:lineRule="auto"/>
                <w:ind w:firstLine="851"/>
                <w:jc w:val="both"/>
              </w:pPr>
              <w:r>
                <w:t>SB</w:t>
              </w:r>
              <w:r w:rsidR="003E5A39" w:rsidRPr="003E5A39">
                <w:t xml:space="preserve"> įstatymo 3 straipsnio 1 dalyje nustatyta, kad </w:t>
              </w:r>
              <w:r w:rsidR="002E1AC9">
                <w:t>s</w:t>
              </w:r>
              <w:r w:rsidR="003E5A39" w:rsidRPr="003E5A39">
                <w:t xml:space="preserve">odininkų bendrija (toliau – bendrija) yra atitinkamo administracinio vieneto bendruomenės dalis, visapusiškai plėtojanti mėgėjų sodininkystę, puoselėjanti ir tausojanti gamtą ir kraštovaizdį. Bendrija yra ribotos civilinės atsakomybės pelno nesiekiantis viešasis juridinis asmuo, kurio tikslas – įgyvendinti sodininkų bendrąsias teises ir pareigas, susijusias su mėgėjų sodo teritorijos ir joje esančių bendrojo naudojimo objektų valdymu, priežiūra ir naudojimu. </w:t>
              </w:r>
            </w:p>
            <w:p w:rsidR="002E1AC9" w:rsidRDefault="002E1AC9" w:rsidP="00BD135D">
              <w:pPr>
                <w:pStyle w:val="Default"/>
                <w:spacing w:line="360" w:lineRule="auto"/>
                <w:ind w:firstLine="851"/>
                <w:jc w:val="both"/>
              </w:pPr>
              <w:r>
                <w:t>SB</w:t>
              </w:r>
              <w:r w:rsidR="003E5A39" w:rsidRPr="003E5A39">
                <w:t xml:space="preserve"> įstatymo 27 straipsnyje nustatyta, kad sodininkų bendrija likviduojama Civilinio kodekso ir </w:t>
              </w:r>
              <w:r>
                <w:t>SB</w:t>
              </w:r>
              <w:r w:rsidR="003E5A39" w:rsidRPr="003E5A39">
                <w:t xml:space="preserve"> įstatymo nustatyta tvarka. </w:t>
              </w:r>
              <w:r w:rsidR="00BD135D" w:rsidRPr="003E5A39">
                <w:t xml:space="preserve">Juridinio asmens likvidavimo pagrindai nustatyti </w:t>
              </w:r>
              <w:r w:rsidR="00BD135D">
                <w:t>C</w:t>
              </w:r>
              <w:r w:rsidR="00BD135D" w:rsidRPr="003E5A39">
                <w:t>ivilinio kodekso 2.106 straipsnyje ir gali būti tik šie: 1) juridinio asmens dalyvių sprendimas nutraukti juridinio asmens veiklą; 2) teismo ar kreditorių susirinkimo sprendimas likviduoti juridinį asmenį dėl bankroto; 3) teismo priimtas sprendimas likviduoti juridinį asmenį vadovaujanti</w:t>
              </w:r>
              <w:r w:rsidR="00BD135D">
                <w:t xml:space="preserve">s šio kodekso 2.131 straipsniu; </w:t>
              </w:r>
              <w:r w:rsidR="00BD135D" w:rsidRPr="003E5A39">
                <w:t xml:space="preserve">4) juridinių asmenų registro tvarkytojo sprendimas likviduoti juridinį asmenį vadovaujantis šio kodekso 2.70 straipsniu; 5) laikotarpio, kuriam buvo įsteigtas juridinis asmuo, pabaiga; 6) juridinio asmens dalyvių skaičiaus sumažėjimas mažiau nei įstatymų leidžiamas minimumas, jeigu juridinio asmens dalyvis per šešis mėnesius po tokio sumažėjimo nenutaria juridinio asmens reorganizuoti ar pertvarkyti; 7) juridinio asmens steigimo pripažinimas negaliojančiu vadovaujantis šio kodekso 2.114 straipsniu. </w:t>
              </w:r>
              <w:r w:rsidR="003E5A39" w:rsidRPr="003E5A39">
                <w:t xml:space="preserve">Jeigu sodininkų bendrijoje liko mažiau kaip 7 nariai, per 30 dienų apie tokį narių sumažėjimą sodininkų bendrija privalo pranešti Juridinių asmenų registrui Juridinių asmenų registro nuostatuose nustatyta tvarka. </w:t>
              </w:r>
              <w:r>
                <w:t>SB</w:t>
              </w:r>
              <w:r w:rsidR="003E5A39" w:rsidRPr="003E5A39">
                <w:t xml:space="preserve"> įstatymo 16 straipsnio 12 dalyje nustatyta, kad bendrijos narių susirinkimo sprendimai dėl lėšų skolinimosi, dėl bendrijos reorganizavimo, pertvarkymo ar likvidavimo, taip pat sprendimai, priimami balsuojant raštu nesušaukus susirinkimo, yra teisėti, jeigu už juos balsuoja daugiau kaip 2/3 visų bendrijos narių. </w:t>
              </w:r>
            </w:p>
            <w:p w:rsidR="003E5A39" w:rsidRPr="00857D41" w:rsidRDefault="003E5A39" w:rsidP="0009131D">
              <w:pPr>
                <w:pStyle w:val="Default"/>
                <w:spacing w:line="360" w:lineRule="auto"/>
                <w:ind w:firstLine="851"/>
                <w:jc w:val="both"/>
              </w:pPr>
              <w:r w:rsidRPr="003E5A39">
                <w:t>Atsižvelgiant į įstatymuose numatytus sodininkų bendrijų likvidavimo pagrindus, sodininkų bendrijos negali būti likviduojamos įstatymu ar kitu teisės aktu.</w:t>
              </w:r>
              <w:r w:rsidR="00DA5B78">
                <w:t xml:space="preserve"> Šiuo metu teisės aktuose esantys</w:t>
              </w:r>
              <w:r w:rsidRPr="003E5A39">
                <w:t xml:space="preserve"> juridinių asmenų, taip pat ir sodininkų bendrijų, likvidavimo teisini</w:t>
              </w:r>
              <w:r w:rsidR="00DA5B78">
                <w:t>ai</w:t>
              </w:r>
              <w:r w:rsidRPr="003E5A39">
                <w:t xml:space="preserve"> pagrind</w:t>
              </w:r>
              <w:r w:rsidR="00DA5B78">
                <w:t>ai yra pakankami</w:t>
              </w:r>
              <w:r w:rsidRPr="003E5A39">
                <w:t>.</w:t>
              </w:r>
            </w:p>
            <w:p w:rsidR="000B781B" w:rsidRDefault="00373F2E" w:rsidP="0009131D">
              <w:pPr>
                <w:spacing w:line="360" w:lineRule="auto"/>
                <w:ind w:firstLine="851"/>
                <w:jc w:val="both"/>
                <w:rPr>
                  <w:szCs w:val="24"/>
                  <w:lang w:eastAsia="lt-LT"/>
                </w:rPr>
              </w:pPr>
              <w:r w:rsidRPr="00373F2E">
                <w:rPr>
                  <w:szCs w:val="24"/>
                </w:rPr>
                <w:t>Įvertinus pareiškėjo pateiktus argumentus bei ministerijos pateiktą nuomonę, Komisija mano, kad siekiant likviduoti kreipimesi nurodytas sodininkų bendrijas, įtvirtintas teisinis</w:t>
              </w:r>
              <w:r>
                <w:t xml:space="preserve"> reglamentavimas yra pakankamas ir </w:t>
              </w:r>
              <w:r w:rsidRPr="006F0FF2">
                <w:rPr>
                  <w:szCs w:val="24"/>
                  <w:lang w:eastAsia="lt-LT"/>
                </w:rPr>
                <w:t xml:space="preserve">papildomų teisės aktų </w:t>
              </w:r>
              <w:r w:rsidR="000B781B">
                <w:rPr>
                  <w:szCs w:val="24"/>
                  <w:lang w:eastAsia="lt-LT"/>
                </w:rPr>
                <w:t xml:space="preserve">priimti </w:t>
              </w:r>
              <w:r w:rsidRPr="006F0FF2">
                <w:rPr>
                  <w:bCs/>
                  <w:szCs w:val="24"/>
                  <w:lang w:eastAsia="lt-LT"/>
                </w:rPr>
                <w:t>nereikia</w:t>
              </w:r>
              <w:r w:rsidR="000B781B">
                <w:rPr>
                  <w:bCs/>
                  <w:szCs w:val="24"/>
                  <w:lang w:eastAsia="lt-LT"/>
                </w:rPr>
                <w:t>.</w:t>
              </w:r>
            </w:p>
            <w:p w:rsidR="005427A1" w:rsidRPr="00FD1E14" w:rsidRDefault="00F60FE9" w:rsidP="0009131D">
              <w:pPr>
                <w:spacing w:line="360" w:lineRule="auto"/>
                <w:ind w:firstLine="851"/>
                <w:jc w:val="both"/>
                <w:rPr>
                  <w:szCs w:val="24"/>
                  <w:lang w:eastAsia="lt-LT"/>
                </w:rPr>
              </w:pPr>
              <w:r w:rsidRPr="00FD1E1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2F4574">
                <w:rPr>
                  <w:rFonts w:eastAsia="Calibri"/>
                  <w:szCs w:val="24"/>
                  <w:lang w:eastAsia="ar-SA"/>
                </w:rPr>
                <w:t>I (rudens</w:t>
              </w:r>
              <w:r w:rsidRPr="00FD1E14">
                <w:rPr>
                  <w:rFonts w:eastAsia="Calibri"/>
                  <w:szCs w:val="24"/>
                  <w:lang w:eastAsia="ar-SA"/>
                </w:rPr>
                <w:t xml:space="preserve">) sesijos darbotvarkę Seimo </w:t>
              </w:r>
              <w:r w:rsidRPr="00FD1E14">
                <w:rPr>
                  <w:rFonts w:eastAsia="Calibri"/>
                  <w:szCs w:val="24"/>
                  <w:lang w:eastAsia="ar-SA"/>
                </w:rPr>
                <w:lastRenderedPageBreak/>
                <w:t>nutarimo „Dėl Lietuvos Respublikos Seimo Peticijų komisijos 202</w:t>
              </w:r>
              <w:r w:rsidR="005D0813" w:rsidRPr="00FD1E14">
                <w:rPr>
                  <w:rFonts w:eastAsia="Calibri"/>
                  <w:szCs w:val="24"/>
                  <w:lang w:val="en-US" w:eastAsia="ar-SA"/>
                </w:rPr>
                <w:t>5</w:t>
              </w:r>
              <w:r w:rsidR="007D77E1">
                <w:rPr>
                  <w:rFonts w:eastAsia="Calibri"/>
                  <w:szCs w:val="24"/>
                  <w:lang w:eastAsia="ar-SA"/>
                </w:rPr>
                <w:t xml:space="preserve"> m. rugsėjo </w:t>
              </w:r>
              <w:r w:rsidR="007D77E1">
                <w:rPr>
                  <w:rFonts w:eastAsia="Calibri"/>
                  <w:szCs w:val="24"/>
                  <w:lang w:val="en-US" w:eastAsia="ar-SA"/>
                </w:rPr>
                <w:t>24</w:t>
              </w:r>
              <w:r w:rsidR="00DF6855">
                <w:rPr>
                  <w:rFonts w:eastAsia="Calibri"/>
                  <w:szCs w:val="24"/>
                  <w:lang w:val="en-US" w:eastAsia="ar-SA"/>
                </w:rPr>
                <w:t xml:space="preserve"> </w:t>
              </w:r>
              <w:r w:rsidR="002F4574">
                <w:rPr>
                  <w:rFonts w:eastAsia="Calibri"/>
                  <w:szCs w:val="24"/>
                  <w:lang w:eastAsia="ar-SA"/>
                </w:rPr>
                <w:t>d. išvad</w:t>
              </w:r>
              <w:r w:rsidR="00A5687E">
                <w:rPr>
                  <w:rFonts w:eastAsia="Calibri"/>
                  <w:szCs w:val="24"/>
                  <w:lang w:eastAsia="ar-SA"/>
                </w:rPr>
                <w:t>os Nr. 250-I</w:t>
              </w:r>
              <w:r w:rsidR="007D77E1">
                <w:rPr>
                  <w:rFonts w:eastAsia="Calibri"/>
                  <w:szCs w:val="24"/>
                  <w:lang w:eastAsia="ar-SA"/>
                </w:rPr>
                <w:t>-22</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AD2C63" w:rsidRPr="00AD2C63"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sdtContent>
        </w:sdt>
      </w:sdtContent>
    </w:sdt>
    <w:p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2E" w:rsidRDefault="00373F2E">
      <w:pPr>
        <w:rPr>
          <w:rFonts w:ascii="CG Times" w:hAnsi="CG Times"/>
          <w:sz w:val="20"/>
        </w:rPr>
      </w:pPr>
      <w:r>
        <w:rPr>
          <w:rFonts w:ascii="CG Times" w:hAnsi="CG Times"/>
          <w:sz w:val="20"/>
        </w:rPr>
        <w:separator/>
      </w:r>
    </w:p>
  </w:endnote>
  <w:endnote w:type="continuationSeparator" w:id="0">
    <w:p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2E" w:rsidRDefault="00373F2E">
      <w:pPr>
        <w:rPr>
          <w:rFonts w:ascii="CG Times" w:hAnsi="CG Times"/>
          <w:sz w:val="20"/>
        </w:rPr>
      </w:pPr>
      <w:r>
        <w:rPr>
          <w:rFonts w:ascii="CG Times" w:hAnsi="CG Times"/>
          <w:sz w:val="20"/>
        </w:rPr>
        <w:separator/>
      </w:r>
    </w:p>
  </w:footnote>
  <w:footnote w:type="continuationSeparator" w:id="0">
    <w:p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485CA8">
      <w:rPr>
        <w:noProof/>
        <w:szCs w:val="24"/>
      </w:rPr>
      <w:t>3</w:t>
    </w:r>
    <w:r>
      <w:rPr>
        <w:szCs w:val="24"/>
      </w:rPr>
      <w:fldChar w:fldCharType="end"/>
    </w:r>
  </w:p>
  <w:p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9131D"/>
    <w:rsid w:val="000A15D3"/>
    <w:rsid w:val="000B781B"/>
    <w:rsid w:val="000C5B5B"/>
    <w:rsid w:val="000C730C"/>
    <w:rsid w:val="001136B4"/>
    <w:rsid w:val="00121904"/>
    <w:rsid w:val="00125696"/>
    <w:rsid w:val="00125A79"/>
    <w:rsid w:val="0013463E"/>
    <w:rsid w:val="001366E5"/>
    <w:rsid w:val="001606EE"/>
    <w:rsid w:val="00181B18"/>
    <w:rsid w:val="00194795"/>
    <w:rsid w:val="001D5719"/>
    <w:rsid w:val="002117D2"/>
    <w:rsid w:val="00245A5E"/>
    <w:rsid w:val="00276913"/>
    <w:rsid w:val="002A15D8"/>
    <w:rsid w:val="002B140E"/>
    <w:rsid w:val="002E10C8"/>
    <w:rsid w:val="002E1AC9"/>
    <w:rsid w:val="002F4574"/>
    <w:rsid w:val="002F53CF"/>
    <w:rsid w:val="002F7036"/>
    <w:rsid w:val="003364F0"/>
    <w:rsid w:val="00373F2E"/>
    <w:rsid w:val="003E5A39"/>
    <w:rsid w:val="00452B04"/>
    <w:rsid w:val="00485CA8"/>
    <w:rsid w:val="004A561A"/>
    <w:rsid w:val="004C29E9"/>
    <w:rsid w:val="004E00ED"/>
    <w:rsid w:val="004E5D57"/>
    <w:rsid w:val="005427A1"/>
    <w:rsid w:val="00574B44"/>
    <w:rsid w:val="00590DC6"/>
    <w:rsid w:val="00593097"/>
    <w:rsid w:val="005A0810"/>
    <w:rsid w:val="005B0B93"/>
    <w:rsid w:val="005D0813"/>
    <w:rsid w:val="00625B47"/>
    <w:rsid w:val="006414A4"/>
    <w:rsid w:val="00643484"/>
    <w:rsid w:val="006806C4"/>
    <w:rsid w:val="00695292"/>
    <w:rsid w:val="006A4651"/>
    <w:rsid w:val="006C6B0A"/>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34AA6"/>
    <w:rsid w:val="008369B2"/>
    <w:rsid w:val="00857D41"/>
    <w:rsid w:val="008709C3"/>
    <w:rsid w:val="008C5B32"/>
    <w:rsid w:val="008D131C"/>
    <w:rsid w:val="008D1A94"/>
    <w:rsid w:val="008D3DC6"/>
    <w:rsid w:val="008F1AA2"/>
    <w:rsid w:val="008F5133"/>
    <w:rsid w:val="0091178E"/>
    <w:rsid w:val="00913CCE"/>
    <w:rsid w:val="00916CF8"/>
    <w:rsid w:val="00945D27"/>
    <w:rsid w:val="00990BEA"/>
    <w:rsid w:val="00A52656"/>
    <w:rsid w:val="00A5687E"/>
    <w:rsid w:val="00A914A7"/>
    <w:rsid w:val="00AB29EA"/>
    <w:rsid w:val="00AC3DB9"/>
    <w:rsid w:val="00AD2C63"/>
    <w:rsid w:val="00AE7509"/>
    <w:rsid w:val="00B80D4B"/>
    <w:rsid w:val="00BD135D"/>
    <w:rsid w:val="00BD1A41"/>
    <w:rsid w:val="00BF2352"/>
    <w:rsid w:val="00BF5B1D"/>
    <w:rsid w:val="00C145A4"/>
    <w:rsid w:val="00C238C5"/>
    <w:rsid w:val="00C42236"/>
    <w:rsid w:val="00C44D30"/>
    <w:rsid w:val="00C5060C"/>
    <w:rsid w:val="00C72C80"/>
    <w:rsid w:val="00C91424"/>
    <w:rsid w:val="00CF7BAC"/>
    <w:rsid w:val="00D12CC4"/>
    <w:rsid w:val="00D4413C"/>
    <w:rsid w:val="00D627CE"/>
    <w:rsid w:val="00D7062E"/>
    <w:rsid w:val="00D7507C"/>
    <w:rsid w:val="00D7583E"/>
    <w:rsid w:val="00D92E3C"/>
    <w:rsid w:val="00DA51E1"/>
    <w:rsid w:val="00DA5B78"/>
    <w:rsid w:val="00DC5613"/>
    <w:rsid w:val="00DF6855"/>
    <w:rsid w:val="00E560F5"/>
    <w:rsid w:val="00E719C5"/>
    <w:rsid w:val="00EB4FAD"/>
    <w:rsid w:val="00F60FE9"/>
    <w:rsid w:val="00F64AD6"/>
    <w:rsid w:val="00F901F4"/>
    <w:rsid w:val="00FA0059"/>
    <w:rsid w:val="00FC7E67"/>
    <w:rsid w:val="00FD1E14"/>
    <w:rsid w:val="00FD61F4"/>
    <w:rsid w:val="00FF072D"/>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DC1E"/>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Z6YWEJNPDQQR-896559167-634</_dlc_DocId>
    <_dlc_DocIdUrl xmlns="28130d43-1b56-4a10-ad88-2cd38123f4c1">
      <Url>https://intranetas.lrs.lt/29/_layouts/15/DocIdRedir.aspx?ID=Z6YWEJNPDQQR-896559167-634</Url>
      <Description>Z6YWEJNPDQQR-896559167-634</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483E89ED-6A6A-4D15-90FD-C34044D69DAF}">
  <ds:schemaRefs>
    <ds:schemaRef ds:uri="http://schemas.openxmlformats.org/officeDocument/2006/bibliography"/>
  </ds:schemaRefs>
</ds:datastoreItem>
</file>

<file path=customXml/itemProps3.xml><?xml version="1.0" encoding="utf-8"?>
<ds:datastoreItem xmlns:ds="http://schemas.openxmlformats.org/officeDocument/2006/customXml" ds:itemID="{7BED5D2F-4A6A-4241-B0BF-07EBD9CDC5F9}"/>
</file>

<file path=customXml/itemProps4.xml><?xml version="1.0" encoding="utf-8"?>
<ds:datastoreItem xmlns:ds="http://schemas.openxmlformats.org/officeDocument/2006/customXml" ds:itemID="{2E6D9E9A-7AAB-4E78-A8C6-3D4F9BA64851}"/>
</file>

<file path=customXml/itemProps5.xml><?xml version="1.0" encoding="utf-8"?>
<ds:datastoreItem xmlns:ds="http://schemas.openxmlformats.org/officeDocument/2006/customXml" ds:itemID="{14389777-ABB3-47D3-BB5D-19ADA64CB338}"/>
</file>

<file path=customXml/itemProps6.xml><?xml version="1.0" encoding="utf-8"?>
<ds:datastoreItem xmlns:ds="http://schemas.openxmlformats.org/officeDocument/2006/customXml" ds:itemID="{E3F202F3-BCCE-4C4B-8D88-FDF5DAB0DDEC}"/>
</file>

<file path=docProps/app.xml><?xml version="1.0" encoding="utf-8"?>
<Properties xmlns="http://schemas.openxmlformats.org/officeDocument/2006/extended-properties" xmlns:vt="http://schemas.openxmlformats.org/officeDocument/2006/docPropsVTypes">
  <Template>Normal</Template>
  <TotalTime>0</TotalTime>
  <Pages>3</Pages>
  <Words>3671</Words>
  <Characters>2093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2025-06-18T06:00:00Z</cp:lastPrinted>
  <dcterms:created xsi:type="dcterms:W3CDTF">2026-04-09T20:08:00Z</dcterms:created>
  <dcterms:modified xsi:type="dcterms:W3CDTF">2026-04-09T20:08:00Z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e75cc060-87df-4c53-9868-618830518542</vt:lpwstr>
  </property>
</Properties>
</file>