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DD493D">
        <w:rPr>
          <w:rFonts w:ascii="Times New Roman" w:hAnsi="Times New Roman"/>
          <w:b/>
          <w:sz w:val="24"/>
          <w:szCs w:val="24"/>
        </w:rPr>
        <w:t>ARŪNO SODONIO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 xml:space="preserve">2021 m. </w:t>
      </w:r>
      <w:r w:rsidR="00DD493D">
        <w:rPr>
          <w:rFonts w:ascii="Times New Roman" w:hAnsi="Times New Roman"/>
          <w:sz w:val="24"/>
          <w:szCs w:val="24"/>
        </w:rPr>
        <w:t>lapkričio</w:t>
      </w:r>
      <w:r w:rsidR="00C703AF">
        <w:rPr>
          <w:rFonts w:ascii="Times New Roman" w:hAnsi="Times New Roman"/>
          <w:sz w:val="24"/>
          <w:szCs w:val="24"/>
        </w:rPr>
        <w:t xml:space="preserve"> 10</w:t>
      </w:r>
      <w:r>
        <w:rPr>
          <w:rFonts w:ascii="Times New Roman" w:hAnsi="Times New Roman"/>
          <w:sz w:val="24"/>
          <w:szCs w:val="24"/>
        </w:rPr>
        <w:t xml:space="preserve"> </w:t>
      </w:r>
      <w:r w:rsidRPr="004D7EB3">
        <w:rPr>
          <w:rFonts w:ascii="Times New Roman" w:hAnsi="Times New Roman"/>
          <w:sz w:val="24"/>
          <w:szCs w:val="24"/>
        </w:rPr>
        <w:t>d.</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1D0891" w:rsidRDefault="001D0891" w:rsidP="00063562">
      <w:pPr>
        <w:pStyle w:val="Betarp"/>
        <w:tabs>
          <w:tab w:val="left" w:pos="1134"/>
        </w:tabs>
        <w:spacing w:line="360" w:lineRule="auto"/>
        <w:ind w:firstLine="851"/>
        <w:jc w:val="both"/>
        <w:rPr>
          <w:rFonts w:ascii="Times New Roman" w:hAnsi="Times New Roman"/>
          <w:sz w:val="24"/>
          <w:szCs w:val="24"/>
        </w:rPr>
      </w:pPr>
    </w:p>
    <w:p w:rsidR="004D13DA" w:rsidRDefault="00576E5E" w:rsidP="00063562">
      <w:pPr>
        <w:pStyle w:val="Betarp"/>
        <w:tabs>
          <w:tab w:val="left" w:pos="1134"/>
        </w:tabs>
        <w:spacing w:line="360" w:lineRule="auto"/>
        <w:ind w:firstLine="851"/>
        <w:jc w:val="both"/>
        <w:rPr>
          <w:rFonts w:ascii="Times New Roman" w:hAnsi="Times New Roman"/>
          <w:sz w:val="24"/>
          <w:szCs w:val="24"/>
        </w:rPr>
      </w:pPr>
      <w:bookmarkStart w:id="0" w:name="_GoBack"/>
      <w:r w:rsidRPr="004D7EB3">
        <w:rPr>
          <w:rFonts w:ascii="Times New Roman" w:hAnsi="Times New Roman"/>
          <w:sz w:val="24"/>
          <w:szCs w:val="24"/>
        </w:rPr>
        <w:t>Lietuvos Respublikos Seimo Peticijų komisij</w:t>
      </w:r>
      <w:r w:rsidR="00C703AF">
        <w:rPr>
          <w:rFonts w:ascii="Times New Roman" w:hAnsi="Times New Roman"/>
          <w:sz w:val="24"/>
          <w:szCs w:val="24"/>
        </w:rPr>
        <w:t>os</w:t>
      </w:r>
      <w:r w:rsidRPr="004D7EB3">
        <w:rPr>
          <w:rFonts w:ascii="Times New Roman" w:hAnsi="Times New Roman"/>
          <w:sz w:val="24"/>
          <w:szCs w:val="24"/>
        </w:rPr>
        <w:t xml:space="preserve"> 2021 m. </w:t>
      </w:r>
      <w:r w:rsidR="00DD493D">
        <w:rPr>
          <w:rFonts w:ascii="Times New Roman" w:hAnsi="Times New Roman"/>
          <w:sz w:val="24"/>
          <w:szCs w:val="24"/>
        </w:rPr>
        <w:t xml:space="preserve">lapkričio </w:t>
      </w:r>
      <w:r w:rsidR="00B81CDD">
        <w:rPr>
          <w:rFonts w:ascii="Times New Roman" w:hAnsi="Times New Roman"/>
          <w:sz w:val="24"/>
          <w:szCs w:val="24"/>
        </w:rPr>
        <w:t xml:space="preserve">10 </w:t>
      </w:r>
      <w:r w:rsidRPr="004D7EB3">
        <w:rPr>
          <w:rFonts w:ascii="Times New Roman" w:hAnsi="Times New Roman"/>
          <w:sz w:val="24"/>
          <w:szCs w:val="24"/>
        </w:rPr>
        <w:t xml:space="preserve">d. posėdyje iš esmės </w:t>
      </w:r>
      <w:r w:rsidR="00C703AF">
        <w:rPr>
          <w:rFonts w:ascii="Times New Roman" w:hAnsi="Times New Roman"/>
          <w:sz w:val="24"/>
          <w:szCs w:val="24"/>
        </w:rPr>
        <w:t>išnagrinėtas</w:t>
      </w:r>
      <w:r w:rsidRPr="004D7EB3">
        <w:rPr>
          <w:rFonts w:ascii="Times New Roman" w:hAnsi="Times New Roman"/>
          <w:sz w:val="24"/>
          <w:szCs w:val="24"/>
        </w:rPr>
        <w:t xml:space="preserve"> </w:t>
      </w:r>
      <w:r w:rsidR="00DD493D">
        <w:rPr>
          <w:rFonts w:ascii="Times New Roman" w:hAnsi="Times New Roman"/>
          <w:sz w:val="24"/>
          <w:szCs w:val="24"/>
        </w:rPr>
        <w:t xml:space="preserve">Arūno </w:t>
      </w:r>
      <w:proofErr w:type="spellStart"/>
      <w:r w:rsidR="00DD493D">
        <w:rPr>
          <w:rFonts w:ascii="Times New Roman" w:hAnsi="Times New Roman"/>
          <w:sz w:val="24"/>
          <w:szCs w:val="24"/>
        </w:rPr>
        <w:t>Sodonio</w:t>
      </w:r>
      <w:proofErr w:type="spellEnd"/>
      <w:r>
        <w:rPr>
          <w:rFonts w:ascii="Times New Roman" w:hAnsi="Times New Roman"/>
          <w:sz w:val="24"/>
          <w:szCs w:val="24"/>
        </w:rPr>
        <w:t xml:space="preserve"> </w:t>
      </w:r>
      <w:r w:rsidRPr="004D7EB3">
        <w:rPr>
          <w:rFonts w:ascii="Times New Roman" w:hAnsi="Times New Roman"/>
          <w:sz w:val="24"/>
          <w:szCs w:val="24"/>
        </w:rPr>
        <w:t>peticijoje</w:t>
      </w:r>
      <w:r>
        <w:rPr>
          <w:rFonts w:ascii="Times New Roman" w:hAnsi="Times New Roman"/>
          <w:sz w:val="24"/>
          <w:szCs w:val="24"/>
        </w:rPr>
        <w:t xml:space="preserve"> </w:t>
      </w:r>
      <w:r w:rsidRPr="00576E5E">
        <w:rPr>
          <w:rFonts w:ascii="Times New Roman" w:hAnsi="Times New Roman"/>
          <w:sz w:val="24"/>
          <w:szCs w:val="24"/>
        </w:rPr>
        <w:t>pateikt</w:t>
      </w:r>
      <w:r w:rsidR="00C703AF">
        <w:rPr>
          <w:rFonts w:ascii="Times New Roman" w:hAnsi="Times New Roman"/>
          <w:sz w:val="24"/>
          <w:szCs w:val="24"/>
        </w:rPr>
        <w:t>as</w:t>
      </w:r>
      <w:r w:rsidRPr="00576E5E">
        <w:rPr>
          <w:rFonts w:ascii="Times New Roman" w:hAnsi="Times New Roman"/>
          <w:sz w:val="24"/>
          <w:szCs w:val="24"/>
        </w:rPr>
        <w:t xml:space="preserve"> </w:t>
      </w:r>
      <w:r>
        <w:rPr>
          <w:rFonts w:ascii="Times New Roman" w:hAnsi="Times New Roman"/>
          <w:sz w:val="24"/>
          <w:szCs w:val="24"/>
        </w:rPr>
        <w:t>pa</w:t>
      </w:r>
      <w:r w:rsidRPr="00576E5E">
        <w:rPr>
          <w:rFonts w:ascii="Times New Roman" w:hAnsi="Times New Roman"/>
          <w:sz w:val="24"/>
          <w:szCs w:val="24"/>
        </w:rPr>
        <w:t>si</w:t>
      </w:r>
      <w:r w:rsidRPr="00576E5E">
        <w:rPr>
          <w:rFonts w:ascii="Times New Roman" w:hAnsi="Times New Roman" w:hint="eastAsia"/>
          <w:sz w:val="24"/>
          <w:szCs w:val="24"/>
        </w:rPr>
        <w:t>ū</w:t>
      </w:r>
      <w:r w:rsidRPr="00576E5E">
        <w:rPr>
          <w:rFonts w:ascii="Times New Roman" w:hAnsi="Times New Roman"/>
          <w:sz w:val="24"/>
          <w:szCs w:val="24"/>
        </w:rPr>
        <w:t>lym</w:t>
      </w:r>
      <w:r w:rsidR="00C703AF">
        <w:rPr>
          <w:rFonts w:ascii="Times New Roman" w:hAnsi="Times New Roman"/>
          <w:sz w:val="24"/>
          <w:szCs w:val="24"/>
        </w:rPr>
        <w:t>as</w:t>
      </w:r>
      <w:r w:rsidR="00063562" w:rsidRPr="00063562">
        <w:rPr>
          <w:rFonts w:ascii="Times New Roman" w:hAnsi="Times New Roman"/>
          <w:sz w:val="24"/>
          <w:szCs w:val="24"/>
        </w:rPr>
        <w:t xml:space="preserve"> </w:t>
      </w:r>
      <w:r w:rsidR="00DD493D" w:rsidRPr="00DD493D">
        <w:rPr>
          <w:rFonts w:ascii="Times New Roman" w:hAnsi="Times New Roman"/>
          <w:sz w:val="24"/>
          <w:szCs w:val="24"/>
        </w:rPr>
        <w:t>pa</w:t>
      </w:r>
      <w:r w:rsidR="00DD493D">
        <w:rPr>
          <w:rFonts w:ascii="Times New Roman" w:hAnsi="Times New Roman"/>
          <w:sz w:val="24"/>
          <w:szCs w:val="24"/>
        </w:rPr>
        <w:t>keisti</w:t>
      </w:r>
      <w:r w:rsidR="00DD493D" w:rsidRPr="00DD493D">
        <w:rPr>
          <w:rFonts w:ascii="Times New Roman" w:hAnsi="Times New Roman"/>
          <w:sz w:val="24"/>
          <w:szCs w:val="24"/>
        </w:rPr>
        <w:t xml:space="preserve"> </w:t>
      </w:r>
      <w:r w:rsidR="00DD493D">
        <w:rPr>
          <w:rFonts w:ascii="Times New Roman" w:hAnsi="Times New Roman"/>
          <w:sz w:val="24"/>
          <w:szCs w:val="24"/>
        </w:rPr>
        <w:t>Lietuvos Respublikos a</w:t>
      </w:r>
      <w:r w:rsidR="00DD493D" w:rsidRPr="00DD493D">
        <w:rPr>
          <w:rFonts w:ascii="Times New Roman" w:hAnsi="Times New Roman"/>
          <w:sz w:val="24"/>
          <w:szCs w:val="24"/>
        </w:rPr>
        <w:t>dvokat</w:t>
      </w:r>
      <w:r w:rsidR="00DD493D" w:rsidRPr="00DD493D">
        <w:rPr>
          <w:rFonts w:ascii="Times New Roman" w:hAnsi="Times New Roman" w:hint="eastAsia"/>
          <w:sz w:val="24"/>
          <w:szCs w:val="24"/>
        </w:rPr>
        <w:t>ū</w:t>
      </w:r>
      <w:r w:rsidR="00DD493D" w:rsidRPr="00DD493D">
        <w:rPr>
          <w:rFonts w:ascii="Times New Roman" w:hAnsi="Times New Roman"/>
          <w:sz w:val="24"/>
          <w:szCs w:val="24"/>
        </w:rPr>
        <w:t xml:space="preserve">ros </w:t>
      </w:r>
      <w:r w:rsidR="00DD493D" w:rsidRPr="00DD493D">
        <w:rPr>
          <w:rFonts w:ascii="Times New Roman" w:hAnsi="Times New Roman" w:hint="eastAsia"/>
          <w:sz w:val="24"/>
          <w:szCs w:val="24"/>
        </w:rPr>
        <w:t>į</w:t>
      </w:r>
      <w:r w:rsidR="00DD493D" w:rsidRPr="00DD493D">
        <w:rPr>
          <w:rFonts w:ascii="Times New Roman" w:hAnsi="Times New Roman"/>
          <w:sz w:val="24"/>
          <w:szCs w:val="24"/>
        </w:rPr>
        <w:t>statymo 44 straipsnio 1 ir 2 punktus ir nustatyti advokato teis</w:t>
      </w:r>
      <w:r w:rsidR="00DD493D" w:rsidRPr="00DD493D">
        <w:rPr>
          <w:rFonts w:ascii="Times New Roman" w:hAnsi="Times New Roman" w:hint="eastAsia"/>
          <w:sz w:val="24"/>
          <w:szCs w:val="24"/>
        </w:rPr>
        <w:t>ė</w:t>
      </w:r>
      <w:r w:rsidR="00DD493D" w:rsidRPr="00DD493D">
        <w:rPr>
          <w:rFonts w:ascii="Times New Roman" w:hAnsi="Times New Roman"/>
          <w:sz w:val="24"/>
          <w:szCs w:val="24"/>
        </w:rPr>
        <w:t>s gauti duomenis ribas, numatant, kad advokatas gali gauti  tik tuos duomenis, kuriuos gauti turi teis</w:t>
      </w:r>
      <w:r w:rsidR="00DD493D" w:rsidRPr="00DD493D">
        <w:rPr>
          <w:rFonts w:ascii="Times New Roman" w:hAnsi="Times New Roman" w:hint="eastAsia"/>
          <w:sz w:val="24"/>
          <w:szCs w:val="24"/>
        </w:rPr>
        <w:t>ę</w:t>
      </w:r>
      <w:r w:rsidR="00DD493D" w:rsidRPr="00DD493D">
        <w:rPr>
          <w:rFonts w:ascii="Times New Roman" w:hAnsi="Times New Roman"/>
          <w:sz w:val="24"/>
          <w:szCs w:val="24"/>
        </w:rPr>
        <w:t xml:space="preserve"> klientas (atstovaujamas</w:t>
      </w:r>
      <w:r w:rsidR="008945C5">
        <w:rPr>
          <w:rFonts w:ascii="Times New Roman" w:hAnsi="Times New Roman"/>
          <w:sz w:val="24"/>
          <w:szCs w:val="24"/>
        </w:rPr>
        <w:t xml:space="preserve"> ar</w:t>
      </w:r>
      <w:r w:rsidR="00DD493D" w:rsidRPr="00DD493D">
        <w:rPr>
          <w:rFonts w:ascii="Times New Roman" w:hAnsi="Times New Roman"/>
          <w:sz w:val="24"/>
          <w:szCs w:val="24"/>
        </w:rPr>
        <w:t xml:space="preserve"> ginamas</w:t>
      </w:r>
      <w:r w:rsidR="008945C5">
        <w:rPr>
          <w:rFonts w:ascii="Times New Roman" w:hAnsi="Times New Roman"/>
          <w:sz w:val="24"/>
          <w:szCs w:val="24"/>
        </w:rPr>
        <w:t xml:space="preserve"> asmuo</w:t>
      </w:r>
      <w:r w:rsidR="00DD493D" w:rsidRPr="00DD493D">
        <w:rPr>
          <w:rFonts w:ascii="Times New Roman" w:hAnsi="Times New Roman"/>
          <w:sz w:val="24"/>
          <w:szCs w:val="24"/>
        </w:rPr>
        <w:t>).</w:t>
      </w:r>
    </w:p>
    <w:p w:rsidR="00DD493D" w:rsidRPr="00B81CDD" w:rsidRDefault="00DD493D" w:rsidP="00DD493D">
      <w:pPr>
        <w:spacing w:line="360" w:lineRule="auto"/>
        <w:ind w:firstLine="851"/>
        <w:jc w:val="both"/>
        <w:rPr>
          <w:rFonts w:ascii="Times New Roman" w:hAnsi="Times New Roman"/>
          <w:sz w:val="24"/>
          <w:szCs w:val="24"/>
        </w:rPr>
      </w:pPr>
      <w:r w:rsidRPr="001D0891">
        <w:rPr>
          <w:rFonts w:ascii="Times New Roman" w:hAnsi="Times New Roman"/>
          <w:i/>
          <w:sz w:val="24"/>
          <w:szCs w:val="24"/>
          <w:u w:val="single"/>
        </w:rPr>
        <w:t>Dėl advokato teisės gauti informaciją</w:t>
      </w:r>
      <w:r w:rsidR="001D0891">
        <w:rPr>
          <w:rFonts w:ascii="Times New Roman" w:hAnsi="Times New Roman"/>
          <w:i/>
          <w:sz w:val="24"/>
          <w:szCs w:val="24"/>
          <w:u w:val="single"/>
        </w:rPr>
        <w:t>.</w:t>
      </w:r>
      <w:r w:rsidR="001D0891">
        <w:rPr>
          <w:rFonts w:ascii="Times New Roman" w:hAnsi="Times New Roman"/>
          <w:i/>
          <w:sz w:val="24"/>
          <w:szCs w:val="24"/>
        </w:rPr>
        <w:t xml:space="preserve"> </w:t>
      </w:r>
      <w:r w:rsidR="00236F81" w:rsidRPr="00B81CDD">
        <w:rPr>
          <w:rFonts w:ascii="Times New Roman" w:hAnsi="Times New Roman"/>
          <w:sz w:val="24"/>
          <w:szCs w:val="24"/>
        </w:rPr>
        <w:t>A</w:t>
      </w:r>
      <w:r w:rsidRPr="00B81CDD">
        <w:rPr>
          <w:rFonts w:ascii="Times New Roman" w:hAnsi="Times New Roman"/>
          <w:sz w:val="24"/>
          <w:szCs w:val="24"/>
        </w:rPr>
        <w:t xml:space="preserve">dvokatūros įstatymo 44 straipsnio 1 punkte numatyta, kad  advokatas, vykdydamas advokato veiklą, turi teisę gauti iš valstybės ir savivaldybių institucijų, taip pat registrų, valstybės informacinių sistemų jų turimą ar tvarkomą ir teisinėms paslaugoms teikti reikalingą informaciją, duomenis (įskaitant specialių kategorijų asmens duomenis), dokumentus, jų nuorašus, o 2 punkte įtvirtinta advokato teisė, vykdant advokato veiklą, savarankiškai rinkti teisinėms paslaugoms teikti reikalingus duomenis, kuriuos advokatas gali gauti nesinaudodamas procesinėmis prievartos priemonėmis, t. y. gauti iš asmenų reikalingus dokumentus ar jų nuorašus, ar kitokią teisinėms paslaugoms teikti reikalingą informaciją. </w:t>
      </w:r>
    </w:p>
    <w:p w:rsidR="00DD493D" w:rsidRPr="00DD493D" w:rsidRDefault="00DD493D" w:rsidP="00DD493D">
      <w:pPr>
        <w:spacing w:line="360" w:lineRule="auto"/>
        <w:ind w:firstLine="851"/>
        <w:jc w:val="both"/>
        <w:rPr>
          <w:rFonts w:ascii="Times New Roman" w:hAnsi="Times New Roman"/>
          <w:sz w:val="24"/>
          <w:szCs w:val="24"/>
        </w:rPr>
      </w:pPr>
      <w:r w:rsidRPr="00DD493D">
        <w:rPr>
          <w:rFonts w:ascii="Times New Roman" w:hAnsi="Times New Roman"/>
          <w:sz w:val="24"/>
          <w:szCs w:val="24"/>
        </w:rPr>
        <w:t xml:space="preserve">Pažymėtina, kad teisinis reguliavimas, nustatantis advokato teisę gauti informaciją (dokumentus ar duomenis), nėra savitikslis – jis numatytas siekiant užtikrinti advokatų galimybę veiksmingai vykdyti savo profesinę veiklą ir, panaudojus visas teisėtas gynybos priemones, užtikrinti asmenų teisę į teisminę gynybą. Kaip pažymėta teismų praktikoje, Advokatūros įstatymo 44 straipsnio 1 punkto nuostata yra skirta sureglamentuoti </w:t>
      </w:r>
      <w:proofErr w:type="spellStart"/>
      <w:r w:rsidRPr="00DD493D">
        <w:rPr>
          <w:rFonts w:ascii="Times New Roman" w:hAnsi="Times New Roman"/>
          <w:sz w:val="24"/>
          <w:szCs w:val="24"/>
        </w:rPr>
        <w:t>betarpiškus</w:t>
      </w:r>
      <w:proofErr w:type="spellEnd"/>
      <w:r w:rsidRPr="00DD493D">
        <w:rPr>
          <w:rFonts w:ascii="Times New Roman" w:hAnsi="Times New Roman"/>
          <w:sz w:val="24"/>
          <w:szCs w:val="24"/>
        </w:rPr>
        <w:t xml:space="preserve"> teisinius santykius tarp specialaus teisine veikla užsiimančio subjekto (advokato) ir kitų institucijų, galinčių pateikti jam šiai veiklai vykdyti būtiną informaciją; advokato interesas gauti informaciją yra išvestinis iš jo pareigos suteikti atstovaujamam asmeniui kokybišką (kvalifikuotą) teisinę pagalbą</w:t>
      </w:r>
      <w:r w:rsidRPr="00DD493D">
        <w:rPr>
          <w:rStyle w:val="Puslapioinaosnuoroda"/>
          <w:rFonts w:ascii="Times New Roman" w:hAnsi="Times New Roman"/>
          <w:sz w:val="24"/>
          <w:szCs w:val="24"/>
        </w:rPr>
        <w:footnoteReference w:id="1"/>
      </w:r>
      <w:r w:rsidRPr="00DD493D">
        <w:rPr>
          <w:rFonts w:ascii="Times New Roman" w:hAnsi="Times New Roman"/>
          <w:sz w:val="24"/>
          <w:szCs w:val="24"/>
        </w:rPr>
        <w:t>.</w:t>
      </w:r>
    </w:p>
    <w:p w:rsidR="00DD493D" w:rsidRPr="00DD493D" w:rsidRDefault="00DD493D" w:rsidP="00DD493D">
      <w:pPr>
        <w:spacing w:line="360" w:lineRule="auto"/>
        <w:ind w:firstLine="851"/>
        <w:jc w:val="both"/>
        <w:rPr>
          <w:rFonts w:ascii="Times New Roman" w:hAnsi="Times New Roman"/>
          <w:sz w:val="24"/>
          <w:szCs w:val="24"/>
        </w:rPr>
      </w:pPr>
      <w:r w:rsidRPr="00DD493D">
        <w:rPr>
          <w:rFonts w:ascii="Times New Roman" w:hAnsi="Times New Roman"/>
          <w:sz w:val="24"/>
          <w:szCs w:val="24"/>
        </w:rPr>
        <w:lastRenderedPageBreak/>
        <w:t>Lietuvos Respublikos Konstitucinio Teismo jurisprudencijoje</w:t>
      </w:r>
      <w:r w:rsidRPr="00DD493D">
        <w:rPr>
          <w:rStyle w:val="Puslapioinaosnuoroda"/>
          <w:rFonts w:ascii="Times New Roman" w:hAnsi="Times New Roman"/>
          <w:sz w:val="24"/>
          <w:szCs w:val="24"/>
        </w:rPr>
        <w:footnoteReference w:id="2"/>
      </w:r>
      <w:r w:rsidRPr="00DD493D">
        <w:rPr>
          <w:rFonts w:ascii="Times New Roman" w:hAnsi="Times New Roman"/>
          <w:sz w:val="24"/>
          <w:szCs w:val="24"/>
        </w:rPr>
        <w:t xml:space="preserve"> pažymėta, kad i</w:t>
      </w:r>
      <w:r w:rsidRPr="00DD493D">
        <w:rPr>
          <w:rFonts w:ascii="Times New Roman" w:hAnsi="Times New Roman"/>
          <w:sz w:val="24"/>
          <w:szCs w:val="24"/>
          <w:lang w:eastAsia="lt-LT"/>
        </w:rPr>
        <w:t xml:space="preserve">š Lietuvos Respublikos Konstitucijos, </w:t>
      </w:r>
      <w:proofErr w:type="spellStart"/>
      <w:r w:rsidRPr="00DD493D">
        <w:rPr>
          <w:rFonts w:ascii="Times New Roman" w:hAnsi="Times New Roman"/>
          <w:i/>
          <w:sz w:val="24"/>
          <w:szCs w:val="24"/>
          <w:lang w:eastAsia="lt-LT"/>
        </w:rPr>
        <w:t>inter</w:t>
      </w:r>
      <w:proofErr w:type="spellEnd"/>
      <w:r w:rsidRPr="00DD493D">
        <w:rPr>
          <w:rFonts w:ascii="Times New Roman" w:hAnsi="Times New Roman"/>
          <w:i/>
          <w:sz w:val="24"/>
          <w:szCs w:val="24"/>
          <w:lang w:eastAsia="lt-LT"/>
        </w:rPr>
        <w:t xml:space="preserve"> alia,</w:t>
      </w:r>
      <w:r w:rsidRPr="00DD493D">
        <w:rPr>
          <w:rFonts w:ascii="Times New Roman" w:hAnsi="Times New Roman"/>
          <w:sz w:val="24"/>
          <w:szCs w:val="24"/>
          <w:lang w:eastAsia="lt-LT"/>
        </w:rPr>
        <w:t xml:space="preserve"> jos 30 straipsnio 1 dalies, 31 straipsnio 6 dalies nuostatų, įstatymų leidėjui kyla pareiga nustatyti teisinį reguliavimą, pagal kurį advokatas galėtų gauti valstybės ir savivaldybių institucijų turimą, šiai asmens teisei įgyvendinti būtiną informaciją. </w:t>
      </w:r>
      <w:r w:rsidRPr="00DD493D">
        <w:rPr>
          <w:rFonts w:ascii="Times New Roman" w:hAnsi="Times New Roman"/>
          <w:sz w:val="24"/>
          <w:szCs w:val="24"/>
        </w:rPr>
        <w:t xml:space="preserve">Advokatas pagal pavedimą atstovaudamas suinteresuotam asmeniui ir atlikdamas veiksmus, reikalingus pavedimui atlikti, gali gauti kopijas tų dokumentų, kurių kopijas gali gauti jo atstovaujamasis asmuo; be to, advokatai, padėdami įgyvendinti asmens teisę į teisminę gynybą, tam tikrais atvejais turi remtis informacija, kurią turi valstybės ir savivaldybių institucijos, </w:t>
      </w:r>
      <w:proofErr w:type="spellStart"/>
      <w:r w:rsidRPr="00DD493D">
        <w:rPr>
          <w:rFonts w:ascii="Times New Roman" w:hAnsi="Times New Roman"/>
          <w:i/>
          <w:sz w:val="24"/>
          <w:szCs w:val="24"/>
        </w:rPr>
        <w:t>inter</w:t>
      </w:r>
      <w:proofErr w:type="spellEnd"/>
      <w:r w:rsidRPr="00DD493D">
        <w:rPr>
          <w:rFonts w:ascii="Times New Roman" w:hAnsi="Times New Roman"/>
          <w:i/>
          <w:sz w:val="24"/>
          <w:szCs w:val="24"/>
        </w:rPr>
        <w:t xml:space="preserve">  alia</w:t>
      </w:r>
      <w:r w:rsidRPr="00DD493D">
        <w:rPr>
          <w:rFonts w:ascii="Times New Roman" w:hAnsi="Times New Roman"/>
          <w:sz w:val="24"/>
          <w:szCs w:val="24"/>
        </w:rPr>
        <w:t>, tokia informacija, kurios negali gauti jo atstovaujamas asmuo, kartu ir advokatas kaip atstovas. Konstitucinis Teismas pažymi, kad, padėdamas asmeniui ginti teises, kurias, sudarydamas sandorius su trečiaisiais asmenimis, pažeidė nesąžiningas skolininkas, ir siekdamas, kad tokie sandoriai būtų pripažinti negaliojančiais</w:t>
      </w:r>
      <w:r w:rsidRPr="00B81CDD">
        <w:rPr>
          <w:rFonts w:ascii="Times New Roman" w:hAnsi="Times New Roman"/>
          <w:sz w:val="24"/>
          <w:szCs w:val="24"/>
        </w:rPr>
        <w:t xml:space="preserve">, advokatas neišvengiamai turi turėti galimybę gauti tam tikrą </w:t>
      </w:r>
      <w:r w:rsidRPr="00C703AF">
        <w:rPr>
          <w:rFonts w:ascii="Times New Roman" w:hAnsi="Times New Roman"/>
          <w:sz w:val="24"/>
          <w:szCs w:val="24"/>
        </w:rPr>
        <w:t xml:space="preserve">būtiną </w:t>
      </w:r>
      <w:r w:rsidRPr="00B81CDD">
        <w:rPr>
          <w:rFonts w:ascii="Times New Roman" w:hAnsi="Times New Roman"/>
          <w:sz w:val="24"/>
          <w:szCs w:val="24"/>
        </w:rPr>
        <w:t xml:space="preserve">informaciją </w:t>
      </w:r>
      <w:r w:rsidRPr="00DD493D">
        <w:rPr>
          <w:rFonts w:ascii="Times New Roman" w:hAnsi="Times New Roman"/>
          <w:sz w:val="24"/>
          <w:szCs w:val="24"/>
        </w:rPr>
        <w:t xml:space="preserve">apie tokius sandorius, </w:t>
      </w:r>
      <w:proofErr w:type="spellStart"/>
      <w:r w:rsidRPr="00DD493D">
        <w:rPr>
          <w:rFonts w:ascii="Times New Roman" w:hAnsi="Times New Roman"/>
          <w:i/>
          <w:sz w:val="24"/>
          <w:szCs w:val="24"/>
        </w:rPr>
        <w:t>inter</w:t>
      </w:r>
      <w:proofErr w:type="spellEnd"/>
      <w:r w:rsidRPr="00DD493D">
        <w:rPr>
          <w:rFonts w:ascii="Times New Roman" w:hAnsi="Times New Roman"/>
          <w:i/>
          <w:sz w:val="24"/>
          <w:szCs w:val="24"/>
        </w:rPr>
        <w:t xml:space="preserve">  alia,</w:t>
      </w:r>
      <w:r w:rsidRPr="00DD493D">
        <w:rPr>
          <w:rFonts w:ascii="Times New Roman" w:hAnsi="Times New Roman"/>
          <w:sz w:val="24"/>
          <w:szCs w:val="24"/>
        </w:rPr>
        <w:t xml:space="preserve">  informaciją apie tokių sandorių atlygintinumą, jų šalis, be kurios apskritai negali būti įgyvendinta teisė kreiptis į teismą. P</w:t>
      </w:r>
      <w:r w:rsidRPr="00DD493D">
        <w:rPr>
          <w:rFonts w:ascii="Times New Roman" w:hAnsi="Times New Roman"/>
          <w:sz w:val="24"/>
          <w:szCs w:val="24"/>
          <w:lang w:eastAsia="lt-LT"/>
        </w:rPr>
        <w:t>agal konstitucinį proporcingumo principą teisės aktais nustatytos ir taikomos priemonės turi būti proporcingos siekiamam tikslui, neriboti asmens teisių labiau negu būtina teisėtam ir visuotinai reikšmingam, konstituciškai pagrįstam tikslui pasiekti.</w:t>
      </w:r>
      <w:r w:rsidRPr="00DD493D">
        <w:rPr>
          <w:rFonts w:ascii="Times New Roman" w:hAnsi="Times New Roman"/>
          <w:sz w:val="24"/>
          <w:szCs w:val="24"/>
        </w:rPr>
        <w:t xml:space="preserve"> </w:t>
      </w:r>
    </w:p>
    <w:p w:rsidR="00DD493D" w:rsidRPr="00DD493D" w:rsidRDefault="00DD493D" w:rsidP="00DD493D">
      <w:pPr>
        <w:spacing w:line="360" w:lineRule="auto"/>
        <w:ind w:firstLine="851"/>
        <w:jc w:val="both"/>
        <w:rPr>
          <w:rFonts w:ascii="Times New Roman" w:hAnsi="Times New Roman"/>
          <w:sz w:val="24"/>
          <w:szCs w:val="24"/>
        </w:rPr>
      </w:pPr>
      <w:r w:rsidRPr="00DD493D">
        <w:rPr>
          <w:rFonts w:ascii="Times New Roman" w:hAnsi="Times New Roman"/>
          <w:sz w:val="24"/>
          <w:szCs w:val="24"/>
        </w:rPr>
        <w:t xml:space="preserve">Taigi, pagal Konstitucinio Teismo išaiškinimą, advokato teisė gauti informaciją (dokumentus ar duomenis) gali būti įgyvendinama prašant pateikti informaciją, kurią gali gauti pats atstovaujamas asmuo (advokato klientas), arba prašant pateikti informaciją, be kurių advokato atstovaujamas asmuo apskritai negalėtų įgyvendinti savo teisės kreiptis į teismą. </w:t>
      </w:r>
    </w:p>
    <w:p w:rsidR="00DD493D" w:rsidRPr="00B81CDD" w:rsidRDefault="00DD493D" w:rsidP="00DD493D">
      <w:pPr>
        <w:spacing w:line="360" w:lineRule="auto"/>
        <w:ind w:firstLine="851"/>
        <w:jc w:val="both"/>
        <w:rPr>
          <w:rFonts w:ascii="Times New Roman" w:hAnsi="Times New Roman"/>
          <w:sz w:val="24"/>
          <w:szCs w:val="24"/>
        </w:rPr>
      </w:pPr>
      <w:r w:rsidRPr="00DD493D">
        <w:rPr>
          <w:rFonts w:ascii="Times New Roman" w:hAnsi="Times New Roman"/>
          <w:sz w:val="24"/>
          <w:szCs w:val="24"/>
        </w:rPr>
        <w:t xml:space="preserve">Taikant Advokatūros įstatymo 44 straipsnio 1 ir 2 dalis praktikoje, taip pat yra laikomasi nuomonės, kad aplinkybė, jog advokatas prašo informacijos ne apie jo atstovaujamą asmenį, nesudaro pagrindo atsisakyti tenkinti advokato prašymą. Šiuo aspektu vertinant prašymo pagrįstumą svarbu nustatyti, </w:t>
      </w:r>
      <w:r w:rsidRPr="00B81CDD">
        <w:rPr>
          <w:rFonts w:ascii="Times New Roman" w:hAnsi="Times New Roman"/>
          <w:sz w:val="24"/>
          <w:szCs w:val="24"/>
        </w:rPr>
        <w:t>ar prašymas yra pagrįstas advokato teikiamomis teisinėmis paslaugomis, t. y. ar prašoma gauti informacija yra būtina advokato veiklai vykdyti ir suteikti klientui kokybiškas teisines paslaugas</w:t>
      </w:r>
      <w:r w:rsidRPr="00B81CDD">
        <w:rPr>
          <w:rStyle w:val="Puslapioinaosnuoroda"/>
          <w:rFonts w:ascii="Times New Roman" w:hAnsi="Times New Roman"/>
          <w:sz w:val="24"/>
          <w:szCs w:val="24"/>
        </w:rPr>
        <w:footnoteReference w:id="3"/>
      </w:r>
      <w:r w:rsidRPr="00B81CDD">
        <w:rPr>
          <w:rFonts w:ascii="Times New Roman" w:hAnsi="Times New Roman"/>
          <w:sz w:val="24"/>
          <w:szCs w:val="24"/>
        </w:rPr>
        <w:t>.</w:t>
      </w:r>
    </w:p>
    <w:p w:rsidR="00DD493D" w:rsidRPr="00DD493D" w:rsidRDefault="00DD493D" w:rsidP="00DD493D">
      <w:pPr>
        <w:spacing w:line="360" w:lineRule="auto"/>
        <w:ind w:firstLine="851"/>
        <w:jc w:val="both"/>
        <w:rPr>
          <w:rFonts w:ascii="Times New Roman" w:hAnsi="Times New Roman"/>
          <w:sz w:val="24"/>
          <w:szCs w:val="24"/>
        </w:rPr>
      </w:pPr>
      <w:r w:rsidRPr="001D0891">
        <w:rPr>
          <w:rFonts w:ascii="Times New Roman" w:hAnsi="Times New Roman"/>
          <w:i/>
          <w:iCs/>
          <w:sz w:val="24"/>
          <w:szCs w:val="24"/>
          <w:u w:val="single"/>
        </w:rPr>
        <w:t>Dėl informacijos advokatui teikimo ribų</w:t>
      </w:r>
      <w:r w:rsidR="001D0891">
        <w:rPr>
          <w:rFonts w:ascii="Times New Roman" w:hAnsi="Times New Roman"/>
          <w:i/>
          <w:iCs/>
          <w:sz w:val="24"/>
          <w:szCs w:val="24"/>
        </w:rPr>
        <w:t xml:space="preserve">. </w:t>
      </w:r>
      <w:r w:rsidRPr="00DD493D">
        <w:rPr>
          <w:rFonts w:ascii="Times New Roman" w:hAnsi="Times New Roman"/>
          <w:sz w:val="24"/>
          <w:szCs w:val="24"/>
          <w:lang w:eastAsia="lt-LT"/>
        </w:rPr>
        <w:t xml:space="preserve">Konstitucinis teismas, be kita ko, pažymėjo, kad </w:t>
      </w:r>
      <w:r w:rsidRPr="00DD493D">
        <w:rPr>
          <w:rFonts w:ascii="Times New Roman" w:hAnsi="Times New Roman"/>
          <w:sz w:val="24"/>
          <w:szCs w:val="24"/>
        </w:rPr>
        <w:t>į</w:t>
      </w:r>
      <w:r w:rsidRPr="00DD493D">
        <w:rPr>
          <w:rFonts w:ascii="Times New Roman" w:hAnsi="Times New Roman"/>
          <w:sz w:val="24"/>
          <w:szCs w:val="24"/>
          <w:lang w:eastAsia="lt-LT"/>
        </w:rPr>
        <w:t xml:space="preserve">statymų leidėjas, </w:t>
      </w:r>
      <w:r w:rsidRPr="00B81CDD">
        <w:rPr>
          <w:rFonts w:ascii="Times New Roman" w:hAnsi="Times New Roman"/>
          <w:sz w:val="24"/>
          <w:szCs w:val="24"/>
          <w:lang w:eastAsia="lt-LT"/>
        </w:rPr>
        <w:t>nustatydamas advokato teisę gauti valstybės ir savivaldybių institucijų turimą informaciją, būtiną asmens teisei į teisminę gynybą veiksmingai įgyvendinti, pagal Konstituciją negali nustatyti tokio teisinio reguliavimo, kuris sudarytų prielaidas pažeisti Konstitucijos saugomas vertybes</w:t>
      </w:r>
      <w:r w:rsidRPr="00DD493D">
        <w:rPr>
          <w:rFonts w:ascii="Times New Roman" w:hAnsi="Times New Roman"/>
          <w:sz w:val="24"/>
          <w:szCs w:val="24"/>
          <w:lang w:eastAsia="lt-LT"/>
        </w:rPr>
        <w:t xml:space="preserve">, </w:t>
      </w:r>
      <w:proofErr w:type="spellStart"/>
      <w:r w:rsidRPr="00DD493D">
        <w:rPr>
          <w:rFonts w:ascii="Times New Roman" w:hAnsi="Times New Roman"/>
          <w:i/>
          <w:sz w:val="24"/>
          <w:szCs w:val="24"/>
          <w:lang w:eastAsia="lt-LT"/>
        </w:rPr>
        <w:t>inter</w:t>
      </w:r>
      <w:proofErr w:type="spellEnd"/>
      <w:r w:rsidRPr="00DD493D">
        <w:rPr>
          <w:rFonts w:ascii="Times New Roman" w:hAnsi="Times New Roman"/>
          <w:i/>
          <w:sz w:val="24"/>
          <w:szCs w:val="24"/>
          <w:lang w:eastAsia="lt-LT"/>
        </w:rPr>
        <w:t xml:space="preserve"> alia,</w:t>
      </w:r>
      <w:r w:rsidRPr="00DD493D">
        <w:rPr>
          <w:rFonts w:ascii="Times New Roman" w:hAnsi="Times New Roman"/>
          <w:sz w:val="24"/>
          <w:szCs w:val="24"/>
          <w:lang w:eastAsia="lt-LT"/>
        </w:rPr>
        <w:t xml:space="preserve"> žmogaus privataus gyvenimo neliečiamumą</w:t>
      </w:r>
      <w:r w:rsidRPr="00DD493D">
        <w:rPr>
          <w:rStyle w:val="Puslapioinaosnuoroda"/>
          <w:rFonts w:ascii="Times New Roman" w:hAnsi="Times New Roman"/>
          <w:sz w:val="24"/>
          <w:szCs w:val="24"/>
          <w:lang w:eastAsia="lt-LT"/>
        </w:rPr>
        <w:footnoteReference w:id="4"/>
      </w:r>
      <w:r w:rsidRPr="00DD493D">
        <w:rPr>
          <w:rFonts w:ascii="Times New Roman" w:hAnsi="Times New Roman"/>
          <w:sz w:val="24"/>
          <w:szCs w:val="24"/>
          <w:lang w:eastAsia="lt-LT"/>
        </w:rPr>
        <w:t>.</w:t>
      </w:r>
      <w:r w:rsidRPr="00DD493D">
        <w:rPr>
          <w:rFonts w:ascii="Times New Roman" w:hAnsi="Times New Roman"/>
          <w:sz w:val="24"/>
          <w:szCs w:val="24"/>
        </w:rPr>
        <w:t xml:space="preserve"> Taigi, nors advokatams suteikta teisė, vykdant advokato veiklą, gauti informaciją, ši teisė nėra absoliuti, neribota ar besąlyginė. </w:t>
      </w:r>
    </w:p>
    <w:p w:rsidR="00DD493D" w:rsidRPr="00DD493D" w:rsidRDefault="00DD493D" w:rsidP="00DD493D">
      <w:pPr>
        <w:spacing w:line="360" w:lineRule="auto"/>
        <w:ind w:firstLine="851"/>
        <w:jc w:val="both"/>
        <w:rPr>
          <w:rFonts w:ascii="Times New Roman" w:hAnsi="Times New Roman"/>
          <w:sz w:val="24"/>
          <w:szCs w:val="24"/>
        </w:rPr>
      </w:pPr>
      <w:r w:rsidRPr="00DD493D">
        <w:rPr>
          <w:rFonts w:ascii="Times New Roman" w:hAnsi="Times New Roman"/>
          <w:sz w:val="24"/>
          <w:szCs w:val="24"/>
        </w:rPr>
        <w:t xml:space="preserve">Vadovaujantis </w:t>
      </w:r>
      <w:r w:rsidR="00236F81">
        <w:rPr>
          <w:rFonts w:ascii="Times New Roman" w:hAnsi="Times New Roman"/>
          <w:sz w:val="24"/>
          <w:szCs w:val="24"/>
        </w:rPr>
        <w:t>A</w:t>
      </w:r>
      <w:r w:rsidRPr="00DD493D">
        <w:rPr>
          <w:rFonts w:ascii="Times New Roman" w:hAnsi="Times New Roman"/>
          <w:sz w:val="24"/>
          <w:szCs w:val="24"/>
        </w:rPr>
        <w:t xml:space="preserve">dvokatūros įstatymo 44 straipsnio 1 ir 2 punktais, advokato kreipimesi </w:t>
      </w:r>
      <w:r w:rsidRPr="00B81CDD">
        <w:rPr>
          <w:rFonts w:ascii="Times New Roman" w:hAnsi="Times New Roman"/>
          <w:sz w:val="24"/>
          <w:szCs w:val="24"/>
        </w:rPr>
        <w:t>turi būti pateikti duomenys, įrodantys prašomų pateikti dokumentų ar jų nuorašų ryšį su teisinių paslaugų teikimu</w:t>
      </w:r>
      <w:r w:rsidRPr="00DD493D">
        <w:rPr>
          <w:rStyle w:val="Puslapioinaosnuoroda"/>
          <w:rFonts w:ascii="Times New Roman" w:hAnsi="Times New Roman"/>
          <w:i/>
          <w:sz w:val="24"/>
          <w:szCs w:val="24"/>
        </w:rPr>
        <w:footnoteReference w:id="5"/>
      </w:r>
      <w:r w:rsidRPr="00DD493D">
        <w:rPr>
          <w:rFonts w:ascii="Times New Roman" w:hAnsi="Times New Roman"/>
          <w:i/>
          <w:sz w:val="24"/>
          <w:szCs w:val="24"/>
        </w:rPr>
        <w:t>.</w:t>
      </w:r>
      <w:r w:rsidRPr="00DD493D">
        <w:rPr>
          <w:rFonts w:ascii="Times New Roman" w:hAnsi="Times New Roman"/>
          <w:iCs/>
          <w:sz w:val="24"/>
          <w:szCs w:val="24"/>
        </w:rPr>
        <w:t xml:space="preserve"> </w:t>
      </w:r>
      <w:r w:rsidRPr="00DD493D">
        <w:rPr>
          <w:rFonts w:ascii="Times New Roman" w:hAnsi="Times New Roman"/>
          <w:sz w:val="24"/>
          <w:szCs w:val="24"/>
        </w:rPr>
        <w:t>Advokato teisės gauti informaciją įgyvendinimas, kaip ir kitų asmenų teisių, yra siejamas su tam tikromis pareigomis laikytis tokių teisių įgyvendinimą reglamentuojančių įstatymų. Informacijos advokatui teikimas neturi pažeisti kitų teisės aktų reikalavimų, pavyzdžiui, numatančių įslaptintos informacijos, asmens duomenų apsaugą. Kaip nurodoma teismų praktikoje, naudojantis minėta advokato teise turi būti paisoma asmens duomenų tvarkymo kriterijų, proporcingumo principų bei visuomet turi būti pagrįstas ir aiškus renkamos informacijos panaudojimo tikslas</w:t>
      </w:r>
      <w:r w:rsidRPr="00DD493D">
        <w:rPr>
          <w:rStyle w:val="Puslapioinaosnuoroda"/>
          <w:rFonts w:ascii="Times New Roman" w:hAnsi="Times New Roman"/>
          <w:sz w:val="24"/>
          <w:szCs w:val="24"/>
        </w:rPr>
        <w:footnoteReference w:id="6"/>
      </w:r>
      <w:r w:rsidRPr="00DD493D">
        <w:rPr>
          <w:rFonts w:ascii="Times New Roman" w:hAnsi="Times New Roman"/>
          <w:sz w:val="24"/>
          <w:szCs w:val="24"/>
        </w:rPr>
        <w:t xml:space="preserve">. Advokato prašyme suteikti asmens duomenis be informacijos, įrodančios prašomų pateikti dokumentų ar jų nuorašų ryšį su teikiamų paslaugų teikimu, advokatas turi nurodyti </w:t>
      </w:r>
      <w:r w:rsidRPr="00B81CDD">
        <w:rPr>
          <w:rFonts w:ascii="Times New Roman" w:hAnsi="Times New Roman"/>
          <w:sz w:val="24"/>
          <w:szCs w:val="24"/>
        </w:rPr>
        <w:t>asmens duomenų naudojimo tikslą, teikimo bei gavimo teisinį pagrindą ir prašomų pateikti asmens duomenų apimtį</w:t>
      </w:r>
      <w:r w:rsidRPr="00DD493D">
        <w:rPr>
          <w:rStyle w:val="Puslapioinaosnuoroda"/>
          <w:rFonts w:ascii="Times New Roman" w:hAnsi="Times New Roman"/>
          <w:i/>
          <w:sz w:val="24"/>
          <w:szCs w:val="24"/>
        </w:rPr>
        <w:footnoteReference w:id="7"/>
      </w:r>
      <w:r w:rsidRPr="00DD493D">
        <w:rPr>
          <w:rFonts w:ascii="Times New Roman" w:hAnsi="Times New Roman"/>
          <w:i/>
          <w:sz w:val="24"/>
          <w:szCs w:val="24"/>
        </w:rPr>
        <w:t>.</w:t>
      </w:r>
      <w:r w:rsidRPr="00DD493D">
        <w:rPr>
          <w:rFonts w:ascii="Times New Roman" w:hAnsi="Times New Roman"/>
          <w:sz w:val="24"/>
          <w:szCs w:val="24"/>
        </w:rPr>
        <w:t xml:space="preserve"> Advokatui, kuris nepagrindžia savo prašymo dėl informacijos (duomenų, dokumentų) teikimo, duomenis, remiantis teisiniu reguliavimu (be kita ko, Advokatūros įstatymo 44 straipsnio 1 dalimi), atsisakoma pateikti</w:t>
      </w:r>
      <w:r w:rsidRPr="00DD493D">
        <w:rPr>
          <w:rStyle w:val="Puslapioinaosnuoroda"/>
          <w:rFonts w:ascii="Times New Roman" w:hAnsi="Times New Roman"/>
          <w:sz w:val="24"/>
          <w:szCs w:val="24"/>
        </w:rPr>
        <w:footnoteReference w:id="8"/>
      </w:r>
      <w:r w:rsidRPr="00DD493D">
        <w:rPr>
          <w:rFonts w:ascii="Times New Roman" w:hAnsi="Times New Roman"/>
          <w:sz w:val="24"/>
          <w:szCs w:val="24"/>
        </w:rPr>
        <w:t xml:space="preserve">. </w:t>
      </w:r>
    </w:p>
    <w:p w:rsidR="00DD493D" w:rsidRPr="00DD493D" w:rsidRDefault="004819E5" w:rsidP="00DD493D">
      <w:pPr>
        <w:spacing w:line="360" w:lineRule="auto"/>
        <w:ind w:firstLine="851"/>
        <w:jc w:val="both"/>
        <w:rPr>
          <w:rFonts w:ascii="Times New Roman" w:hAnsi="Times New Roman"/>
          <w:sz w:val="24"/>
          <w:szCs w:val="24"/>
        </w:rPr>
      </w:pPr>
      <w:r>
        <w:rPr>
          <w:rFonts w:ascii="Times New Roman" w:hAnsi="Times New Roman"/>
          <w:sz w:val="24"/>
          <w:szCs w:val="24"/>
        </w:rPr>
        <w:t>Taigi, s</w:t>
      </w:r>
      <w:r w:rsidR="00DD493D" w:rsidRPr="00DD493D">
        <w:rPr>
          <w:rFonts w:ascii="Times New Roman" w:hAnsi="Times New Roman"/>
          <w:sz w:val="24"/>
          <w:szCs w:val="24"/>
        </w:rPr>
        <w:t xml:space="preserve">istemiškai vertinant teisinį reguliavimą ir jo taikymo praktiką, nėra teisinio pagrindo Advokatūros įstatymo 44 straipsnio 1 ir 2 punktus papildyti nuostatomis, ribojančiomis advokato teisę gauti informaciją.   </w:t>
      </w:r>
    </w:p>
    <w:p w:rsidR="00C61088" w:rsidRDefault="008B00C5" w:rsidP="00DD493D">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Seimo Peticijų komisija, atsižvelgusi į Lietuvos Respublikos teisingumo ministerijos nuomon</w:t>
      </w:r>
      <w:r w:rsidR="009D44CA">
        <w:rPr>
          <w:rFonts w:ascii="Times New Roman" w:hAnsi="Times New Roman"/>
          <w:sz w:val="24"/>
          <w:szCs w:val="24"/>
          <w:lang w:eastAsia="ar-SA"/>
        </w:rPr>
        <w:t>ę</w:t>
      </w:r>
      <w:r w:rsidRPr="00DD493D">
        <w:rPr>
          <w:rFonts w:ascii="Times New Roman" w:hAnsi="Times New Roman"/>
          <w:sz w:val="24"/>
          <w:szCs w:val="24"/>
          <w:lang w:eastAsia="ar-SA"/>
        </w:rPr>
        <w:t xml:space="preserve"> ir dėl išvadoje išdėstytų motyvų, 2021 m. </w:t>
      </w:r>
      <w:r w:rsidR="009D44CA">
        <w:rPr>
          <w:rFonts w:ascii="Times New Roman" w:hAnsi="Times New Roman"/>
          <w:sz w:val="24"/>
          <w:szCs w:val="24"/>
          <w:lang w:eastAsia="ar-SA"/>
        </w:rPr>
        <w:t>lapkričio 10</w:t>
      </w:r>
      <w:r w:rsidR="00135346" w:rsidRPr="00DD493D">
        <w:rPr>
          <w:rFonts w:ascii="Times New Roman" w:hAnsi="Times New Roman"/>
          <w:sz w:val="24"/>
          <w:szCs w:val="24"/>
          <w:lang w:eastAsia="ar-SA"/>
        </w:rPr>
        <w:t xml:space="preserve"> </w:t>
      </w:r>
      <w:r w:rsidRPr="00DD493D">
        <w:rPr>
          <w:rFonts w:ascii="Times New Roman" w:hAnsi="Times New Roman"/>
          <w:sz w:val="24"/>
          <w:szCs w:val="24"/>
          <w:lang w:eastAsia="ar-SA"/>
        </w:rPr>
        <w:t xml:space="preserve">d. posėdyje priėmė sprendimą atmesti </w:t>
      </w:r>
      <w:r w:rsidR="009D44CA" w:rsidRPr="009D44CA">
        <w:rPr>
          <w:rFonts w:ascii="Times New Roman" w:hAnsi="Times New Roman"/>
          <w:sz w:val="24"/>
          <w:szCs w:val="24"/>
          <w:lang w:eastAsia="ar-SA"/>
        </w:rPr>
        <w:t>A</w:t>
      </w:r>
      <w:r w:rsidR="009D44CA">
        <w:rPr>
          <w:rFonts w:ascii="Times New Roman" w:hAnsi="Times New Roman"/>
          <w:sz w:val="24"/>
          <w:szCs w:val="24"/>
          <w:lang w:eastAsia="ar-SA"/>
        </w:rPr>
        <w:t>.</w:t>
      </w:r>
      <w:r w:rsidR="009D44CA" w:rsidRPr="009D44CA">
        <w:rPr>
          <w:rFonts w:ascii="Times New Roman" w:hAnsi="Times New Roman"/>
          <w:sz w:val="24"/>
          <w:szCs w:val="24"/>
          <w:lang w:eastAsia="ar-SA"/>
        </w:rPr>
        <w:t xml:space="preserve"> </w:t>
      </w:r>
      <w:proofErr w:type="spellStart"/>
      <w:r w:rsidR="009D44CA" w:rsidRPr="009D44CA">
        <w:rPr>
          <w:rFonts w:ascii="Times New Roman" w:hAnsi="Times New Roman"/>
          <w:sz w:val="24"/>
          <w:szCs w:val="24"/>
          <w:lang w:eastAsia="ar-SA"/>
        </w:rPr>
        <w:t>Sodonio</w:t>
      </w:r>
      <w:proofErr w:type="spellEnd"/>
      <w:r w:rsidR="009D44CA" w:rsidRPr="009D44CA">
        <w:rPr>
          <w:rFonts w:ascii="Times New Roman" w:hAnsi="Times New Roman"/>
          <w:sz w:val="24"/>
          <w:szCs w:val="24"/>
          <w:lang w:eastAsia="ar-SA"/>
        </w:rPr>
        <w:t xml:space="preserve"> peticijoje pateikt</w:t>
      </w:r>
      <w:r w:rsidR="009D44CA" w:rsidRPr="009D44CA">
        <w:rPr>
          <w:rFonts w:ascii="Times New Roman" w:hAnsi="Times New Roman" w:hint="eastAsia"/>
          <w:sz w:val="24"/>
          <w:szCs w:val="24"/>
          <w:lang w:eastAsia="ar-SA"/>
        </w:rPr>
        <w:t>ą</w:t>
      </w:r>
      <w:r w:rsidR="009D44CA" w:rsidRPr="009D44CA">
        <w:rPr>
          <w:rFonts w:ascii="Times New Roman" w:hAnsi="Times New Roman"/>
          <w:sz w:val="24"/>
          <w:szCs w:val="24"/>
          <w:lang w:eastAsia="ar-SA"/>
        </w:rPr>
        <w:t xml:space="preserve"> pasi</w:t>
      </w:r>
      <w:r w:rsidR="009D44CA" w:rsidRPr="009D44CA">
        <w:rPr>
          <w:rFonts w:ascii="Times New Roman" w:hAnsi="Times New Roman" w:hint="eastAsia"/>
          <w:sz w:val="24"/>
          <w:szCs w:val="24"/>
          <w:lang w:eastAsia="ar-SA"/>
        </w:rPr>
        <w:t>ū</w:t>
      </w:r>
      <w:r w:rsidR="009D44CA" w:rsidRPr="009D44CA">
        <w:rPr>
          <w:rFonts w:ascii="Times New Roman" w:hAnsi="Times New Roman"/>
          <w:sz w:val="24"/>
          <w:szCs w:val="24"/>
          <w:lang w:eastAsia="ar-SA"/>
        </w:rPr>
        <w:t>lym</w:t>
      </w:r>
      <w:r w:rsidR="009D44CA" w:rsidRPr="009D44CA">
        <w:rPr>
          <w:rFonts w:ascii="Times New Roman" w:hAnsi="Times New Roman" w:hint="eastAsia"/>
          <w:sz w:val="24"/>
          <w:szCs w:val="24"/>
          <w:lang w:eastAsia="ar-SA"/>
        </w:rPr>
        <w:t>ą</w:t>
      </w:r>
      <w:r w:rsidR="009D44CA" w:rsidRPr="009D44CA">
        <w:rPr>
          <w:rFonts w:ascii="Times New Roman" w:hAnsi="Times New Roman"/>
          <w:sz w:val="24"/>
          <w:szCs w:val="24"/>
          <w:lang w:eastAsia="ar-SA"/>
        </w:rPr>
        <w:t xml:space="preserve"> </w:t>
      </w:r>
      <w:r w:rsidR="00C61088" w:rsidRPr="00C61088">
        <w:rPr>
          <w:rFonts w:ascii="Times New Roman" w:hAnsi="Times New Roman"/>
          <w:sz w:val="24"/>
          <w:szCs w:val="24"/>
          <w:lang w:eastAsia="ar-SA"/>
        </w:rPr>
        <w:t xml:space="preserve">papildyti </w:t>
      </w:r>
      <w:r w:rsidR="00C61088">
        <w:rPr>
          <w:rFonts w:ascii="Times New Roman" w:hAnsi="Times New Roman"/>
          <w:sz w:val="24"/>
          <w:szCs w:val="24"/>
          <w:lang w:eastAsia="ar-SA"/>
        </w:rPr>
        <w:t>A</w:t>
      </w:r>
      <w:r w:rsidR="00C61088" w:rsidRPr="00C61088">
        <w:rPr>
          <w:rFonts w:ascii="Times New Roman" w:hAnsi="Times New Roman"/>
          <w:sz w:val="24"/>
          <w:szCs w:val="24"/>
          <w:lang w:eastAsia="ar-SA"/>
        </w:rPr>
        <w:t>dvokat</w:t>
      </w:r>
      <w:r w:rsidR="00C61088" w:rsidRPr="00C61088">
        <w:rPr>
          <w:rFonts w:ascii="Times New Roman" w:hAnsi="Times New Roman" w:hint="eastAsia"/>
          <w:sz w:val="24"/>
          <w:szCs w:val="24"/>
          <w:lang w:eastAsia="ar-SA"/>
        </w:rPr>
        <w:t>ū</w:t>
      </w:r>
      <w:r w:rsidR="00C61088" w:rsidRPr="00C61088">
        <w:rPr>
          <w:rFonts w:ascii="Times New Roman" w:hAnsi="Times New Roman"/>
          <w:sz w:val="24"/>
          <w:szCs w:val="24"/>
          <w:lang w:eastAsia="ar-SA"/>
        </w:rPr>
        <w:t xml:space="preserve">ros </w:t>
      </w:r>
      <w:r w:rsidR="00C61088" w:rsidRPr="00C61088">
        <w:rPr>
          <w:rFonts w:ascii="Times New Roman" w:hAnsi="Times New Roman" w:hint="eastAsia"/>
          <w:sz w:val="24"/>
          <w:szCs w:val="24"/>
          <w:lang w:eastAsia="ar-SA"/>
        </w:rPr>
        <w:t>į</w:t>
      </w:r>
      <w:r w:rsidR="00C61088" w:rsidRPr="00C61088">
        <w:rPr>
          <w:rFonts w:ascii="Times New Roman" w:hAnsi="Times New Roman"/>
          <w:sz w:val="24"/>
          <w:szCs w:val="24"/>
          <w:lang w:eastAsia="ar-SA"/>
        </w:rPr>
        <w:t>statymo 44 straipsnio 1 ir 2 punktus nuostatomis, ribojan</w:t>
      </w:r>
      <w:r w:rsidR="00C61088" w:rsidRPr="00C61088">
        <w:rPr>
          <w:rFonts w:ascii="Times New Roman" w:hAnsi="Times New Roman" w:hint="eastAsia"/>
          <w:sz w:val="24"/>
          <w:szCs w:val="24"/>
          <w:lang w:eastAsia="ar-SA"/>
        </w:rPr>
        <w:t>č</w:t>
      </w:r>
      <w:r w:rsidR="00C61088" w:rsidRPr="00C61088">
        <w:rPr>
          <w:rFonts w:ascii="Times New Roman" w:hAnsi="Times New Roman"/>
          <w:sz w:val="24"/>
          <w:szCs w:val="24"/>
          <w:lang w:eastAsia="ar-SA"/>
        </w:rPr>
        <w:t>iomis advokato teis</w:t>
      </w:r>
      <w:r w:rsidR="00C61088" w:rsidRPr="00C61088">
        <w:rPr>
          <w:rFonts w:ascii="Times New Roman" w:hAnsi="Times New Roman" w:hint="eastAsia"/>
          <w:sz w:val="24"/>
          <w:szCs w:val="24"/>
          <w:lang w:eastAsia="ar-SA"/>
        </w:rPr>
        <w:t>ę</w:t>
      </w:r>
      <w:r w:rsidR="00C61088" w:rsidRPr="00C61088">
        <w:rPr>
          <w:rFonts w:ascii="Times New Roman" w:hAnsi="Times New Roman"/>
          <w:sz w:val="24"/>
          <w:szCs w:val="24"/>
          <w:lang w:eastAsia="ar-SA"/>
        </w:rPr>
        <w:t xml:space="preserve"> gauti informacij</w:t>
      </w:r>
      <w:r w:rsidR="00C61088" w:rsidRPr="00C61088">
        <w:rPr>
          <w:rFonts w:ascii="Times New Roman" w:hAnsi="Times New Roman" w:hint="eastAsia"/>
          <w:sz w:val="24"/>
          <w:szCs w:val="24"/>
          <w:lang w:eastAsia="ar-SA"/>
        </w:rPr>
        <w:t>ą</w:t>
      </w:r>
      <w:r w:rsidR="00C61088" w:rsidRPr="00C61088">
        <w:rPr>
          <w:rFonts w:ascii="Times New Roman" w:hAnsi="Times New Roman"/>
          <w:sz w:val="24"/>
          <w:szCs w:val="24"/>
          <w:lang w:eastAsia="ar-SA"/>
        </w:rPr>
        <w:t>, – nustatyti, kad advokatas gali gauti tik tuos duomenis, kuriuos gauti turi teis</w:t>
      </w:r>
      <w:r w:rsidR="00C61088" w:rsidRPr="00C61088">
        <w:rPr>
          <w:rFonts w:ascii="Times New Roman" w:hAnsi="Times New Roman" w:hint="eastAsia"/>
          <w:sz w:val="24"/>
          <w:szCs w:val="24"/>
          <w:lang w:eastAsia="ar-SA"/>
        </w:rPr>
        <w:t>ę</w:t>
      </w:r>
      <w:r w:rsidR="00C61088" w:rsidRPr="00C61088">
        <w:rPr>
          <w:rFonts w:ascii="Times New Roman" w:hAnsi="Times New Roman"/>
          <w:sz w:val="24"/>
          <w:szCs w:val="24"/>
          <w:lang w:eastAsia="ar-SA"/>
        </w:rPr>
        <w:t xml:space="preserve"> klientas (atstovaujamas ar ginamas asmuo).   </w:t>
      </w:r>
    </w:p>
    <w:bookmarkEnd w:id="0"/>
    <w:p w:rsidR="008B00C5" w:rsidRPr="00DD493D" w:rsidRDefault="008B00C5" w:rsidP="00DD493D">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9D44CA">
        <w:rPr>
          <w:rFonts w:ascii="Times New Roman" w:hAnsi="Times New Roman"/>
          <w:sz w:val="24"/>
          <w:szCs w:val="24"/>
          <w:lang w:eastAsia="ar-SA"/>
        </w:rPr>
        <w:t xml:space="preserve">A. </w:t>
      </w:r>
      <w:proofErr w:type="spellStart"/>
      <w:r w:rsidR="009D44CA">
        <w:rPr>
          <w:rFonts w:ascii="Times New Roman" w:hAnsi="Times New Roman"/>
          <w:sz w:val="24"/>
          <w:szCs w:val="24"/>
          <w:lang w:eastAsia="ar-SA"/>
        </w:rPr>
        <w:t>Sodonio</w:t>
      </w:r>
      <w:proofErr w:type="spellEnd"/>
      <w:r w:rsidRPr="00DD493D">
        <w:rPr>
          <w:rFonts w:ascii="Times New Roman" w:hAnsi="Times New Roman"/>
          <w:sz w:val="24"/>
          <w:szCs w:val="24"/>
          <w:lang w:eastAsia="ar-SA"/>
        </w:rPr>
        <w:t xml:space="preserve"> peticijoje pateikt</w:t>
      </w:r>
      <w:r w:rsidR="009D44CA">
        <w:rPr>
          <w:rFonts w:ascii="Times New Roman" w:hAnsi="Times New Roman"/>
          <w:sz w:val="24"/>
          <w:szCs w:val="24"/>
          <w:lang w:eastAsia="ar-SA"/>
        </w:rPr>
        <w:t>o</w:t>
      </w:r>
      <w:r w:rsidRPr="00DD493D">
        <w:rPr>
          <w:rFonts w:ascii="Times New Roman" w:hAnsi="Times New Roman"/>
          <w:sz w:val="24"/>
          <w:szCs w:val="24"/>
          <w:lang w:eastAsia="ar-SA"/>
        </w:rPr>
        <w:t xml:space="preserve"> siūlym</w:t>
      </w:r>
      <w:r w:rsidR="009D44CA">
        <w:rPr>
          <w:rFonts w:ascii="Times New Roman" w:hAnsi="Times New Roman"/>
          <w:sz w:val="24"/>
          <w:szCs w:val="24"/>
          <w:lang w:eastAsia="ar-SA"/>
        </w:rPr>
        <w:t>o</w:t>
      </w:r>
      <w:r w:rsidRPr="00DD493D">
        <w:rPr>
          <w:rFonts w:ascii="Times New Roman" w:hAnsi="Times New Roman"/>
          <w:sz w:val="24"/>
          <w:szCs w:val="24"/>
          <w:lang w:eastAsia="ar-SA"/>
        </w:rPr>
        <w:t xml:space="preserve"> atmetimo teikiama Seimui, taip pat siūloma įtraukti į Seimo rudens sesijos darbotvarkę Seimo nutarimo „Dėl Lietuvos Respublikos Seimo Peticijų komisijos išvados dėl </w:t>
      </w:r>
      <w:r w:rsidR="009D44CA">
        <w:rPr>
          <w:rFonts w:ascii="Times New Roman" w:hAnsi="Times New Roman"/>
          <w:sz w:val="24"/>
          <w:szCs w:val="24"/>
          <w:lang w:eastAsia="ar-SA"/>
        </w:rPr>
        <w:t xml:space="preserve">Arūno </w:t>
      </w:r>
      <w:proofErr w:type="spellStart"/>
      <w:r w:rsidR="009D44CA">
        <w:rPr>
          <w:rFonts w:ascii="Times New Roman" w:hAnsi="Times New Roman"/>
          <w:sz w:val="24"/>
          <w:szCs w:val="24"/>
          <w:lang w:eastAsia="ar-SA"/>
        </w:rPr>
        <w:t>Sodonio</w:t>
      </w:r>
      <w:proofErr w:type="spellEnd"/>
      <w:r w:rsidRPr="00DD493D">
        <w:rPr>
          <w:rFonts w:ascii="Times New Roman" w:hAnsi="Times New Roman"/>
          <w:sz w:val="24"/>
          <w:szCs w:val="24"/>
          <w:lang w:eastAsia="ar-SA"/>
        </w:rPr>
        <w:t xml:space="preserve"> peticijos“ projektą.</w:t>
      </w:r>
    </w:p>
    <w:p w:rsidR="00135346" w:rsidRPr="00DD493D" w:rsidRDefault="00135346" w:rsidP="00DD493D">
      <w:pPr>
        <w:pStyle w:val="Betarp"/>
        <w:tabs>
          <w:tab w:val="left" w:pos="1134"/>
        </w:tabs>
        <w:spacing w:line="360" w:lineRule="auto"/>
        <w:ind w:firstLine="851"/>
        <w:jc w:val="both"/>
        <w:rPr>
          <w:rFonts w:ascii="Times New Roman" w:hAnsi="Times New Roman"/>
          <w:sz w:val="24"/>
          <w:szCs w:val="24"/>
          <w:lang w:eastAsia="ar-SA"/>
        </w:rPr>
      </w:pPr>
    </w:p>
    <w:p w:rsidR="00135346"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t>Edmundas Pupinis</w:t>
      </w: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Default="00135346"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FD59C1" w:rsidRDefault="00FD59C1" w:rsidP="00135346">
      <w:pPr>
        <w:pStyle w:val="Betarp"/>
        <w:tabs>
          <w:tab w:val="left" w:pos="1134"/>
        </w:tabs>
        <w:spacing w:line="360" w:lineRule="auto"/>
        <w:jc w:val="both"/>
        <w:rPr>
          <w:rFonts w:ascii="Times New Roman" w:hAnsi="Times New Roman"/>
          <w:sz w:val="24"/>
          <w:szCs w:val="24"/>
          <w:lang w:eastAsia="ar-SA"/>
        </w:rPr>
      </w:pPr>
    </w:p>
    <w:p w:rsidR="004D13DA"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Rasa Grici</w:t>
      </w:r>
      <w:r w:rsidRPr="00135346">
        <w:rPr>
          <w:rFonts w:ascii="Times New Roman" w:hAnsi="Times New Roman" w:hint="eastAsia"/>
          <w:sz w:val="24"/>
          <w:szCs w:val="24"/>
          <w:lang w:eastAsia="ar-SA"/>
        </w:rPr>
        <w:t>ū</w:t>
      </w:r>
      <w:r w:rsidRPr="00135346">
        <w:rPr>
          <w:rFonts w:ascii="Times New Roman" w:hAnsi="Times New Roman"/>
          <w:sz w:val="24"/>
          <w:szCs w:val="24"/>
          <w:lang w:eastAsia="ar-SA"/>
        </w:rPr>
        <w:t>t</w:t>
      </w:r>
      <w:r w:rsidRPr="00135346">
        <w:rPr>
          <w:rFonts w:ascii="Times New Roman" w:hAnsi="Times New Roman" w:hint="eastAsia"/>
          <w:sz w:val="24"/>
          <w:szCs w:val="24"/>
          <w:lang w:eastAsia="ar-SA"/>
        </w:rPr>
        <w:t>ė</w:t>
      </w:r>
      <w:r w:rsidRPr="00135346">
        <w:rPr>
          <w:rFonts w:ascii="Times New Roman" w:hAnsi="Times New Roman"/>
          <w:sz w:val="24"/>
          <w:szCs w:val="24"/>
          <w:lang w:eastAsia="ar-SA"/>
        </w:rPr>
        <w:t>, tel. (8 5)  239 6817, el. p. rasa.griciute@lrs.lt</w:t>
      </w:r>
    </w:p>
    <w:p w:rsidR="003F5F33" w:rsidRDefault="003F5F33" w:rsidP="004D13DA">
      <w:pPr>
        <w:spacing w:line="360" w:lineRule="auto"/>
        <w:ind w:firstLine="851"/>
        <w:jc w:val="both"/>
        <w:rPr>
          <w:rFonts w:ascii="Times New Roman" w:hAnsi="Times New Roman"/>
          <w:sz w:val="24"/>
          <w:szCs w:val="24"/>
        </w:rPr>
      </w:pPr>
    </w:p>
    <w:sectPr w:rsidR="003F5F33" w:rsidSect="00A618F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DD493D" w:rsidRPr="00BA0010" w:rsidRDefault="00DD493D" w:rsidP="00DD493D">
      <w:pPr>
        <w:pStyle w:val="Puslapioinaostekstas"/>
        <w:jc w:val="both"/>
        <w:rPr>
          <w:lang w:val="lt-LT"/>
        </w:rPr>
      </w:pPr>
      <w:r w:rsidRPr="00BA0010">
        <w:rPr>
          <w:rStyle w:val="Puslapioinaosnuoroda"/>
          <w:lang w:val="lt-LT"/>
        </w:rPr>
        <w:footnoteRef/>
      </w:r>
      <w:r w:rsidRPr="00BA0010">
        <w:rPr>
          <w:lang w:val="lt-LT"/>
        </w:rPr>
        <w:t xml:space="preserve"> Pavyzdžiui, Lietuvos vyriausiojo administracinio teismo 2012 m. lapkričio 5 d. nutartis administracinėje byloje Nr. A-442-2655-12</w:t>
      </w:r>
      <w:r>
        <w:rPr>
          <w:lang w:val="lt-LT"/>
        </w:rPr>
        <w:t xml:space="preserve">, </w:t>
      </w:r>
      <w:r w:rsidRPr="00526AE2">
        <w:rPr>
          <w:lang w:val="lt-LT"/>
        </w:rPr>
        <w:t>Vilniaus apygardos administracinio teismo 2019 m. vasario 4 d. sprendimas administracinėje byloje Nr. eI-332-643/2019</w:t>
      </w:r>
      <w:r w:rsidRPr="00BA0010">
        <w:rPr>
          <w:lang w:val="lt-LT"/>
        </w:rPr>
        <w:t>.</w:t>
      </w:r>
    </w:p>
  </w:footnote>
  <w:footnote w:id="2">
    <w:p w:rsidR="00DD493D" w:rsidRPr="005F2FFF" w:rsidRDefault="00DD493D" w:rsidP="00DD493D">
      <w:pPr>
        <w:pStyle w:val="Puslapioinaostekstas"/>
        <w:jc w:val="both"/>
        <w:rPr>
          <w:lang w:val="lt-LT"/>
        </w:rPr>
      </w:pPr>
      <w:r w:rsidRPr="0025568F">
        <w:rPr>
          <w:rStyle w:val="Puslapioinaosnuoroda"/>
          <w:lang w:val="lt-LT"/>
        </w:rPr>
        <w:footnoteRef/>
      </w:r>
      <w:r w:rsidRPr="0025568F">
        <w:rPr>
          <w:lang w:val="lt-LT"/>
        </w:rPr>
        <w:t xml:space="preserve"> Lietuvos Respublikos Konstitucinio</w:t>
      </w:r>
      <w:r w:rsidRPr="00A748E3">
        <w:rPr>
          <w:lang w:val="lt-LT"/>
        </w:rPr>
        <w:t xml:space="preserve"> Teismo 2011 m. birželio 9 d. nutarimas byloje Nr. 12</w:t>
      </w:r>
      <w:r w:rsidRPr="00A748E3">
        <w:t>/2008-45/2009</w:t>
      </w:r>
      <w:r>
        <w:t>.</w:t>
      </w:r>
    </w:p>
  </w:footnote>
  <w:footnote w:id="3">
    <w:p w:rsidR="00DD493D" w:rsidRPr="00CA5317" w:rsidRDefault="00DD493D" w:rsidP="00DD493D">
      <w:pPr>
        <w:pStyle w:val="Puslapioinaostekstas"/>
        <w:jc w:val="both"/>
        <w:rPr>
          <w:lang w:val="lt-LT"/>
        </w:rPr>
      </w:pPr>
      <w:r>
        <w:rPr>
          <w:rStyle w:val="Puslapioinaosnuoroda"/>
        </w:rPr>
        <w:footnoteRef/>
      </w:r>
      <w:r>
        <w:t xml:space="preserve"> </w:t>
      </w:r>
      <w:r w:rsidRPr="00BA0010">
        <w:rPr>
          <w:lang w:val="lt-LT"/>
        </w:rPr>
        <w:t xml:space="preserve">Pavyzdžiui, Lietuvos vyriausiojo administracinio teismo 2017 m. kovo 27 d. sprendimas administracinėje byloje Nr. eA-471-756/2017, </w:t>
      </w:r>
      <w:r w:rsidRPr="00CA5317">
        <w:rPr>
          <w:lang w:val="lt-LT"/>
        </w:rPr>
        <w:t>Vilniaus apygardos administracinio teismo 2018 m. lapkričio 7 d. sprendimą administraci</w:t>
      </w:r>
      <w:r>
        <w:rPr>
          <w:lang w:val="lt-LT"/>
        </w:rPr>
        <w:t>nėje byloje Nr. I-2798-789/2018,</w:t>
      </w:r>
      <w:r w:rsidRPr="00CA5317">
        <w:rPr>
          <w:lang w:val="lt-LT"/>
        </w:rPr>
        <w:t xml:space="preserve"> Vilniaus apygardos administracinio teismo 2019 m. vasario 4 d. sprendimą administracinėje byloje Nr. eI-332-643/2019</w:t>
      </w:r>
      <w:r>
        <w:rPr>
          <w:lang w:val="lt-LT"/>
        </w:rPr>
        <w:t xml:space="preserve">, </w:t>
      </w:r>
      <w:r w:rsidRPr="00526AE2">
        <w:rPr>
          <w:lang w:val="lt-LT"/>
        </w:rPr>
        <w:t>Lietuvos administracinių ginčų komisijos 2020 m. gruodžio 18 d. sprendimas Nr. 21R-(AG2-171/17-202)</w:t>
      </w:r>
      <w:r>
        <w:rPr>
          <w:lang w:val="lt-LT"/>
        </w:rPr>
        <w:t xml:space="preserve">, </w:t>
      </w:r>
      <w:r w:rsidRPr="00BA0010">
        <w:rPr>
          <w:lang w:val="lt-LT"/>
        </w:rPr>
        <w:t>Vilniaus apygardos administracinio teismo 2021 m. gegužės 18 d. sprendimas administracinėje byloje Nr. eI2-781-764/2021</w:t>
      </w:r>
      <w:r w:rsidRPr="00CA5317">
        <w:rPr>
          <w:lang w:val="lt-LT"/>
        </w:rPr>
        <w:t>.</w:t>
      </w:r>
    </w:p>
  </w:footnote>
  <w:footnote w:id="4">
    <w:p w:rsidR="00DD493D" w:rsidRPr="003E1026" w:rsidRDefault="00DD493D" w:rsidP="00DD493D">
      <w:pPr>
        <w:pStyle w:val="Puslapioinaostekstas"/>
        <w:rPr>
          <w:lang w:val="lt-LT"/>
        </w:rPr>
      </w:pPr>
      <w:r>
        <w:rPr>
          <w:rStyle w:val="Puslapioinaosnuoroda"/>
        </w:rPr>
        <w:footnoteRef/>
      </w:r>
      <w:r>
        <w:t xml:space="preserve"> </w:t>
      </w:r>
      <w:r w:rsidRPr="003E1026">
        <w:rPr>
          <w:lang w:val="lt-LT"/>
        </w:rPr>
        <w:t>Lietuvos Respublikos Konstitucinio Teismo 2011 m. birželio 9 d. nutarimas byloje Nr. 12/2008-45/2009.</w:t>
      </w:r>
    </w:p>
  </w:footnote>
  <w:footnote w:id="5">
    <w:p w:rsidR="00DD493D" w:rsidRPr="00BA0010" w:rsidRDefault="00DD493D" w:rsidP="00DD493D">
      <w:pPr>
        <w:pStyle w:val="Puslapioinaostekstas"/>
        <w:jc w:val="both"/>
        <w:rPr>
          <w:lang w:val="lt-LT"/>
        </w:rPr>
      </w:pPr>
      <w:r w:rsidRPr="00BA0010">
        <w:rPr>
          <w:rStyle w:val="Puslapioinaosnuoroda"/>
          <w:lang w:val="lt-LT"/>
        </w:rPr>
        <w:footnoteRef/>
      </w:r>
      <w:r w:rsidRPr="00BA0010">
        <w:rPr>
          <w:lang w:val="lt-LT"/>
        </w:rPr>
        <w:t xml:space="preserve"> </w:t>
      </w:r>
      <w:r w:rsidRPr="00BA0010">
        <w:rPr>
          <w:iCs/>
          <w:lang w:val="lt-LT"/>
        </w:rPr>
        <w:t xml:space="preserve">Dėl teisinių paslaugų klientas su advokatu įprastai susitaria sudarydamas sutartį. </w:t>
      </w:r>
      <w:r w:rsidRPr="00BA0010">
        <w:rPr>
          <w:lang w:val="lt-LT"/>
        </w:rPr>
        <w:t>Šios paslaugos taip pat gali būti teikiamos Lietuvos Respublikos valstybės garantuojamos teisinės pagalbos įstatymo nustatyta tvarka pagal Valstybės garantuojamos teisinės pagalbos tarnybos sprendimą, ikiteisminio tyrimo pareigūno, prokuroro nutarimą ar teismo nutartį</w:t>
      </w:r>
    </w:p>
  </w:footnote>
  <w:footnote w:id="6">
    <w:p w:rsidR="00DD493D" w:rsidRPr="00F533A2" w:rsidRDefault="00DD493D" w:rsidP="00DD493D">
      <w:pPr>
        <w:pStyle w:val="Puslapioinaostekstas"/>
        <w:jc w:val="both"/>
        <w:rPr>
          <w:lang w:val="lt-LT"/>
        </w:rPr>
      </w:pPr>
      <w:r w:rsidRPr="003E1026">
        <w:rPr>
          <w:rStyle w:val="Puslapioinaosnuoroda"/>
          <w:lang w:val="lt-LT"/>
        </w:rPr>
        <w:footnoteRef/>
      </w:r>
      <w:r w:rsidRPr="003E1026">
        <w:rPr>
          <w:lang w:val="lt-LT"/>
        </w:rPr>
        <w:t xml:space="preserve"> Pavyzdžiui, Vilniaus apygardos administracinio teismo 2021 m. gegužės 18 d. sprendimas administracinėje byloje Nr. eI2-781</w:t>
      </w:r>
      <w:r w:rsidRPr="00F533A2">
        <w:rPr>
          <w:lang w:val="lt-LT"/>
        </w:rPr>
        <w:t>-764/2021</w:t>
      </w:r>
      <w:r>
        <w:rPr>
          <w:lang w:val="lt-LT"/>
        </w:rPr>
        <w:t xml:space="preserve">; </w:t>
      </w:r>
      <w:r w:rsidRPr="00B05C98">
        <w:rPr>
          <w:lang w:val="lt-LT"/>
        </w:rPr>
        <w:t>Vilniaus apygardos administracinio  teismo  2021m. rugpjūčio 10</w:t>
      </w:r>
      <w:r>
        <w:rPr>
          <w:lang w:val="lt-LT"/>
        </w:rPr>
        <w:t xml:space="preserve"> d. sprendimas</w:t>
      </w:r>
      <w:r w:rsidRPr="00B05C98">
        <w:t xml:space="preserve"> </w:t>
      </w:r>
      <w:r>
        <w:rPr>
          <w:lang w:val="lt-LT"/>
        </w:rPr>
        <w:t>a</w:t>
      </w:r>
      <w:r w:rsidRPr="00B05C98">
        <w:rPr>
          <w:lang w:val="lt-LT"/>
        </w:rPr>
        <w:t>dministracinė</w:t>
      </w:r>
      <w:r>
        <w:rPr>
          <w:lang w:val="lt-LT"/>
        </w:rPr>
        <w:t>je byloje</w:t>
      </w:r>
      <w:r w:rsidRPr="00B05C98">
        <w:rPr>
          <w:lang w:val="lt-LT"/>
        </w:rPr>
        <w:t xml:space="preserve"> Nr. eI2-3330-816/2021</w:t>
      </w:r>
      <w:r w:rsidRPr="00F533A2">
        <w:rPr>
          <w:lang w:val="lt-LT"/>
        </w:rPr>
        <w:t>.</w:t>
      </w:r>
    </w:p>
  </w:footnote>
  <w:footnote w:id="7">
    <w:p w:rsidR="00DD493D" w:rsidRPr="00F533A2" w:rsidRDefault="00DD493D" w:rsidP="00DD493D">
      <w:pPr>
        <w:pStyle w:val="Puslapioinaostekstas"/>
        <w:rPr>
          <w:lang w:val="lt-LT"/>
        </w:rPr>
      </w:pPr>
      <w:r w:rsidRPr="00F533A2">
        <w:rPr>
          <w:rStyle w:val="Puslapioinaosnuoroda"/>
          <w:lang w:val="lt-LT"/>
        </w:rPr>
        <w:footnoteRef/>
      </w:r>
      <w:r w:rsidRPr="00F533A2">
        <w:rPr>
          <w:lang w:val="lt-LT"/>
        </w:rPr>
        <w:t xml:space="preserve"> Pavyzdžiui, Lietuvos vyriausiojo administracinio teismo 2016 m. gegužės 16 d. nutartis administracinėje byloje Nr. A-1217-662/2016</w:t>
      </w:r>
      <w:r>
        <w:rPr>
          <w:lang w:val="lt-LT"/>
        </w:rPr>
        <w:t xml:space="preserve">, </w:t>
      </w:r>
      <w:r w:rsidRPr="00CC7042">
        <w:rPr>
          <w:lang w:val="lt-LT"/>
        </w:rPr>
        <w:t>2018 m. rugpjūčio 22 d.</w:t>
      </w:r>
      <w:r>
        <w:rPr>
          <w:lang w:val="lt-LT"/>
        </w:rPr>
        <w:t xml:space="preserve"> </w:t>
      </w:r>
      <w:r w:rsidRPr="00CC7042">
        <w:rPr>
          <w:lang w:val="lt-LT"/>
        </w:rPr>
        <w:t>nutartis administracinėje byloje Nr. eA-1509-520/2018</w:t>
      </w:r>
      <w:r w:rsidRPr="00F533A2">
        <w:rPr>
          <w:lang w:val="lt-LT"/>
        </w:rPr>
        <w:t>.</w:t>
      </w:r>
    </w:p>
  </w:footnote>
  <w:footnote w:id="8">
    <w:p w:rsidR="00DD493D" w:rsidRPr="00CC7042" w:rsidRDefault="00DD493D" w:rsidP="00DD493D">
      <w:pPr>
        <w:pStyle w:val="Puslapioinaostekstas"/>
        <w:rPr>
          <w:lang w:val="lt-LT"/>
        </w:rPr>
      </w:pPr>
      <w:r>
        <w:rPr>
          <w:rStyle w:val="Puslapioinaosnuoroda"/>
        </w:rPr>
        <w:footnoteRef/>
      </w:r>
      <w:r>
        <w:t xml:space="preserve"> </w:t>
      </w:r>
      <w:r w:rsidRPr="00F533A2">
        <w:rPr>
          <w:lang w:val="lt-LT"/>
        </w:rPr>
        <w:t xml:space="preserve">Pavyzdžiui, Lietuvos vyriausiojo administracinio teismo </w:t>
      </w:r>
      <w:r w:rsidRPr="00CC7042">
        <w:rPr>
          <w:lang w:val="lt-LT"/>
        </w:rPr>
        <w:t>2018 m. rugpjūčio 22 d.</w:t>
      </w:r>
      <w:r>
        <w:rPr>
          <w:lang w:val="lt-LT"/>
        </w:rPr>
        <w:t xml:space="preserve"> </w:t>
      </w:r>
      <w:r w:rsidRPr="00CC7042">
        <w:rPr>
          <w:lang w:val="lt-LT"/>
        </w:rPr>
        <w:t>nutartis administracinėje byloje Nr. eA-1509-520/2018</w:t>
      </w:r>
      <w:r>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A40019">
          <w:rPr>
            <w:rFonts w:ascii="Times New Roman" w:hAnsi="Times New Roman"/>
            <w:noProof/>
            <w:sz w:val="24"/>
            <w:szCs w:val="24"/>
          </w:rPr>
          <w:t>4</w:t>
        </w:r>
        <w:r w:rsidRPr="00A618F7">
          <w:rPr>
            <w:rFonts w:ascii="Times New Roman" w:hAnsi="Times New Roman"/>
            <w:sz w:val="24"/>
            <w:szCs w:val="24"/>
          </w:rPr>
          <w:fldChar w:fldCharType="end"/>
        </w:r>
      </w:p>
    </w:sdtContent>
  </w:sdt>
  <w:p w:rsidR="00A618F7" w:rsidRDefault="00A618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63562"/>
    <w:rsid w:val="000E1825"/>
    <w:rsid w:val="0011643A"/>
    <w:rsid w:val="00135346"/>
    <w:rsid w:val="001D0891"/>
    <w:rsid w:val="001D6691"/>
    <w:rsid w:val="002368D3"/>
    <w:rsid w:val="00236F81"/>
    <w:rsid w:val="002821BF"/>
    <w:rsid w:val="002D2770"/>
    <w:rsid w:val="003364F0"/>
    <w:rsid w:val="003F5F33"/>
    <w:rsid w:val="004819E5"/>
    <w:rsid w:val="004C24E7"/>
    <w:rsid w:val="004D13DA"/>
    <w:rsid w:val="004D6DEE"/>
    <w:rsid w:val="00576E5E"/>
    <w:rsid w:val="00584987"/>
    <w:rsid w:val="006677DE"/>
    <w:rsid w:val="006F6977"/>
    <w:rsid w:val="007B2D21"/>
    <w:rsid w:val="00831ABF"/>
    <w:rsid w:val="008831BA"/>
    <w:rsid w:val="008945C5"/>
    <w:rsid w:val="008B00C5"/>
    <w:rsid w:val="008E6956"/>
    <w:rsid w:val="00955C87"/>
    <w:rsid w:val="009D44CA"/>
    <w:rsid w:val="00A24DB6"/>
    <w:rsid w:val="00A30897"/>
    <w:rsid w:val="00A40019"/>
    <w:rsid w:val="00A47BDB"/>
    <w:rsid w:val="00A618F7"/>
    <w:rsid w:val="00A90743"/>
    <w:rsid w:val="00B10E22"/>
    <w:rsid w:val="00B74E60"/>
    <w:rsid w:val="00B81CDD"/>
    <w:rsid w:val="00B9698B"/>
    <w:rsid w:val="00C04105"/>
    <w:rsid w:val="00C073E5"/>
    <w:rsid w:val="00C2424F"/>
    <w:rsid w:val="00C61088"/>
    <w:rsid w:val="00C703AF"/>
    <w:rsid w:val="00D75803"/>
    <w:rsid w:val="00DD493D"/>
    <w:rsid w:val="00EF5655"/>
    <w:rsid w:val="00F90586"/>
    <w:rsid w:val="00FD5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0A74"/>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6E5E"/>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DD49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Z6YWEJNPDQQR-896559167-188</_dlc_DocId>
    <_dlc_DocIdUrl xmlns="28130d43-1b56-4a10-ad88-2cd38123f4c1">
      <Url>https://intranetas.lrs.lt/29/_layouts/15/DocIdRedir.aspx?ID=Z6YWEJNPDQQR-896559167-188</Url>
      <Description>Z6YWEJNPDQQR-896559167-188</Description>
    </_dlc_DocIdUrl>
  </documentManagement>
</p:properties>
</file>

<file path=customXml/itemProps1.xml><?xml version="1.0" encoding="utf-8"?>
<ds:datastoreItem xmlns:ds="http://schemas.openxmlformats.org/officeDocument/2006/customXml" ds:itemID="{C607FA67-E834-4F26-8827-DA72D15F6CCA}"/>
</file>

<file path=customXml/itemProps2.xml><?xml version="1.0" encoding="utf-8"?>
<ds:datastoreItem xmlns:ds="http://schemas.openxmlformats.org/officeDocument/2006/customXml" ds:itemID="{D24159D2-07A1-4CBD-8E47-E6E688EEA640}"/>
</file>

<file path=customXml/itemProps3.xml><?xml version="1.0" encoding="utf-8"?>
<ds:datastoreItem xmlns:ds="http://schemas.openxmlformats.org/officeDocument/2006/customXml" ds:itemID="{FED3250E-0F8E-4756-8730-2E7225D53A38}"/>
</file>

<file path=customXml/itemProps4.xml><?xml version="1.0" encoding="utf-8"?>
<ds:datastoreItem xmlns:ds="http://schemas.openxmlformats.org/officeDocument/2006/customXml" ds:itemID="{6BF9CDB4-A975-4D41-A6AB-C6EDB25ACC5F}"/>
</file>

<file path=docProps/app.xml><?xml version="1.0" encoding="utf-8"?>
<Properties xmlns="http://schemas.openxmlformats.org/officeDocument/2006/extended-properties" xmlns:vt="http://schemas.openxmlformats.org/officeDocument/2006/docPropsVTypes">
  <Template>Normal.dotm</Template>
  <TotalTime>101</TotalTime>
  <Pages>4</Pages>
  <Words>4880</Words>
  <Characters>2782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11</cp:revision>
  <dcterms:created xsi:type="dcterms:W3CDTF">2021-11-08T08:13:00Z</dcterms:created>
  <dcterms:modified xsi:type="dcterms:W3CDTF">2021-11-15T07:17:00Z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be622369-016f-4227-80be-b1fafca300f9</vt:lpwstr>
  </property>
</Properties>
</file>