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E5E" w:rsidRPr="00E95956" w:rsidRDefault="00576E5E" w:rsidP="00576E5E">
      <w:pPr>
        <w:jc w:val="center"/>
        <w:rPr>
          <w:rFonts w:ascii="Times New Roman" w:hAnsi="Times New Roman"/>
          <w:sz w:val="24"/>
          <w:szCs w:val="24"/>
        </w:rPr>
      </w:pPr>
      <w:r w:rsidRPr="00E95956">
        <w:rPr>
          <w:rFonts w:ascii="Times New Roman" w:hAnsi="Times New Roman"/>
          <w:noProof/>
          <w:sz w:val="24"/>
          <w:szCs w:val="24"/>
          <w:lang w:eastAsia="lt-LT"/>
        </w:rPr>
        <w:drawing>
          <wp:inline distT="0" distB="0" distL="0" distR="0" wp14:anchorId="1540DAA7" wp14:editId="7411083D">
            <wp:extent cx="523875" cy="61912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noFill/>
                    <a:ln>
                      <a:noFill/>
                    </a:ln>
                  </pic:spPr>
                </pic:pic>
              </a:graphicData>
            </a:graphic>
          </wp:inline>
        </w:drawing>
      </w:r>
    </w:p>
    <w:p w:rsidR="00576E5E" w:rsidRPr="00E95956" w:rsidRDefault="00576E5E" w:rsidP="00576E5E">
      <w:pPr>
        <w:ind w:firstLine="851"/>
        <w:jc w:val="center"/>
        <w:rPr>
          <w:rFonts w:ascii="Times New Roman" w:hAnsi="Times New Roman"/>
          <w:sz w:val="24"/>
          <w:szCs w:val="24"/>
        </w:rPr>
      </w:pPr>
    </w:p>
    <w:p w:rsidR="00576E5E" w:rsidRPr="00E95956" w:rsidRDefault="00576E5E" w:rsidP="00576E5E">
      <w:pPr>
        <w:jc w:val="center"/>
        <w:rPr>
          <w:rFonts w:ascii="Times New Roman" w:hAnsi="Times New Roman"/>
          <w:b/>
          <w:bCs/>
          <w:sz w:val="24"/>
          <w:szCs w:val="24"/>
        </w:rPr>
      </w:pPr>
      <w:r w:rsidRPr="00E95956">
        <w:rPr>
          <w:rFonts w:ascii="Times New Roman" w:hAnsi="Times New Roman"/>
          <w:b/>
          <w:bCs/>
          <w:sz w:val="24"/>
          <w:szCs w:val="24"/>
        </w:rPr>
        <w:t>LIETUVOS RESPUBLIKOS SEIMO</w:t>
      </w:r>
    </w:p>
    <w:p w:rsidR="00576E5E" w:rsidRPr="00E95956" w:rsidRDefault="00576E5E" w:rsidP="00576E5E">
      <w:pPr>
        <w:jc w:val="center"/>
        <w:rPr>
          <w:rFonts w:ascii="Times New Roman" w:hAnsi="Times New Roman"/>
          <w:b/>
          <w:bCs/>
          <w:spacing w:val="4"/>
          <w:sz w:val="24"/>
          <w:szCs w:val="24"/>
        </w:rPr>
      </w:pPr>
      <w:r w:rsidRPr="00E95956">
        <w:rPr>
          <w:rFonts w:ascii="Times New Roman" w:hAnsi="Times New Roman"/>
          <w:b/>
          <w:bCs/>
          <w:spacing w:val="4"/>
          <w:sz w:val="24"/>
          <w:szCs w:val="24"/>
        </w:rPr>
        <w:t>PETICIJŲ KOMISIJA</w:t>
      </w:r>
    </w:p>
    <w:p w:rsidR="00576E5E" w:rsidRPr="00E95956" w:rsidRDefault="00576E5E" w:rsidP="00576E5E">
      <w:pPr>
        <w:ind w:right="11" w:firstLine="851"/>
        <w:jc w:val="center"/>
        <w:rPr>
          <w:rFonts w:ascii="Times New Roman" w:hAnsi="Times New Roman"/>
          <w:b/>
          <w:spacing w:val="4"/>
          <w:sz w:val="24"/>
          <w:szCs w:val="24"/>
        </w:rPr>
      </w:pPr>
    </w:p>
    <w:p w:rsidR="00576E5E" w:rsidRPr="00E95956" w:rsidRDefault="00576E5E" w:rsidP="00576E5E">
      <w:pPr>
        <w:pStyle w:val="Betarp"/>
        <w:jc w:val="center"/>
        <w:rPr>
          <w:rFonts w:ascii="Times New Roman" w:hAnsi="Times New Roman"/>
          <w:b/>
          <w:sz w:val="24"/>
          <w:szCs w:val="24"/>
        </w:rPr>
      </w:pPr>
      <w:r w:rsidRPr="00E95956">
        <w:rPr>
          <w:rFonts w:ascii="Times New Roman" w:hAnsi="Times New Roman"/>
          <w:b/>
          <w:sz w:val="24"/>
          <w:szCs w:val="24"/>
        </w:rPr>
        <w:t>IŠVADA</w:t>
      </w:r>
    </w:p>
    <w:p w:rsidR="00576E5E" w:rsidRPr="00E95956" w:rsidRDefault="00576E5E" w:rsidP="00576E5E">
      <w:pPr>
        <w:pStyle w:val="Betarp"/>
        <w:jc w:val="center"/>
        <w:rPr>
          <w:rFonts w:ascii="Times New Roman" w:hAnsi="Times New Roman"/>
          <w:b/>
          <w:sz w:val="24"/>
          <w:szCs w:val="24"/>
        </w:rPr>
      </w:pPr>
      <w:r w:rsidRPr="00E95956">
        <w:rPr>
          <w:rFonts w:ascii="Times New Roman" w:hAnsi="Times New Roman"/>
          <w:b/>
          <w:sz w:val="24"/>
          <w:szCs w:val="24"/>
        </w:rPr>
        <w:t xml:space="preserve">DĖL </w:t>
      </w:r>
      <w:r w:rsidR="00C56D00" w:rsidRPr="00E95956">
        <w:rPr>
          <w:rFonts w:ascii="Times New Roman" w:hAnsi="Times New Roman"/>
          <w:b/>
          <w:sz w:val="24"/>
          <w:szCs w:val="24"/>
        </w:rPr>
        <w:t>VIRGINIJAUS JURGAIČIO</w:t>
      </w:r>
      <w:r w:rsidRPr="00E95956">
        <w:rPr>
          <w:rFonts w:ascii="Times New Roman" w:hAnsi="Times New Roman"/>
          <w:b/>
          <w:sz w:val="24"/>
          <w:szCs w:val="24"/>
        </w:rPr>
        <w:t xml:space="preserve"> PETICIJO</w:t>
      </w:r>
      <w:r w:rsidR="004C24E7" w:rsidRPr="00E95956">
        <w:rPr>
          <w:rFonts w:ascii="Times New Roman" w:hAnsi="Times New Roman"/>
          <w:b/>
          <w:sz w:val="24"/>
          <w:szCs w:val="24"/>
        </w:rPr>
        <w:t>S</w:t>
      </w:r>
    </w:p>
    <w:p w:rsidR="00576E5E" w:rsidRPr="00E95956" w:rsidRDefault="00576E5E" w:rsidP="00576E5E">
      <w:pPr>
        <w:pStyle w:val="Betarp"/>
        <w:ind w:firstLine="851"/>
        <w:jc w:val="center"/>
        <w:rPr>
          <w:rFonts w:ascii="Times New Roman" w:hAnsi="Times New Roman"/>
          <w:b/>
          <w:sz w:val="24"/>
          <w:szCs w:val="24"/>
        </w:rPr>
      </w:pPr>
    </w:p>
    <w:p w:rsidR="00576E5E" w:rsidRPr="00E95956" w:rsidRDefault="00576E5E" w:rsidP="00576E5E">
      <w:pPr>
        <w:pStyle w:val="Betarp"/>
        <w:jc w:val="center"/>
        <w:rPr>
          <w:rFonts w:ascii="Times New Roman" w:hAnsi="Times New Roman"/>
          <w:sz w:val="24"/>
          <w:szCs w:val="24"/>
        </w:rPr>
      </w:pPr>
      <w:r w:rsidRPr="00E95956">
        <w:rPr>
          <w:rFonts w:ascii="Times New Roman" w:hAnsi="Times New Roman"/>
          <w:sz w:val="24"/>
          <w:szCs w:val="24"/>
        </w:rPr>
        <w:t>202</w:t>
      </w:r>
      <w:r w:rsidR="00CD23CA" w:rsidRPr="00E95956">
        <w:rPr>
          <w:rFonts w:ascii="Times New Roman" w:hAnsi="Times New Roman"/>
          <w:sz w:val="24"/>
          <w:szCs w:val="24"/>
        </w:rPr>
        <w:t>2</w:t>
      </w:r>
      <w:r w:rsidRPr="00E95956">
        <w:rPr>
          <w:rFonts w:ascii="Times New Roman" w:hAnsi="Times New Roman"/>
          <w:sz w:val="24"/>
          <w:szCs w:val="24"/>
        </w:rPr>
        <w:t xml:space="preserve"> m. </w:t>
      </w:r>
      <w:r w:rsidR="004B30F1">
        <w:rPr>
          <w:rFonts w:ascii="Times New Roman" w:hAnsi="Times New Roman"/>
          <w:sz w:val="24"/>
          <w:szCs w:val="24"/>
        </w:rPr>
        <w:t>lapkričio</w:t>
      </w:r>
      <w:r w:rsidR="00E108F4">
        <w:rPr>
          <w:rFonts w:ascii="Times New Roman" w:hAnsi="Times New Roman"/>
          <w:sz w:val="24"/>
          <w:szCs w:val="24"/>
        </w:rPr>
        <w:t xml:space="preserve"> 16</w:t>
      </w:r>
      <w:r w:rsidR="007A504A" w:rsidRPr="00E95956">
        <w:rPr>
          <w:rFonts w:ascii="Times New Roman" w:hAnsi="Times New Roman"/>
          <w:sz w:val="24"/>
          <w:szCs w:val="24"/>
        </w:rPr>
        <w:t xml:space="preserve"> </w:t>
      </w:r>
      <w:r w:rsidRPr="00E95956">
        <w:rPr>
          <w:rFonts w:ascii="Times New Roman" w:hAnsi="Times New Roman"/>
          <w:sz w:val="24"/>
          <w:szCs w:val="24"/>
        </w:rPr>
        <w:t>d.</w:t>
      </w:r>
      <w:r w:rsidR="00187D1B" w:rsidRPr="00187D1B">
        <w:rPr>
          <w:rFonts w:ascii="Times New Roman" w:hAnsi="Times New Roman"/>
          <w:sz w:val="24"/>
          <w:szCs w:val="24"/>
        </w:rPr>
        <w:t xml:space="preserve">   </w:t>
      </w:r>
      <w:r w:rsidR="00187D1B">
        <w:rPr>
          <w:rFonts w:ascii="Times New Roman" w:hAnsi="Times New Roman"/>
          <w:sz w:val="24"/>
          <w:szCs w:val="24"/>
        </w:rPr>
        <w:t xml:space="preserve"> </w:t>
      </w:r>
      <w:r w:rsidR="00A17B6D" w:rsidRPr="00E95956">
        <w:rPr>
          <w:rFonts w:ascii="Times New Roman" w:hAnsi="Times New Roman"/>
          <w:sz w:val="24"/>
          <w:szCs w:val="24"/>
        </w:rPr>
        <w:t xml:space="preserve"> </w:t>
      </w:r>
      <w:r w:rsidR="000A2419" w:rsidRPr="00E95956">
        <w:rPr>
          <w:rFonts w:ascii="Times New Roman" w:hAnsi="Times New Roman"/>
          <w:sz w:val="24"/>
          <w:szCs w:val="24"/>
        </w:rPr>
        <w:t xml:space="preserve">  </w:t>
      </w:r>
    </w:p>
    <w:p w:rsidR="00576E5E" w:rsidRPr="00E95956" w:rsidRDefault="00576E5E" w:rsidP="00576E5E">
      <w:pPr>
        <w:pStyle w:val="Betarp"/>
        <w:jc w:val="center"/>
        <w:rPr>
          <w:rFonts w:ascii="Times New Roman" w:hAnsi="Times New Roman"/>
          <w:sz w:val="24"/>
          <w:szCs w:val="24"/>
        </w:rPr>
      </w:pPr>
      <w:r w:rsidRPr="00E95956">
        <w:rPr>
          <w:rFonts w:ascii="Times New Roman" w:hAnsi="Times New Roman"/>
          <w:sz w:val="24"/>
          <w:szCs w:val="24"/>
        </w:rPr>
        <w:t>Vilnius</w:t>
      </w:r>
    </w:p>
    <w:p w:rsidR="00576E5E" w:rsidRPr="00E95956" w:rsidRDefault="00576E5E" w:rsidP="00576E5E">
      <w:pPr>
        <w:pStyle w:val="Betarp"/>
        <w:tabs>
          <w:tab w:val="left" w:pos="1134"/>
        </w:tabs>
        <w:spacing w:line="360" w:lineRule="auto"/>
        <w:ind w:firstLine="851"/>
        <w:jc w:val="both"/>
        <w:rPr>
          <w:rFonts w:ascii="Times New Roman" w:hAnsi="Times New Roman"/>
          <w:sz w:val="24"/>
          <w:szCs w:val="24"/>
        </w:rPr>
      </w:pPr>
    </w:p>
    <w:p w:rsidR="002B7393" w:rsidRDefault="00576E5E" w:rsidP="003B699D">
      <w:pPr>
        <w:pStyle w:val="Default"/>
        <w:spacing w:line="360" w:lineRule="auto"/>
        <w:ind w:firstLine="851"/>
        <w:jc w:val="both"/>
      </w:pPr>
      <w:r w:rsidRPr="00E95956">
        <w:t>Lietuvos Respublikos Seimo Peticijų komisij</w:t>
      </w:r>
      <w:r w:rsidR="006E53DD" w:rsidRPr="00E95956">
        <w:t>a</w:t>
      </w:r>
      <w:r w:rsidRPr="00E95956">
        <w:t xml:space="preserve"> 202</w:t>
      </w:r>
      <w:r w:rsidR="00CD23CA" w:rsidRPr="00E95956">
        <w:t>2</w:t>
      </w:r>
      <w:r w:rsidRPr="00E95956">
        <w:t xml:space="preserve"> m. </w:t>
      </w:r>
      <w:r w:rsidR="004B30F1">
        <w:t>lapkričio 16</w:t>
      </w:r>
      <w:r w:rsidR="00A524BE">
        <w:t xml:space="preserve"> </w:t>
      </w:r>
      <w:r w:rsidRPr="00E95956">
        <w:t xml:space="preserve">d. posėdyje iš esmės </w:t>
      </w:r>
      <w:r w:rsidR="007A504A" w:rsidRPr="00E95956">
        <w:t>iš</w:t>
      </w:r>
      <w:r w:rsidR="00C703AF" w:rsidRPr="00E95956">
        <w:t>nagrinė</w:t>
      </w:r>
      <w:r w:rsidR="006E53DD" w:rsidRPr="00E95956">
        <w:t>jo</w:t>
      </w:r>
      <w:r w:rsidRPr="00E95956">
        <w:t xml:space="preserve"> </w:t>
      </w:r>
      <w:r w:rsidR="007C64BC" w:rsidRPr="00E95956">
        <w:t>Virginijaus Jurgaičio</w:t>
      </w:r>
      <w:r w:rsidRPr="00E95956">
        <w:t xml:space="preserve"> peticij</w:t>
      </w:r>
      <w:r w:rsidR="006E53DD" w:rsidRPr="00E95956">
        <w:t xml:space="preserve">ą ir priėmė sprendimą </w:t>
      </w:r>
      <w:r w:rsidR="00FB44D3" w:rsidRPr="00E95956">
        <w:t xml:space="preserve">teikti Seimui išvadą </w:t>
      </w:r>
      <w:r w:rsidR="006E53DD" w:rsidRPr="00E95956">
        <w:t xml:space="preserve">atmesti šioje peticijoje </w:t>
      </w:r>
      <w:r w:rsidR="002B7393">
        <w:t>pateikt</w:t>
      </w:r>
      <w:r w:rsidR="003B699D">
        <w:t>ą</w:t>
      </w:r>
      <w:r w:rsidR="002B7393">
        <w:t xml:space="preserve"> pasi</w:t>
      </w:r>
      <w:r w:rsidR="002B7393">
        <w:rPr>
          <w:rFonts w:hint="eastAsia"/>
        </w:rPr>
        <w:t>ū</w:t>
      </w:r>
      <w:r w:rsidR="002B7393">
        <w:t>lym</w:t>
      </w:r>
      <w:r w:rsidR="003B699D">
        <w:t>ą</w:t>
      </w:r>
      <w:r w:rsidR="002B7393">
        <w:t xml:space="preserve"> </w:t>
      </w:r>
      <w:r w:rsidR="0081346E" w:rsidRPr="0081346E">
        <w:t>papildyti Lietuvos Respublikos civilinio proceso kodekso 361 straipsnio 4 dalies 2 punkt</w:t>
      </w:r>
      <w:r w:rsidR="0081346E" w:rsidRPr="0081346E">
        <w:rPr>
          <w:rFonts w:hint="eastAsia"/>
        </w:rPr>
        <w:t>ą</w:t>
      </w:r>
      <w:r w:rsidR="0081346E" w:rsidRPr="0081346E">
        <w:t>, nustatant, kad civilin</w:t>
      </w:r>
      <w:r w:rsidR="0081346E" w:rsidRPr="0081346E">
        <w:rPr>
          <w:rFonts w:hint="eastAsia"/>
        </w:rPr>
        <w:t>ė</w:t>
      </w:r>
      <w:r w:rsidR="0081346E" w:rsidRPr="0081346E">
        <w:t>se ir administracin</w:t>
      </w:r>
      <w:r w:rsidR="0081346E" w:rsidRPr="0081346E">
        <w:rPr>
          <w:rFonts w:hint="eastAsia"/>
        </w:rPr>
        <w:t>ė</w:t>
      </w:r>
      <w:r w:rsidR="0081346E" w:rsidRPr="0081346E">
        <w:t>se bylose draudžiama remtis senesne negu 5 met</w:t>
      </w:r>
      <w:r w:rsidR="0081346E" w:rsidRPr="0081346E">
        <w:rPr>
          <w:rFonts w:hint="eastAsia"/>
        </w:rPr>
        <w:t>ų</w:t>
      </w:r>
      <w:r w:rsidR="0081346E" w:rsidRPr="0081346E">
        <w:t xml:space="preserve"> teism</w:t>
      </w:r>
      <w:r w:rsidR="0081346E" w:rsidRPr="0081346E">
        <w:rPr>
          <w:rFonts w:hint="eastAsia"/>
        </w:rPr>
        <w:t>ų</w:t>
      </w:r>
      <w:r w:rsidR="0081346E" w:rsidRPr="0081346E">
        <w:t xml:space="preserve"> praktika.</w:t>
      </w:r>
      <w:r w:rsidR="0081346E">
        <w:t xml:space="preserve"> </w:t>
      </w:r>
      <w:r w:rsidR="006A1AC7">
        <w:t>Sprendimas priimtas atsižvelgus į Lietuvos Respublikos teisingumo ministerijos nuomonę.</w:t>
      </w:r>
    </w:p>
    <w:p w:rsidR="003B699D" w:rsidRPr="003B699D" w:rsidRDefault="003B699D" w:rsidP="003B699D">
      <w:pPr>
        <w:suppressAutoHyphens/>
        <w:spacing w:line="360" w:lineRule="auto"/>
        <w:ind w:firstLine="851"/>
        <w:jc w:val="both"/>
        <w:rPr>
          <w:rFonts w:ascii="Times New Roman" w:hAnsi="Times New Roman"/>
          <w:sz w:val="24"/>
          <w:szCs w:val="24"/>
          <w:lang w:eastAsia="ar-SA"/>
        </w:rPr>
      </w:pPr>
      <w:r w:rsidRPr="003B699D">
        <w:rPr>
          <w:rFonts w:ascii="Times New Roman" w:hAnsi="Times New Roman"/>
          <w:sz w:val="24"/>
          <w:szCs w:val="24"/>
          <w:lang w:eastAsia="ar-SA"/>
        </w:rPr>
        <w:t>C</w:t>
      </w:r>
      <w:r w:rsidR="00A659B1">
        <w:rPr>
          <w:rFonts w:ascii="Times New Roman" w:hAnsi="Times New Roman"/>
          <w:sz w:val="24"/>
          <w:szCs w:val="24"/>
          <w:lang w:eastAsia="ar-SA"/>
        </w:rPr>
        <w:t>ivilinio proceso kodekso</w:t>
      </w:r>
      <w:r w:rsidRPr="003B699D">
        <w:rPr>
          <w:rFonts w:ascii="Times New Roman" w:hAnsi="Times New Roman"/>
          <w:sz w:val="24"/>
          <w:szCs w:val="24"/>
          <w:lang w:eastAsia="ar-SA"/>
        </w:rPr>
        <w:t xml:space="preserve"> 361 straipsnio 4 dalies 2 punkte nustatyta, kad kasacinio teismo konstatuojamoje nutarties (nutarimo) dalyje turi būti nurodyta aktuali teismų praktikai teisės taikymo ar aiškinimo nagrinėjamoje byloje taisyklė. </w:t>
      </w:r>
      <w:r w:rsidR="00A659B1" w:rsidRPr="003B699D">
        <w:rPr>
          <w:rFonts w:ascii="Times New Roman" w:hAnsi="Times New Roman"/>
          <w:sz w:val="24"/>
          <w:szCs w:val="24"/>
          <w:lang w:eastAsia="ar-SA"/>
        </w:rPr>
        <w:t>Lietuvos Aukščiausiasis Teismas</w:t>
      </w:r>
      <w:r w:rsidR="00A659B1">
        <w:rPr>
          <w:rFonts w:ascii="Times New Roman" w:hAnsi="Times New Roman"/>
          <w:sz w:val="24"/>
          <w:szCs w:val="24"/>
          <w:lang w:eastAsia="ar-SA"/>
        </w:rPr>
        <w:t>,</w:t>
      </w:r>
      <w:r w:rsidR="00A659B1" w:rsidRPr="003B699D">
        <w:rPr>
          <w:rFonts w:ascii="Times New Roman" w:hAnsi="Times New Roman"/>
          <w:sz w:val="24"/>
          <w:szCs w:val="24"/>
          <w:lang w:eastAsia="ar-SA"/>
        </w:rPr>
        <w:t xml:space="preserve"> </w:t>
      </w:r>
      <w:r w:rsidR="00A659B1">
        <w:rPr>
          <w:rFonts w:ascii="Times New Roman" w:hAnsi="Times New Roman"/>
          <w:sz w:val="24"/>
          <w:szCs w:val="24"/>
          <w:lang w:eastAsia="ar-SA"/>
        </w:rPr>
        <w:t>b</w:t>
      </w:r>
      <w:r w:rsidRPr="003B699D">
        <w:rPr>
          <w:rFonts w:ascii="Times New Roman" w:hAnsi="Times New Roman"/>
          <w:sz w:val="24"/>
          <w:szCs w:val="24"/>
          <w:lang w:eastAsia="ar-SA"/>
        </w:rPr>
        <w:t xml:space="preserve">ūdamas vienintelis kasacinis teismas Lietuvos Respublikoje, užima ypatingą vietą bendrosios kompetencijos teismų sistemoje. Kasacija yra </w:t>
      </w:r>
      <w:proofErr w:type="spellStart"/>
      <w:r w:rsidRPr="003B699D">
        <w:rPr>
          <w:rFonts w:ascii="Times New Roman" w:hAnsi="Times New Roman"/>
          <w:sz w:val="24"/>
          <w:szCs w:val="24"/>
          <w:lang w:eastAsia="ar-SA"/>
        </w:rPr>
        <w:t>ekstraordinari</w:t>
      </w:r>
      <w:proofErr w:type="spellEnd"/>
      <w:r w:rsidRPr="003B699D">
        <w:rPr>
          <w:rFonts w:ascii="Times New Roman" w:hAnsi="Times New Roman"/>
          <w:sz w:val="24"/>
          <w:szCs w:val="24"/>
          <w:lang w:eastAsia="ar-SA"/>
        </w:rPr>
        <w:t xml:space="preserve"> teismo sprendimų teisėtumo kontrolės forma, galima tik išimtiniais atvejais, kuriuos apibrėžia </w:t>
      </w:r>
      <w:r w:rsidR="00A659B1" w:rsidRPr="00A659B1">
        <w:rPr>
          <w:rFonts w:ascii="Times New Roman" w:hAnsi="Times New Roman"/>
          <w:sz w:val="24"/>
          <w:szCs w:val="24"/>
          <w:lang w:eastAsia="ar-SA"/>
        </w:rPr>
        <w:t xml:space="preserve">Civilinio proceso kodekso </w:t>
      </w:r>
      <w:r w:rsidRPr="003B699D">
        <w:rPr>
          <w:rFonts w:ascii="Times New Roman" w:hAnsi="Times New Roman"/>
          <w:sz w:val="24"/>
          <w:szCs w:val="24"/>
          <w:lang w:eastAsia="ar-SA"/>
        </w:rPr>
        <w:t>346 straipsnis. Lietuvos Aukščiausiojo Teismo, kaip kasacinio</w:t>
      </w:r>
      <w:r w:rsidR="00A659B1">
        <w:rPr>
          <w:rFonts w:ascii="Times New Roman" w:hAnsi="Times New Roman"/>
          <w:sz w:val="24"/>
          <w:szCs w:val="24"/>
          <w:lang w:eastAsia="ar-SA"/>
        </w:rPr>
        <w:t xml:space="preserve"> teismo</w:t>
      </w:r>
      <w:r w:rsidRPr="003B699D">
        <w:rPr>
          <w:rFonts w:ascii="Times New Roman" w:hAnsi="Times New Roman"/>
          <w:sz w:val="24"/>
          <w:szCs w:val="24"/>
          <w:lang w:eastAsia="ar-SA"/>
        </w:rPr>
        <w:t>, paskirtis – per kasacinėse nutartyse suformuotus precedentus užtikrinti vienodą bendrosios kompetencijos teismų praktiką valstybėje (viešoji kasacijos funkcija)</w:t>
      </w:r>
      <w:r w:rsidRPr="003B699D">
        <w:rPr>
          <w:rFonts w:ascii="Times New Roman" w:hAnsi="Times New Roman"/>
          <w:sz w:val="24"/>
          <w:szCs w:val="24"/>
          <w:vertAlign w:val="superscript"/>
          <w:lang w:eastAsia="ar-SA"/>
        </w:rPr>
        <w:footnoteReference w:id="1"/>
      </w:r>
      <w:r w:rsidRPr="003B699D">
        <w:rPr>
          <w:rFonts w:ascii="Times New Roman" w:hAnsi="Times New Roman"/>
          <w:sz w:val="24"/>
          <w:szCs w:val="24"/>
          <w:lang w:eastAsia="ar-SA"/>
        </w:rPr>
        <w:t>.</w:t>
      </w:r>
    </w:p>
    <w:p w:rsidR="003B699D" w:rsidRPr="003B699D" w:rsidRDefault="003B699D" w:rsidP="003B699D">
      <w:pPr>
        <w:suppressAutoHyphens/>
        <w:spacing w:line="360" w:lineRule="auto"/>
        <w:ind w:firstLine="851"/>
        <w:jc w:val="both"/>
        <w:rPr>
          <w:rFonts w:ascii="Times New Roman" w:hAnsi="Times New Roman"/>
          <w:sz w:val="24"/>
          <w:szCs w:val="24"/>
          <w:lang w:eastAsia="ar-SA"/>
        </w:rPr>
      </w:pPr>
      <w:r w:rsidRPr="003B699D">
        <w:rPr>
          <w:rFonts w:ascii="Times New Roman" w:hAnsi="Times New Roman"/>
          <w:sz w:val="24"/>
          <w:szCs w:val="24"/>
          <w:lang w:eastAsia="ar-SA"/>
        </w:rPr>
        <w:t>Lietuvos Respublikos Konstitucinis Teismas savo jurisprudencijoje yra nurodęs, kad esami aukštesnės instancijos bendrosios kompetencijos teismų sukurti precedentai atitinkamų kategorijų bylose susaisto ne tik žemesnės instancijos bendrosios kompetencijos teismus, priimančius sprendimus analogiškose bylose, bet ir tuos precedentus sukūrusius aukštesnės instancijos bendrosios kompetencijos teismus (</w:t>
      </w:r>
      <w:proofErr w:type="spellStart"/>
      <w:r w:rsidRPr="003B699D">
        <w:rPr>
          <w:rFonts w:ascii="Times New Roman" w:hAnsi="Times New Roman"/>
          <w:i/>
          <w:iCs/>
          <w:sz w:val="24"/>
          <w:szCs w:val="24"/>
          <w:lang w:eastAsia="ar-SA"/>
        </w:rPr>
        <w:t>inter</w:t>
      </w:r>
      <w:proofErr w:type="spellEnd"/>
      <w:r w:rsidRPr="003B699D">
        <w:rPr>
          <w:rFonts w:ascii="Times New Roman" w:hAnsi="Times New Roman"/>
          <w:i/>
          <w:iCs/>
          <w:sz w:val="24"/>
          <w:szCs w:val="24"/>
          <w:lang w:eastAsia="ar-SA"/>
        </w:rPr>
        <w:t xml:space="preserve"> alia</w:t>
      </w:r>
      <w:r w:rsidRPr="003B699D">
        <w:rPr>
          <w:rFonts w:ascii="Times New Roman" w:hAnsi="Times New Roman"/>
          <w:sz w:val="24"/>
          <w:szCs w:val="24"/>
          <w:lang w:eastAsia="ar-SA"/>
        </w:rPr>
        <w:t xml:space="preserve"> Lietuvos apeliacinį teismą ir Lietuvos Aukščiausiąjį Teismą). Taip pat tai, kad bendrosios kompetencijos teismų praktika atitinkamų kategorijų bylose turi būti koreguojama ir </w:t>
      </w:r>
      <w:r w:rsidRPr="00E34D98">
        <w:rPr>
          <w:rFonts w:ascii="Times New Roman" w:hAnsi="Times New Roman"/>
          <w:bCs/>
          <w:iCs/>
          <w:sz w:val="24"/>
          <w:szCs w:val="24"/>
          <w:lang w:eastAsia="ar-SA"/>
        </w:rPr>
        <w:t>nauji teismo precedentai tų kategorijų bylose gali būti kuriami tik tada, kai tai yra neišvengiamai, objektyviai būtina, konstituciškai pagrindžiama ir pateisinama</w:t>
      </w:r>
      <w:r w:rsidRPr="00E34D98">
        <w:rPr>
          <w:rFonts w:ascii="Times New Roman" w:hAnsi="Times New Roman"/>
          <w:sz w:val="24"/>
          <w:szCs w:val="24"/>
          <w:lang w:eastAsia="ar-SA"/>
        </w:rPr>
        <w:t>.</w:t>
      </w:r>
      <w:r w:rsidRPr="003B699D">
        <w:rPr>
          <w:rFonts w:ascii="Times New Roman" w:hAnsi="Times New Roman"/>
          <w:sz w:val="24"/>
          <w:szCs w:val="24"/>
          <w:lang w:eastAsia="ar-SA"/>
        </w:rPr>
        <w:t xml:space="preserve"> Toks bendrosios kompetencijos teismų praktikos koregavimas (nukrypimas nuo teismus ligi tol saisčiusių ankstesnių </w:t>
      </w:r>
      <w:r w:rsidRPr="003B699D">
        <w:rPr>
          <w:rFonts w:ascii="Times New Roman" w:hAnsi="Times New Roman"/>
          <w:sz w:val="24"/>
          <w:szCs w:val="24"/>
          <w:lang w:eastAsia="ar-SA"/>
        </w:rPr>
        <w:lastRenderedPageBreak/>
        <w:t xml:space="preserve">precedentų ir naujų precedentų kūrimas) visais atvejais turi būti deramai (aiškiai ir racionaliai) argumentuojamas atitinkamuose bendrosios kompetencijos teismų sprendimuose. Nei naujų teismo precedentų kūrimas, nei teismo precedentų argumentavimas (pagrindimas) negali būti tokie valiniai aktai, kurie nėra racionaliai teisiškai motyvuoti. </w:t>
      </w:r>
      <w:r w:rsidRPr="00E34D98">
        <w:rPr>
          <w:rFonts w:ascii="Times New Roman" w:hAnsi="Times New Roman"/>
          <w:bCs/>
          <w:iCs/>
          <w:sz w:val="24"/>
          <w:szCs w:val="24"/>
          <w:lang w:eastAsia="ar-SA"/>
        </w:rPr>
        <w:t>Jokio naujo teismo precedento sukūrimo ar argumentavimo negali lemti atsitiktiniai (teisės atžvilgiu) veiksniai</w:t>
      </w:r>
      <w:r w:rsidRPr="00E34D98">
        <w:rPr>
          <w:rFonts w:ascii="Times New Roman" w:hAnsi="Times New Roman"/>
          <w:sz w:val="24"/>
          <w:szCs w:val="24"/>
          <w:lang w:eastAsia="ar-SA"/>
        </w:rPr>
        <w:t>.</w:t>
      </w:r>
      <w:r w:rsidRPr="003B699D">
        <w:rPr>
          <w:rFonts w:ascii="Times New Roman" w:hAnsi="Times New Roman"/>
          <w:sz w:val="24"/>
          <w:szCs w:val="24"/>
          <w:lang w:eastAsia="ar-SA"/>
        </w:rPr>
        <w:t xml:space="preserve"> Būtent tokį – tik tada, kai tai yra neišvengiamai, objektyviai būtina, atliekamą ir visais atvejais deramai (aiškiai ir racionaliai) argumentuojamą – bendrosios kompetencijos teismų praktikos koregavimą (nukrypimą nuo teismus ligi tol saisčiusių ankstesnių precedentų ir naujų precedentų kūrimą) pagal savo kompetenciją turi užtikrinti atitinkamai Lietuvos apeliacinis teismas ir Lietuvos Aukščiausiasis Teismas</w:t>
      </w:r>
      <w:r w:rsidRPr="003B699D">
        <w:rPr>
          <w:rFonts w:ascii="Times New Roman" w:hAnsi="Times New Roman"/>
          <w:sz w:val="24"/>
          <w:szCs w:val="24"/>
          <w:vertAlign w:val="superscript"/>
          <w:lang w:eastAsia="ar-SA"/>
        </w:rPr>
        <w:footnoteReference w:id="2"/>
      </w:r>
      <w:r w:rsidRPr="003B699D">
        <w:rPr>
          <w:rFonts w:ascii="Times New Roman" w:hAnsi="Times New Roman"/>
          <w:sz w:val="24"/>
          <w:szCs w:val="24"/>
          <w:lang w:eastAsia="ar-SA"/>
        </w:rPr>
        <w:t xml:space="preserve">. Taigi, oficialiojoje konstitucinėje jurisprudencijoje pabrėžiama, kad teismų praktika turėtų būti formuojama nuosekliai ją plėtojant, o nukrypimas nuo jau sukurtų ankstesnių precedentų turi būti paremtas objektyviomis teisinėmis aplinkybėmis bei argumentais, tačiau negali būti susietas su teisiškai nemotyvuotais kriterijais. </w:t>
      </w:r>
    </w:p>
    <w:p w:rsidR="003B699D" w:rsidRPr="003B699D" w:rsidRDefault="003B699D" w:rsidP="003B699D">
      <w:pPr>
        <w:suppressAutoHyphens/>
        <w:spacing w:line="360" w:lineRule="auto"/>
        <w:ind w:firstLine="851"/>
        <w:jc w:val="both"/>
        <w:rPr>
          <w:rFonts w:ascii="Times New Roman" w:hAnsi="Times New Roman"/>
          <w:sz w:val="24"/>
          <w:szCs w:val="24"/>
          <w:lang w:eastAsia="ar-SA"/>
        </w:rPr>
      </w:pPr>
      <w:r w:rsidRPr="003B699D">
        <w:rPr>
          <w:rFonts w:ascii="Times New Roman" w:hAnsi="Times New Roman"/>
          <w:sz w:val="24"/>
          <w:szCs w:val="24"/>
          <w:lang w:eastAsia="ar-SA"/>
        </w:rPr>
        <w:t xml:space="preserve">Teisingumo ministerijos vertinimu, peticijoje pasiūlytas draudimas civilinėse bylose remtis senesne nei 5 metų teismų praktika iš esmės pažeistų teismų praktikos stabilumo ir nuoseklumo principų esmę, taip pat neatitiktų Konstitucinio Teismo jurisprudencijos. Teismų praktikos nuoseklumas ir neprieštaringumas gali būti suprantami kaip prielaidos efektyviai asmenų pažeistų teisių gynybai, o, pritarus peticijoje pateiktam siūlymui, Lietuvos Aukščiausiasis Teismas negalėtų nuosekliai plėtoti teismų praktikos, vadovautis ir seniai gyvuojančiais aktualiais precedentais, todėl teismų praktika būtų sunkiai prognozuojama. Be to, pritarus atitinkamiems </w:t>
      </w:r>
      <w:r w:rsidR="00B56267" w:rsidRPr="00B56267">
        <w:rPr>
          <w:rFonts w:ascii="Times New Roman" w:hAnsi="Times New Roman"/>
          <w:sz w:val="24"/>
          <w:szCs w:val="24"/>
          <w:lang w:eastAsia="ar-SA"/>
        </w:rPr>
        <w:t xml:space="preserve">Civilinio proceso kodekso </w:t>
      </w:r>
      <w:r w:rsidRPr="003B699D">
        <w:rPr>
          <w:rFonts w:ascii="Times New Roman" w:hAnsi="Times New Roman"/>
          <w:sz w:val="24"/>
          <w:szCs w:val="24"/>
          <w:lang w:eastAsia="ar-SA"/>
        </w:rPr>
        <w:t xml:space="preserve">pakeitimams, galimai būtų sukurtas disbalansas taikant teismų praktiką – žemesnės instancijos bendrosios kompetencijos teismai savo sprendimuose galėtų vadovautis senesniais nei 5 metų kasacinio teismo precedentais, nes toks ribojantis terminas jiems būtų netaikomas, tačiau pats Lietuvos Aukščiausiasis Teismas, plėtodamas praktiką, savo senesniais nei 5 metų  precedentais  negalėtų vadovautis ir teisės </w:t>
      </w:r>
      <w:proofErr w:type="spellStart"/>
      <w:r w:rsidRPr="003B699D">
        <w:rPr>
          <w:rFonts w:ascii="Times New Roman" w:hAnsi="Times New Roman"/>
          <w:sz w:val="24"/>
          <w:szCs w:val="24"/>
          <w:lang w:eastAsia="ar-SA"/>
        </w:rPr>
        <w:t>aiškinimus</w:t>
      </w:r>
      <w:proofErr w:type="spellEnd"/>
      <w:r w:rsidRPr="003B699D">
        <w:rPr>
          <w:rFonts w:ascii="Times New Roman" w:hAnsi="Times New Roman"/>
          <w:sz w:val="24"/>
          <w:szCs w:val="24"/>
          <w:lang w:eastAsia="ar-SA"/>
        </w:rPr>
        <w:t xml:space="preserve"> privalėtų teikti iš naujo. </w:t>
      </w:r>
    </w:p>
    <w:p w:rsidR="003B699D" w:rsidRPr="003B699D" w:rsidRDefault="003B699D" w:rsidP="003B699D">
      <w:pPr>
        <w:suppressAutoHyphens/>
        <w:spacing w:line="360" w:lineRule="auto"/>
        <w:ind w:firstLine="851"/>
        <w:jc w:val="both"/>
        <w:rPr>
          <w:rFonts w:ascii="Times New Roman" w:hAnsi="Times New Roman"/>
          <w:sz w:val="24"/>
          <w:szCs w:val="24"/>
          <w:lang w:eastAsia="ar-SA"/>
        </w:rPr>
      </w:pPr>
      <w:r w:rsidRPr="003B699D">
        <w:rPr>
          <w:rFonts w:ascii="Times New Roman" w:hAnsi="Times New Roman"/>
          <w:sz w:val="24"/>
          <w:szCs w:val="24"/>
          <w:lang w:eastAsia="ar-SA"/>
        </w:rPr>
        <w:t>Papildomai atkreiptinas dėmesys, kad ir šiuo metu teismai turi vadovautis naujausia teismų praktika, o precedentai negali būti taikomi mechaniškai – be kitų svarbių aplinkybių, įvertinamas ir jų sukūrimo laikotarpis</w:t>
      </w:r>
      <w:r w:rsidRPr="003B699D">
        <w:rPr>
          <w:rFonts w:ascii="Times New Roman" w:hAnsi="Times New Roman"/>
          <w:sz w:val="24"/>
          <w:szCs w:val="24"/>
          <w:vertAlign w:val="superscript"/>
          <w:lang w:eastAsia="ar-SA"/>
        </w:rPr>
        <w:footnoteReference w:id="3"/>
      </w:r>
      <w:r w:rsidRPr="003B699D">
        <w:rPr>
          <w:rFonts w:ascii="Times New Roman" w:hAnsi="Times New Roman"/>
          <w:sz w:val="24"/>
          <w:szCs w:val="24"/>
          <w:lang w:eastAsia="ar-SA"/>
        </w:rPr>
        <w:t>, todėl, Teisingumo ministerijos vertinimu, dabartinis reguliavimas, nustatytas</w:t>
      </w:r>
      <w:r w:rsidR="00B56267">
        <w:rPr>
          <w:rFonts w:ascii="Times New Roman" w:hAnsi="Times New Roman"/>
          <w:sz w:val="24"/>
          <w:szCs w:val="24"/>
          <w:lang w:eastAsia="ar-SA"/>
        </w:rPr>
        <w:t xml:space="preserve"> Civilinio proceso kodekse</w:t>
      </w:r>
      <w:r w:rsidRPr="003B699D">
        <w:rPr>
          <w:rFonts w:ascii="Times New Roman" w:hAnsi="Times New Roman"/>
          <w:sz w:val="24"/>
          <w:szCs w:val="24"/>
          <w:lang w:eastAsia="ar-SA"/>
        </w:rPr>
        <w:t>, yra pakankamas, o bet koks bandymas teismų praktikos formavimą ir galimybę vadovautis tokia praktika sieti su konkrečiu laikotarpiu teisingumo vykdymą paverstų nominaliu,  organiškos teismų praktikos plėtros neužtikrinančiu procesu.</w:t>
      </w:r>
    </w:p>
    <w:p w:rsidR="003B699D" w:rsidRPr="003B699D" w:rsidRDefault="003B699D" w:rsidP="003B699D">
      <w:pPr>
        <w:suppressAutoHyphens/>
        <w:spacing w:line="360" w:lineRule="auto"/>
        <w:ind w:firstLine="851"/>
        <w:jc w:val="both"/>
        <w:rPr>
          <w:rFonts w:ascii="Times New Roman" w:hAnsi="Times New Roman"/>
          <w:sz w:val="24"/>
          <w:szCs w:val="24"/>
          <w:lang w:eastAsia="ar-SA"/>
        </w:rPr>
      </w:pPr>
      <w:r w:rsidRPr="003B699D">
        <w:rPr>
          <w:rFonts w:ascii="Times New Roman" w:hAnsi="Times New Roman"/>
          <w:sz w:val="24"/>
          <w:szCs w:val="24"/>
          <w:lang w:eastAsia="ar-SA"/>
        </w:rPr>
        <w:t xml:space="preserve">Pastebėtina, kad </w:t>
      </w:r>
      <w:r w:rsidR="00B56267" w:rsidRPr="00B56267">
        <w:rPr>
          <w:rFonts w:ascii="Times New Roman" w:hAnsi="Times New Roman"/>
          <w:sz w:val="24"/>
          <w:szCs w:val="24"/>
          <w:lang w:eastAsia="ar-SA"/>
        </w:rPr>
        <w:t xml:space="preserve">Civilinio proceso kodekso </w:t>
      </w:r>
      <w:r w:rsidRPr="003B699D">
        <w:rPr>
          <w:rFonts w:ascii="Times New Roman" w:hAnsi="Times New Roman"/>
          <w:sz w:val="24"/>
          <w:szCs w:val="24"/>
          <w:lang w:eastAsia="ar-SA"/>
        </w:rPr>
        <w:t xml:space="preserve">361 straipsnis reglamentuoja išimtinai kasacinio teismo nutarties (nutarimo) turinio aspektus, o peticijoje siūlomais pakeitimais siekiama iš esmės uždrausti Lietuvos Aukščiausiajam Teismui civilinėse ir </w:t>
      </w:r>
      <w:r w:rsidRPr="00E34D98">
        <w:rPr>
          <w:rFonts w:ascii="Times New Roman" w:hAnsi="Times New Roman"/>
          <w:iCs/>
          <w:sz w:val="24"/>
          <w:szCs w:val="24"/>
          <w:lang w:eastAsia="ar-SA"/>
        </w:rPr>
        <w:t>administracinėse bylose</w:t>
      </w:r>
      <w:r w:rsidRPr="003B699D">
        <w:rPr>
          <w:rFonts w:ascii="Times New Roman" w:hAnsi="Times New Roman"/>
          <w:sz w:val="24"/>
          <w:szCs w:val="24"/>
          <w:lang w:eastAsia="ar-SA"/>
        </w:rPr>
        <w:t xml:space="preserve"> remtis </w:t>
      </w:r>
      <w:bookmarkStart w:id="0" w:name="_Hlk116490298"/>
      <w:r w:rsidRPr="003B699D">
        <w:rPr>
          <w:rFonts w:ascii="Times New Roman" w:hAnsi="Times New Roman"/>
          <w:sz w:val="24"/>
          <w:szCs w:val="24"/>
          <w:lang w:eastAsia="ar-SA"/>
        </w:rPr>
        <w:t>senesne nei 5 metų teismų praktika</w:t>
      </w:r>
      <w:bookmarkEnd w:id="0"/>
      <w:r w:rsidRPr="003B699D">
        <w:rPr>
          <w:rFonts w:ascii="Times New Roman" w:hAnsi="Times New Roman"/>
          <w:sz w:val="24"/>
          <w:szCs w:val="24"/>
          <w:lang w:eastAsia="ar-SA"/>
        </w:rPr>
        <w:t>. Šiame kontekste svarbu pastebėti, kad Lietuvos Aukščiausiasis Teismas formuoja vienodą bendrosios komp</w:t>
      </w:r>
      <w:bookmarkStart w:id="1" w:name="_GoBack"/>
      <w:bookmarkEnd w:id="1"/>
      <w:r w:rsidRPr="003B699D">
        <w:rPr>
          <w:rFonts w:ascii="Times New Roman" w:hAnsi="Times New Roman"/>
          <w:sz w:val="24"/>
          <w:szCs w:val="24"/>
          <w:lang w:eastAsia="ar-SA"/>
        </w:rPr>
        <w:t>etencijos teismų praktiką aiškinant ir taikant įstatymus ir kitus teisės aktus</w:t>
      </w:r>
      <w:r w:rsidRPr="003B699D">
        <w:rPr>
          <w:rFonts w:ascii="Times New Roman" w:hAnsi="Times New Roman"/>
          <w:sz w:val="24"/>
          <w:szCs w:val="24"/>
          <w:vertAlign w:val="superscript"/>
          <w:lang w:eastAsia="ar-SA"/>
        </w:rPr>
        <w:footnoteReference w:id="4"/>
      </w:r>
      <w:r w:rsidRPr="003B699D">
        <w:rPr>
          <w:rFonts w:ascii="Times New Roman" w:hAnsi="Times New Roman"/>
          <w:sz w:val="24"/>
          <w:szCs w:val="24"/>
          <w:lang w:eastAsia="ar-SA"/>
        </w:rPr>
        <w:t>. Tuo tarpu vienodą administracinių teismų praktiką aiškinant ir taikant įstatymus bei kitus teisės aktus formuoja Lietuvos vyriausiasis administracinis teismas</w:t>
      </w:r>
      <w:r w:rsidRPr="003B699D">
        <w:rPr>
          <w:rFonts w:ascii="Times New Roman" w:hAnsi="Times New Roman"/>
          <w:sz w:val="24"/>
          <w:szCs w:val="24"/>
          <w:vertAlign w:val="superscript"/>
          <w:lang w:eastAsia="ar-SA"/>
        </w:rPr>
        <w:footnoteReference w:id="5"/>
      </w:r>
      <w:r w:rsidRPr="003B699D">
        <w:rPr>
          <w:rFonts w:ascii="Times New Roman" w:hAnsi="Times New Roman"/>
          <w:sz w:val="24"/>
          <w:szCs w:val="24"/>
          <w:lang w:eastAsia="ar-SA"/>
        </w:rPr>
        <w:t>. Vis dėlto tie patys argumentai, dėl kurių yra nepriimtinas siūlymas drausti Lietuvos Aukščiausiajam Teismui remtis senesne nei 5 metų teismų praktika, būtų taikytini ir tuo atveju, jei būtų siekiama drausti Lietuvos vyriausiajam administraciniam teismui remtis atitinkama praktika.</w:t>
      </w:r>
    </w:p>
    <w:p w:rsidR="003B699D" w:rsidRDefault="003B699D" w:rsidP="006E3392">
      <w:pPr>
        <w:suppressAutoHyphens/>
        <w:spacing w:line="360" w:lineRule="auto"/>
        <w:ind w:firstLine="851"/>
        <w:jc w:val="both"/>
      </w:pPr>
      <w:r w:rsidRPr="003B699D">
        <w:rPr>
          <w:rFonts w:ascii="Times New Roman" w:hAnsi="Times New Roman"/>
          <w:sz w:val="24"/>
          <w:szCs w:val="24"/>
          <w:lang w:eastAsia="ar-SA"/>
        </w:rPr>
        <w:t xml:space="preserve">Atsižvelgiant į tai, kas išdėstyta, bei vadovaujantis teismų praktikos stabilumo bei nuoseklumo principais, nėra tikslinga papildyti peticijoje nurodytą </w:t>
      </w:r>
      <w:r w:rsidR="00B56267" w:rsidRPr="00B56267">
        <w:rPr>
          <w:rFonts w:ascii="Times New Roman" w:hAnsi="Times New Roman"/>
          <w:sz w:val="24"/>
          <w:szCs w:val="24"/>
          <w:lang w:eastAsia="ar-SA"/>
        </w:rPr>
        <w:t xml:space="preserve">Civilinio proceso kodekso </w:t>
      </w:r>
      <w:r w:rsidRPr="003B699D">
        <w:rPr>
          <w:rFonts w:ascii="Times New Roman" w:hAnsi="Times New Roman"/>
          <w:sz w:val="24"/>
          <w:szCs w:val="24"/>
          <w:lang w:eastAsia="ar-SA"/>
        </w:rPr>
        <w:t>nuostatą, susijusią su kasacinio teismo nutarties turiniu</w:t>
      </w:r>
      <w:bookmarkStart w:id="2" w:name="_Hlk94618885"/>
      <w:r w:rsidRPr="003B699D">
        <w:rPr>
          <w:rFonts w:ascii="Times New Roman" w:hAnsi="Times New Roman"/>
          <w:sz w:val="24"/>
          <w:szCs w:val="24"/>
          <w:lang w:eastAsia="ar-SA"/>
        </w:rPr>
        <w:t>.</w:t>
      </w:r>
      <w:bookmarkEnd w:id="2"/>
    </w:p>
    <w:p w:rsidR="008B00C5" w:rsidRPr="00E95956" w:rsidRDefault="008B00C5" w:rsidP="00E95956">
      <w:pPr>
        <w:pStyle w:val="Betarp"/>
        <w:tabs>
          <w:tab w:val="left" w:pos="1134"/>
        </w:tabs>
        <w:spacing w:line="360" w:lineRule="auto"/>
        <w:ind w:firstLine="851"/>
        <w:jc w:val="both"/>
        <w:rPr>
          <w:rFonts w:ascii="Times New Roman" w:hAnsi="Times New Roman"/>
          <w:sz w:val="24"/>
          <w:szCs w:val="24"/>
          <w:lang w:eastAsia="ar-SA"/>
        </w:rPr>
      </w:pPr>
      <w:r w:rsidRPr="00E95956">
        <w:rPr>
          <w:rFonts w:ascii="Times New Roman" w:hAnsi="Times New Roman"/>
          <w:sz w:val="24"/>
          <w:szCs w:val="24"/>
          <w:lang w:eastAsia="ar-SA"/>
        </w:rPr>
        <w:t xml:space="preserve">Vadovaujantis Lietuvos Respublikos peticijų įstatymo 12 straipsnio 3 dalimi ir Seimo Peticijų komisijos nuostatų, patvirtintų Lietuvos Respublikos Seimo 1999 m. lapkričio 11 d. nutarimu Nr. VIII-1408 „Dėl Seimo Peticijų komisijos nuostatų patvirtinimo“, 28 punktu, Seimo Peticijų komisijos išvada dėl </w:t>
      </w:r>
      <w:r w:rsidR="00C56D00" w:rsidRPr="00E95956">
        <w:rPr>
          <w:rFonts w:ascii="Times New Roman" w:hAnsi="Times New Roman"/>
          <w:sz w:val="24"/>
          <w:szCs w:val="24"/>
          <w:lang w:eastAsia="ar-SA"/>
        </w:rPr>
        <w:t>V. Jurgaičio</w:t>
      </w:r>
      <w:r w:rsidRPr="00E95956">
        <w:rPr>
          <w:rFonts w:ascii="Times New Roman" w:hAnsi="Times New Roman"/>
          <w:sz w:val="24"/>
          <w:szCs w:val="24"/>
          <w:lang w:eastAsia="ar-SA"/>
        </w:rPr>
        <w:t xml:space="preserve"> peticijoje pateikt</w:t>
      </w:r>
      <w:r w:rsidR="00B56267">
        <w:rPr>
          <w:rFonts w:ascii="Times New Roman" w:hAnsi="Times New Roman"/>
          <w:sz w:val="24"/>
          <w:szCs w:val="24"/>
          <w:lang w:eastAsia="ar-SA"/>
        </w:rPr>
        <w:t>o</w:t>
      </w:r>
      <w:r w:rsidRPr="00E95956">
        <w:rPr>
          <w:rFonts w:ascii="Times New Roman" w:hAnsi="Times New Roman"/>
          <w:sz w:val="24"/>
          <w:szCs w:val="24"/>
          <w:lang w:eastAsia="ar-SA"/>
        </w:rPr>
        <w:t xml:space="preserve"> </w:t>
      </w:r>
      <w:r w:rsidR="00A43BD0" w:rsidRPr="00E95956">
        <w:rPr>
          <w:rFonts w:ascii="Times New Roman" w:hAnsi="Times New Roman"/>
          <w:sz w:val="24"/>
          <w:szCs w:val="24"/>
          <w:lang w:eastAsia="ar-SA"/>
        </w:rPr>
        <w:t>pa</w:t>
      </w:r>
      <w:r w:rsidRPr="00E95956">
        <w:rPr>
          <w:rFonts w:ascii="Times New Roman" w:hAnsi="Times New Roman"/>
          <w:sz w:val="24"/>
          <w:szCs w:val="24"/>
          <w:lang w:eastAsia="ar-SA"/>
        </w:rPr>
        <w:t>siūlym</w:t>
      </w:r>
      <w:r w:rsidR="00B56267">
        <w:rPr>
          <w:rFonts w:ascii="Times New Roman" w:hAnsi="Times New Roman"/>
          <w:sz w:val="24"/>
          <w:szCs w:val="24"/>
          <w:lang w:eastAsia="ar-SA"/>
        </w:rPr>
        <w:t>o</w:t>
      </w:r>
      <w:r w:rsidRPr="00E95956">
        <w:rPr>
          <w:rFonts w:ascii="Times New Roman" w:hAnsi="Times New Roman"/>
          <w:sz w:val="24"/>
          <w:szCs w:val="24"/>
          <w:lang w:eastAsia="ar-SA"/>
        </w:rPr>
        <w:t xml:space="preserve"> atmetimo teikiama Seimui, taip pat siūloma įtraukti į Seimo </w:t>
      </w:r>
      <w:r w:rsidR="00BA5940" w:rsidRPr="00E95956">
        <w:rPr>
          <w:rFonts w:ascii="Times New Roman" w:hAnsi="Times New Roman"/>
          <w:sz w:val="24"/>
          <w:szCs w:val="24"/>
          <w:lang w:eastAsia="ar-SA"/>
        </w:rPr>
        <w:t xml:space="preserve">rudens </w:t>
      </w:r>
      <w:r w:rsidRPr="00E95956">
        <w:rPr>
          <w:rFonts w:ascii="Times New Roman" w:hAnsi="Times New Roman"/>
          <w:sz w:val="24"/>
          <w:szCs w:val="24"/>
          <w:lang w:eastAsia="ar-SA"/>
        </w:rPr>
        <w:t xml:space="preserve">sesijos darbotvarkę Seimo nutarimo „Dėl Lietuvos Respublikos Seimo Peticijų komisijos išvados dėl </w:t>
      </w:r>
      <w:r w:rsidR="00C56D00" w:rsidRPr="00E95956">
        <w:rPr>
          <w:rFonts w:ascii="Times New Roman" w:hAnsi="Times New Roman"/>
          <w:sz w:val="24"/>
          <w:szCs w:val="24"/>
          <w:lang w:eastAsia="ar-SA"/>
        </w:rPr>
        <w:t>Virginijaus Jurgaičio</w:t>
      </w:r>
      <w:r w:rsidRPr="00E95956">
        <w:rPr>
          <w:rFonts w:ascii="Times New Roman" w:hAnsi="Times New Roman"/>
          <w:sz w:val="24"/>
          <w:szCs w:val="24"/>
          <w:lang w:eastAsia="ar-SA"/>
        </w:rPr>
        <w:t xml:space="preserve"> peticijos“ projektą.</w:t>
      </w:r>
    </w:p>
    <w:p w:rsidR="00135346" w:rsidRPr="00E95956" w:rsidRDefault="00135346" w:rsidP="006F155E">
      <w:pPr>
        <w:pStyle w:val="Betarp"/>
        <w:tabs>
          <w:tab w:val="left" w:pos="1134"/>
        </w:tabs>
        <w:spacing w:line="360" w:lineRule="auto"/>
        <w:ind w:firstLine="851"/>
        <w:jc w:val="both"/>
        <w:rPr>
          <w:rFonts w:ascii="Times New Roman" w:hAnsi="Times New Roman"/>
          <w:sz w:val="24"/>
          <w:szCs w:val="24"/>
          <w:lang w:eastAsia="ar-SA"/>
        </w:rPr>
      </w:pPr>
    </w:p>
    <w:p w:rsidR="00327E85" w:rsidRPr="00E95956" w:rsidRDefault="00327E85" w:rsidP="006F155E">
      <w:pPr>
        <w:pStyle w:val="Betarp"/>
        <w:tabs>
          <w:tab w:val="left" w:pos="1134"/>
        </w:tabs>
        <w:spacing w:line="360" w:lineRule="auto"/>
        <w:ind w:firstLine="851"/>
        <w:jc w:val="both"/>
        <w:rPr>
          <w:rFonts w:ascii="Times New Roman" w:hAnsi="Times New Roman"/>
          <w:sz w:val="24"/>
          <w:szCs w:val="24"/>
          <w:lang w:eastAsia="ar-SA"/>
        </w:rPr>
      </w:pPr>
    </w:p>
    <w:p w:rsidR="00135346" w:rsidRPr="00E95956" w:rsidRDefault="00135346" w:rsidP="00135346">
      <w:pPr>
        <w:pStyle w:val="Betarp"/>
        <w:tabs>
          <w:tab w:val="left" w:pos="1134"/>
        </w:tabs>
        <w:spacing w:line="360" w:lineRule="auto"/>
        <w:jc w:val="both"/>
        <w:rPr>
          <w:rFonts w:ascii="Times New Roman" w:hAnsi="Times New Roman"/>
          <w:sz w:val="24"/>
          <w:szCs w:val="24"/>
          <w:lang w:eastAsia="ar-SA"/>
        </w:rPr>
      </w:pPr>
      <w:r w:rsidRPr="00E95956">
        <w:rPr>
          <w:rFonts w:ascii="Times New Roman" w:hAnsi="Times New Roman"/>
          <w:sz w:val="24"/>
          <w:szCs w:val="24"/>
          <w:lang w:eastAsia="ar-SA"/>
        </w:rPr>
        <w:t>Komisijos pirminink</w:t>
      </w:r>
      <w:r w:rsidR="00AE3015" w:rsidRPr="00E95956">
        <w:rPr>
          <w:rFonts w:ascii="Times New Roman" w:hAnsi="Times New Roman"/>
          <w:sz w:val="24"/>
          <w:szCs w:val="24"/>
          <w:lang w:eastAsia="ar-SA"/>
        </w:rPr>
        <w:t>as</w:t>
      </w:r>
      <w:r w:rsidRPr="00E95956">
        <w:rPr>
          <w:rFonts w:ascii="Times New Roman" w:hAnsi="Times New Roman"/>
          <w:sz w:val="24"/>
          <w:szCs w:val="24"/>
          <w:lang w:eastAsia="ar-SA"/>
        </w:rPr>
        <w:tab/>
      </w:r>
      <w:r w:rsidRPr="00E95956">
        <w:rPr>
          <w:rFonts w:ascii="Times New Roman" w:hAnsi="Times New Roman"/>
          <w:sz w:val="24"/>
          <w:szCs w:val="24"/>
          <w:lang w:eastAsia="ar-SA"/>
        </w:rPr>
        <w:tab/>
      </w:r>
      <w:r w:rsidRPr="00E95956">
        <w:rPr>
          <w:rFonts w:ascii="Times New Roman" w:hAnsi="Times New Roman"/>
          <w:sz w:val="24"/>
          <w:szCs w:val="24"/>
          <w:lang w:eastAsia="ar-SA"/>
        </w:rPr>
        <w:tab/>
      </w:r>
      <w:r w:rsidRPr="00E95956">
        <w:rPr>
          <w:rFonts w:ascii="Times New Roman" w:hAnsi="Times New Roman"/>
          <w:sz w:val="24"/>
          <w:szCs w:val="24"/>
          <w:lang w:eastAsia="ar-SA"/>
        </w:rPr>
        <w:tab/>
      </w:r>
      <w:r w:rsidR="005263DF" w:rsidRPr="00E95956">
        <w:rPr>
          <w:rFonts w:ascii="Times New Roman" w:hAnsi="Times New Roman"/>
          <w:sz w:val="24"/>
          <w:szCs w:val="24"/>
          <w:lang w:eastAsia="ar-SA"/>
        </w:rPr>
        <w:tab/>
      </w:r>
      <w:r w:rsidRPr="00E95956">
        <w:rPr>
          <w:rFonts w:ascii="Times New Roman" w:hAnsi="Times New Roman"/>
          <w:sz w:val="24"/>
          <w:szCs w:val="24"/>
          <w:lang w:eastAsia="ar-SA"/>
        </w:rPr>
        <w:t>E</w:t>
      </w:r>
      <w:r w:rsidR="005263DF" w:rsidRPr="00E95956">
        <w:rPr>
          <w:rFonts w:ascii="Times New Roman" w:hAnsi="Times New Roman"/>
          <w:sz w:val="24"/>
          <w:szCs w:val="24"/>
          <w:lang w:eastAsia="ar-SA"/>
        </w:rPr>
        <w:t>dmundas Pupinis</w:t>
      </w:r>
    </w:p>
    <w:p w:rsidR="00340CC8" w:rsidRPr="00E95956" w:rsidRDefault="00340CC8" w:rsidP="00135346">
      <w:pPr>
        <w:pStyle w:val="Betarp"/>
        <w:tabs>
          <w:tab w:val="left" w:pos="1134"/>
        </w:tabs>
        <w:spacing w:line="360" w:lineRule="auto"/>
        <w:jc w:val="both"/>
        <w:rPr>
          <w:rFonts w:ascii="Times New Roman" w:hAnsi="Times New Roman"/>
          <w:sz w:val="24"/>
          <w:szCs w:val="24"/>
          <w:lang w:eastAsia="ar-SA"/>
        </w:rPr>
      </w:pPr>
    </w:p>
    <w:p w:rsidR="001076F4" w:rsidRPr="00E95956" w:rsidRDefault="001076F4" w:rsidP="00135346">
      <w:pPr>
        <w:pStyle w:val="Betarp"/>
        <w:tabs>
          <w:tab w:val="left" w:pos="1134"/>
        </w:tabs>
        <w:spacing w:line="360" w:lineRule="auto"/>
        <w:jc w:val="both"/>
        <w:rPr>
          <w:rFonts w:ascii="Times New Roman" w:hAnsi="Times New Roman"/>
          <w:sz w:val="24"/>
          <w:szCs w:val="24"/>
          <w:lang w:eastAsia="ar-SA"/>
        </w:rPr>
      </w:pPr>
    </w:p>
    <w:p w:rsidR="001076F4" w:rsidRPr="00E95956" w:rsidRDefault="001076F4" w:rsidP="00135346">
      <w:pPr>
        <w:pStyle w:val="Betarp"/>
        <w:tabs>
          <w:tab w:val="left" w:pos="1134"/>
        </w:tabs>
        <w:spacing w:line="360" w:lineRule="auto"/>
        <w:jc w:val="both"/>
        <w:rPr>
          <w:rFonts w:ascii="Times New Roman" w:hAnsi="Times New Roman"/>
          <w:sz w:val="24"/>
          <w:szCs w:val="24"/>
          <w:lang w:eastAsia="ar-SA"/>
        </w:rPr>
      </w:pPr>
    </w:p>
    <w:p w:rsidR="001076F4" w:rsidRPr="00E95956" w:rsidRDefault="001076F4" w:rsidP="00135346">
      <w:pPr>
        <w:pStyle w:val="Betarp"/>
        <w:tabs>
          <w:tab w:val="left" w:pos="1134"/>
        </w:tabs>
        <w:spacing w:line="360" w:lineRule="auto"/>
        <w:jc w:val="both"/>
        <w:rPr>
          <w:rFonts w:ascii="Times New Roman" w:hAnsi="Times New Roman"/>
          <w:sz w:val="24"/>
          <w:szCs w:val="24"/>
          <w:lang w:eastAsia="ar-SA"/>
        </w:rPr>
      </w:pPr>
    </w:p>
    <w:p w:rsidR="001076F4" w:rsidRPr="00E95956" w:rsidRDefault="001076F4" w:rsidP="00135346">
      <w:pPr>
        <w:pStyle w:val="Betarp"/>
        <w:tabs>
          <w:tab w:val="left" w:pos="1134"/>
        </w:tabs>
        <w:spacing w:line="360" w:lineRule="auto"/>
        <w:jc w:val="both"/>
        <w:rPr>
          <w:rFonts w:ascii="Times New Roman" w:hAnsi="Times New Roman"/>
          <w:sz w:val="24"/>
          <w:szCs w:val="24"/>
          <w:lang w:eastAsia="ar-SA"/>
        </w:rPr>
      </w:pPr>
    </w:p>
    <w:p w:rsidR="001076F4" w:rsidRPr="00E95956" w:rsidRDefault="001076F4" w:rsidP="00135346">
      <w:pPr>
        <w:pStyle w:val="Betarp"/>
        <w:tabs>
          <w:tab w:val="left" w:pos="1134"/>
        </w:tabs>
        <w:spacing w:line="360" w:lineRule="auto"/>
        <w:jc w:val="both"/>
        <w:rPr>
          <w:rFonts w:ascii="Times New Roman" w:hAnsi="Times New Roman"/>
          <w:sz w:val="24"/>
          <w:szCs w:val="24"/>
          <w:lang w:eastAsia="ar-SA"/>
        </w:rPr>
      </w:pPr>
    </w:p>
    <w:p w:rsidR="00327E85" w:rsidRPr="00E95956" w:rsidRDefault="00327E85" w:rsidP="00135346">
      <w:pPr>
        <w:pStyle w:val="Betarp"/>
        <w:tabs>
          <w:tab w:val="left" w:pos="1134"/>
        </w:tabs>
        <w:spacing w:line="360" w:lineRule="auto"/>
        <w:jc w:val="both"/>
        <w:rPr>
          <w:rFonts w:ascii="Times New Roman" w:hAnsi="Times New Roman"/>
          <w:sz w:val="24"/>
          <w:szCs w:val="24"/>
          <w:lang w:eastAsia="ar-SA"/>
        </w:rPr>
      </w:pPr>
    </w:p>
    <w:p w:rsidR="00327E85" w:rsidRPr="00E95956" w:rsidRDefault="00327E85" w:rsidP="00135346">
      <w:pPr>
        <w:pStyle w:val="Betarp"/>
        <w:tabs>
          <w:tab w:val="left" w:pos="1134"/>
        </w:tabs>
        <w:spacing w:line="360" w:lineRule="auto"/>
        <w:jc w:val="both"/>
        <w:rPr>
          <w:rFonts w:ascii="Times New Roman" w:hAnsi="Times New Roman"/>
          <w:sz w:val="24"/>
          <w:szCs w:val="24"/>
          <w:lang w:eastAsia="ar-SA"/>
        </w:rPr>
      </w:pPr>
    </w:p>
    <w:p w:rsidR="00327E85" w:rsidRPr="00E95956" w:rsidRDefault="00327E85" w:rsidP="00135346">
      <w:pPr>
        <w:pStyle w:val="Betarp"/>
        <w:tabs>
          <w:tab w:val="left" w:pos="1134"/>
        </w:tabs>
        <w:spacing w:line="360" w:lineRule="auto"/>
        <w:jc w:val="both"/>
        <w:rPr>
          <w:rFonts w:ascii="Times New Roman" w:hAnsi="Times New Roman"/>
          <w:sz w:val="24"/>
          <w:szCs w:val="24"/>
          <w:lang w:eastAsia="ar-SA"/>
        </w:rPr>
      </w:pPr>
    </w:p>
    <w:p w:rsidR="003F5F33" w:rsidRPr="00E95956" w:rsidRDefault="00B56267" w:rsidP="00883671">
      <w:pPr>
        <w:pStyle w:val="Betarp"/>
        <w:tabs>
          <w:tab w:val="left" w:pos="1134"/>
        </w:tabs>
        <w:spacing w:line="360" w:lineRule="auto"/>
        <w:jc w:val="both"/>
        <w:rPr>
          <w:rFonts w:ascii="Times New Roman" w:hAnsi="Times New Roman"/>
          <w:sz w:val="24"/>
          <w:szCs w:val="24"/>
        </w:rPr>
      </w:pPr>
      <w:r>
        <w:rPr>
          <w:rFonts w:ascii="Times New Roman" w:hAnsi="Times New Roman"/>
          <w:sz w:val="24"/>
          <w:szCs w:val="24"/>
          <w:lang w:eastAsia="ar-SA"/>
        </w:rPr>
        <w:t>R</w:t>
      </w:r>
      <w:r w:rsidR="00135346" w:rsidRPr="00E95956">
        <w:rPr>
          <w:rFonts w:ascii="Times New Roman" w:hAnsi="Times New Roman"/>
          <w:sz w:val="24"/>
          <w:szCs w:val="24"/>
          <w:lang w:eastAsia="ar-SA"/>
        </w:rPr>
        <w:t>asa Griciūtė, tel. (8 5)  239 6817, el. p. rasa.griciute@lrs.lt</w:t>
      </w:r>
    </w:p>
    <w:sectPr w:rsidR="003F5F33" w:rsidRPr="00E95956" w:rsidSect="00CB491B">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18F7" w:rsidRDefault="00A618F7" w:rsidP="00A618F7">
      <w:r>
        <w:separator/>
      </w:r>
    </w:p>
  </w:endnote>
  <w:endnote w:type="continuationSeparator" w:id="0">
    <w:p w:rsidR="00A618F7" w:rsidRDefault="00A618F7" w:rsidP="00A61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18F7" w:rsidRDefault="00A618F7" w:rsidP="00A618F7">
      <w:r>
        <w:separator/>
      </w:r>
    </w:p>
  </w:footnote>
  <w:footnote w:type="continuationSeparator" w:id="0">
    <w:p w:rsidR="00A618F7" w:rsidRDefault="00A618F7" w:rsidP="00A618F7">
      <w:r>
        <w:continuationSeparator/>
      </w:r>
    </w:p>
  </w:footnote>
  <w:footnote w:id="1">
    <w:p w:rsidR="003B699D" w:rsidRPr="003B699D" w:rsidRDefault="003B699D" w:rsidP="003B699D">
      <w:pPr>
        <w:pStyle w:val="Puslapioinaostekstas"/>
        <w:rPr>
          <w:lang w:val="lt-LT"/>
        </w:rPr>
      </w:pPr>
      <w:r w:rsidRPr="003B699D">
        <w:rPr>
          <w:rStyle w:val="Puslapioinaosnuoroda"/>
          <w:lang w:val="lt-LT"/>
        </w:rPr>
        <w:footnoteRef/>
      </w:r>
      <w:r w:rsidRPr="003B699D">
        <w:rPr>
          <w:lang w:val="lt-LT"/>
        </w:rPr>
        <w:t xml:space="preserve"> Lietuvos Aukščiausiojo Teismo 2011 m. lapkričio 21 d. nutartis, priimta civilinėje byloje Nr. 3K-3-439/2011.</w:t>
      </w:r>
    </w:p>
  </w:footnote>
  <w:footnote w:id="2">
    <w:p w:rsidR="003B699D" w:rsidRPr="003B699D" w:rsidRDefault="003B699D" w:rsidP="003B699D">
      <w:pPr>
        <w:pStyle w:val="Puslapioinaostekstas"/>
        <w:rPr>
          <w:lang w:val="lt-LT"/>
        </w:rPr>
      </w:pPr>
      <w:r w:rsidRPr="003B699D">
        <w:rPr>
          <w:rStyle w:val="Puslapioinaosnuoroda"/>
          <w:lang w:val="lt-LT"/>
        </w:rPr>
        <w:footnoteRef/>
      </w:r>
      <w:r w:rsidRPr="003B699D">
        <w:rPr>
          <w:lang w:val="lt-LT"/>
        </w:rPr>
        <w:t xml:space="preserve"> Konstitucinio Teismo 2006 m. kovo 28 d. nutarimas.</w:t>
      </w:r>
    </w:p>
  </w:footnote>
  <w:footnote w:id="3">
    <w:p w:rsidR="003B699D" w:rsidRPr="003B699D" w:rsidRDefault="003B699D" w:rsidP="003B699D">
      <w:pPr>
        <w:pStyle w:val="Puslapioinaostekstas"/>
        <w:numPr>
          <w:ilvl w:val="0"/>
          <w:numId w:val="2"/>
        </w:numPr>
        <w:suppressAutoHyphens/>
        <w:rPr>
          <w:lang w:val="lt-LT"/>
        </w:rPr>
      </w:pPr>
      <w:r w:rsidRPr="003B699D">
        <w:rPr>
          <w:rStyle w:val="Puslapioinaosnuoroda"/>
          <w:lang w:val="lt-LT"/>
        </w:rPr>
        <w:footnoteRef/>
      </w:r>
      <w:r w:rsidRPr="003B699D">
        <w:rPr>
          <w:lang w:val="lt-LT"/>
        </w:rPr>
        <w:t xml:space="preserve"> Žr., pavyzdžiui, Lietuvos Aukščiausiojo Teismo 2015 m. balandžio 7 d. nutartis, priimta civilinėje byloje Nr. 3K-3-183-248/2015.</w:t>
      </w:r>
    </w:p>
  </w:footnote>
  <w:footnote w:id="4">
    <w:p w:rsidR="003B699D" w:rsidRPr="003B699D" w:rsidRDefault="003B699D" w:rsidP="003B699D">
      <w:pPr>
        <w:pStyle w:val="Puslapioinaostekstas"/>
        <w:rPr>
          <w:lang w:val="lt-LT"/>
        </w:rPr>
      </w:pPr>
      <w:r w:rsidRPr="003B699D">
        <w:rPr>
          <w:rStyle w:val="Puslapioinaosnuoroda"/>
          <w:lang w:val="lt-LT"/>
        </w:rPr>
        <w:footnoteRef/>
      </w:r>
      <w:r w:rsidRPr="003B699D">
        <w:rPr>
          <w:lang w:val="lt-LT"/>
        </w:rPr>
        <w:t xml:space="preserve"> Lietuvos Respublikos teismų įstatymo 23 straipsnio 2 dalis.</w:t>
      </w:r>
    </w:p>
  </w:footnote>
  <w:footnote w:id="5">
    <w:p w:rsidR="003B699D" w:rsidRPr="003B699D" w:rsidRDefault="003B699D" w:rsidP="003B699D">
      <w:pPr>
        <w:pStyle w:val="Puslapioinaostekstas"/>
        <w:rPr>
          <w:lang w:val="lt-LT"/>
        </w:rPr>
      </w:pPr>
      <w:r w:rsidRPr="003B699D">
        <w:rPr>
          <w:rStyle w:val="Puslapioinaosnuoroda"/>
          <w:lang w:val="lt-LT"/>
        </w:rPr>
        <w:footnoteRef/>
      </w:r>
      <w:r w:rsidRPr="003B699D">
        <w:rPr>
          <w:lang w:val="lt-LT"/>
        </w:rPr>
        <w:t xml:space="preserve"> Lietuvos Respublikos teismų įstatymo 31 straipsnio 2 dalis.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327565"/>
      <w:docPartObj>
        <w:docPartGallery w:val="Page Numbers (Top of Page)"/>
        <w:docPartUnique/>
      </w:docPartObj>
    </w:sdtPr>
    <w:sdtEndPr>
      <w:rPr>
        <w:rFonts w:ascii="Times New Roman" w:hAnsi="Times New Roman"/>
        <w:sz w:val="24"/>
        <w:szCs w:val="24"/>
      </w:rPr>
    </w:sdtEndPr>
    <w:sdtContent>
      <w:p w:rsidR="00A618F7" w:rsidRPr="00A618F7" w:rsidRDefault="00A618F7">
        <w:pPr>
          <w:pStyle w:val="Antrats"/>
          <w:jc w:val="center"/>
          <w:rPr>
            <w:rFonts w:ascii="Times New Roman" w:hAnsi="Times New Roman"/>
            <w:sz w:val="24"/>
            <w:szCs w:val="24"/>
          </w:rPr>
        </w:pPr>
        <w:r w:rsidRPr="00A618F7">
          <w:rPr>
            <w:rFonts w:ascii="Times New Roman" w:hAnsi="Times New Roman"/>
            <w:sz w:val="24"/>
            <w:szCs w:val="24"/>
          </w:rPr>
          <w:fldChar w:fldCharType="begin"/>
        </w:r>
        <w:r w:rsidRPr="00A618F7">
          <w:rPr>
            <w:rFonts w:ascii="Times New Roman" w:hAnsi="Times New Roman"/>
            <w:sz w:val="24"/>
            <w:szCs w:val="24"/>
          </w:rPr>
          <w:instrText>PAGE   \* MERGEFORMAT</w:instrText>
        </w:r>
        <w:r w:rsidRPr="00A618F7">
          <w:rPr>
            <w:rFonts w:ascii="Times New Roman" w:hAnsi="Times New Roman"/>
            <w:sz w:val="24"/>
            <w:szCs w:val="24"/>
          </w:rPr>
          <w:fldChar w:fldCharType="separate"/>
        </w:r>
        <w:r w:rsidR="00E34D98">
          <w:rPr>
            <w:rFonts w:ascii="Times New Roman" w:hAnsi="Times New Roman"/>
            <w:noProof/>
            <w:sz w:val="24"/>
            <w:szCs w:val="24"/>
          </w:rPr>
          <w:t>3</w:t>
        </w:r>
        <w:r w:rsidRPr="00A618F7">
          <w:rPr>
            <w:rFonts w:ascii="Times New Roman" w:hAnsi="Times New Roman"/>
            <w:sz w:val="24"/>
            <w:szCs w:val="24"/>
          </w:rPr>
          <w:fldChar w:fldCharType="end"/>
        </w:r>
      </w:p>
    </w:sdtContent>
  </w:sdt>
  <w:p w:rsidR="00A618F7" w:rsidRDefault="00A618F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CA13290"/>
    <w:multiLevelType w:val="hybridMultilevel"/>
    <w:tmpl w:val="342ABEB8"/>
    <w:lvl w:ilvl="0" w:tplc="D71284B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4F0"/>
    <w:rsid w:val="00007646"/>
    <w:rsid w:val="00013CD3"/>
    <w:rsid w:val="00032E3D"/>
    <w:rsid w:val="00041A0D"/>
    <w:rsid w:val="0004523C"/>
    <w:rsid w:val="00063562"/>
    <w:rsid w:val="00064507"/>
    <w:rsid w:val="00065AB6"/>
    <w:rsid w:val="000676F6"/>
    <w:rsid w:val="00094970"/>
    <w:rsid w:val="000A1F59"/>
    <w:rsid w:val="000A2419"/>
    <w:rsid w:val="000B29C8"/>
    <w:rsid w:val="000B67CB"/>
    <w:rsid w:val="000E1825"/>
    <w:rsid w:val="001048E0"/>
    <w:rsid w:val="001076F4"/>
    <w:rsid w:val="00111A10"/>
    <w:rsid w:val="00112561"/>
    <w:rsid w:val="001143A8"/>
    <w:rsid w:val="0011643A"/>
    <w:rsid w:val="0013103A"/>
    <w:rsid w:val="00134578"/>
    <w:rsid w:val="00135346"/>
    <w:rsid w:val="001427D0"/>
    <w:rsid w:val="0017707D"/>
    <w:rsid w:val="00184772"/>
    <w:rsid w:val="00187D1B"/>
    <w:rsid w:val="00197428"/>
    <w:rsid w:val="001B5EC0"/>
    <w:rsid w:val="001D0891"/>
    <w:rsid w:val="001D14A2"/>
    <w:rsid w:val="001D580C"/>
    <w:rsid w:val="001D6691"/>
    <w:rsid w:val="001D67C8"/>
    <w:rsid w:val="001E3FE2"/>
    <w:rsid w:val="001F2ABA"/>
    <w:rsid w:val="0020770A"/>
    <w:rsid w:val="00227101"/>
    <w:rsid w:val="00230C3F"/>
    <w:rsid w:val="00233F42"/>
    <w:rsid w:val="002368D3"/>
    <w:rsid w:val="00236F81"/>
    <w:rsid w:val="00245E31"/>
    <w:rsid w:val="00246EB6"/>
    <w:rsid w:val="00247207"/>
    <w:rsid w:val="002600BA"/>
    <w:rsid w:val="00260E6C"/>
    <w:rsid w:val="002658CB"/>
    <w:rsid w:val="00280B58"/>
    <w:rsid w:val="002821BF"/>
    <w:rsid w:val="00282617"/>
    <w:rsid w:val="00290605"/>
    <w:rsid w:val="00292C99"/>
    <w:rsid w:val="002A2CA5"/>
    <w:rsid w:val="002B7393"/>
    <w:rsid w:val="002C47F6"/>
    <w:rsid w:val="002D2770"/>
    <w:rsid w:val="002D61FF"/>
    <w:rsid w:val="002D6AC5"/>
    <w:rsid w:val="002F5F3E"/>
    <w:rsid w:val="00302517"/>
    <w:rsid w:val="00327E85"/>
    <w:rsid w:val="003364F0"/>
    <w:rsid w:val="00340CC8"/>
    <w:rsid w:val="00343064"/>
    <w:rsid w:val="003515CC"/>
    <w:rsid w:val="00355146"/>
    <w:rsid w:val="003964E1"/>
    <w:rsid w:val="003B1E99"/>
    <w:rsid w:val="003B26F9"/>
    <w:rsid w:val="003B5D73"/>
    <w:rsid w:val="003B699D"/>
    <w:rsid w:val="003C249C"/>
    <w:rsid w:val="003E7934"/>
    <w:rsid w:val="003F3B6E"/>
    <w:rsid w:val="003F5F33"/>
    <w:rsid w:val="003F685E"/>
    <w:rsid w:val="004022D3"/>
    <w:rsid w:val="004202F5"/>
    <w:rsid w:val="004324C5"/>
    <w:rsid w:val="00471F84"/>
    <w:rsid w:val="004746FE"/>
    <w:rsid w:val="004819E5"/>
    <w:rsid w:val="00487756"/>
    <w:rsid w:val="004B30F1"/>
    <w:rsid w:val="004C24E7"/>
    <w:rsid w:val="004C75FF"/>
    <w:rsid w:val="004D13DA"/>
    <w:rsid w:val="004D6DEE"/>
    <w:rsid w:val="004F3132"/>
    <w:rsid w:val="00505204"/>
    <w:rsid w:val="0051109C"/>
    <w:rsid w:val="00524D2C"/>
    <w:rsid w:val="005263DF"/>
    <w:rsid w:val="00534504"/>
    <w:rsid w:val="005450CA"/>
    <w:rsid w:val="00545CA1"/>
    <w:rsid w:val="00576E5E"/>
    <w:rsid w:val="00584987"/>
    <w:rsid w:val="005A10E2"/>
    <w:rsid w:val="005A5045"/>
    <w:rsid w:val="005C497B"/>
    <w:rsid w:val="005C5B44"/>
    <w:rsid w:val="005E074A"/>
    <w:rsid w:val="00611CBD"/>
    <w:rsid w:val="00621034"/>
    <w:rsid w:val="00637B2E"/>
    <w:rsid w:val="00637B5A"/>
    <w:rsid w:val="0064594B"/>
    <w:rsid w:val="00662E5D"/>
    <w:rsid w:val="00662F43"/>
    <w:rsid w:val="006677DE"/>
    <w:rsid w:val="006775A3"/>
    <w:rsid w:val="00691256"/>
    <w:rsid w:val="006A1AC7"/>
    <w:rsid w:val="006B2F70"/>
    <w:rsid w:val="006B7732"/>
    <w:rsid w:val="006E3392"/>
    <w:rsid w:val="006E39CA"/>
    <w:rsid w:val="006E53DD"/>
    <w:rsid w:val="006E7DC2"/>
    <w:rsid w:val="006F155E"/>
    <w:rsid w:val="006F3AF7"/>
    <w:rsid w:val="006F6977"/>
    <w:rsid w:val="007153A5"/>
    <w:rsid w:val="00746659"/>
    <w:rsid w:val="007616B6"/>
    <w:rsid w:val="00764F56"/>
    <w:rsid w:val="00767FBF"/>
    <w:rsid w:val="00776CE2"/>
    <w:rsid w:val="00781A5A"/>
    <w:rsid w:val="0079348F"/>
    <w:rsid w:val="00795533"/>
    <w:rsid w:val="007A504A"/>
    <w:rsid w:val="007B2D21"/>
    <w:rsid w:val="007B6AC5"/>
    <w:rsid w:val="007C64BC"/>
    <w:rsid w:val="007D16B6"/>
    <w:rsid w:val="007F7219"/>
    <w:rsid w:val="00804BD5"/>
    <w:rsid w:val="00805CE1"/>
    <w:rsid w:val="0081346E"/>
    <w:rsid w:val="0082419F"/>
    <w:rsid w:val="00831ABF"/>
    <w:rsid w:val="00861944"/>
    <w:rsid w:val="0087566D"/>
    <w:rsid w:val="0088091B"/>
    <w:rsid w:val="00881819"/>
    <w:rsid w:val="008831BA"/>
    <w:rsid w:val="00883671"/>
    <w:rsid w:val="008852EF"/>
    <w:rsid w:val="00890254"/>
    <w:rsid w:val="008945C5"/>
    <w:rsid w:val="00897545"/>
    <w:rsid w:val="008A5D53"/>
    <w:rsid w:val="008B00C5"/>
    <w:rsid w:val="008B40FD"/>
    <w:rsid w:val="008D0BEC"/>
    <w:rsid w:val="008D27FA"/>
    <w:rsid w:val="008E6956"/>
    <w:rsid w:val="008F14D1"/>
    <w:rsid w:val="008F2D63"/>
    <w:rsid w:val="008F3913"/>
    <w:rsid w:val="00913592"/>
    <w:rsid w:val="00916F60"/>
    <w:rsid w:val="0094550E"/>
    <w:rsid w:val="00945932"/>
    <w:rsid w:val="00947680"/>
    <w:rsid w:val="00955C87"/>
    <w:rsid w:val="00960CD0"/>
    <w:rsid w:val="0096259C"/>
    <w:rsid w:val="0096678A"/>
    <w:rsid w:val="00972156"/>
    <w:rsid w:val="00972B81"/>
    <w:rsid w:val="00997E64"/>
    <w:rsid w:val="009A1042"/>
    <w:rsid w:val="009A28EC"/>
    <w:rsid w:val="009C50B2"/>
    <w:rsid w:val="009D44CA"/>
    <w:rsid w:val="009D61C9"/>
    <w:rsid w:val="009D7F95"/>
    <w:rsid w:val="009F6A1C"/>
    <w:rsid w:val="00A11004"/>
    <w:rsid w:val="00A143BD"/>
    <w:rsid w:val="00A17B6D"/>
    <w:rsid w:val="00A24DB6"/>
    <w:rsid w:val="00A30897"/>
    <w:rsid w:val="00A31867"/>
    <w:rsid w:val="00A40019"/>
    <w:rsid w:val="00A43BD0"/>
    <w:rsid w:val="00A43CFE"/>
    <w:rsid w:val="00A44BB1"/>
    <w:rsid w:val="00A47BDB"/>
    <w:rsid w:val="00A524BE"/>
    <w:rsid w:val="00A618F7"/>
    <w:rsid w:val="00A65887"/>
    <w:rsid w:val="00A659B1"/>
    <w:rsid w:val="00A8642B"/>
    <w:rsid w:val="00A90743"/>
    <w:rsid w:val="00AC06DA"/>
    <w:rsid w:val="00AD200E"/>
    <w:rsid w:val="00AE2911"/>
    <w:rsid w:val="00AE3015"/>
    <w:rsid w:val="00AF1C09"/>
    <w:rsid w:val="00AF2260"/>
    <w:rsid w:val="00AF2ACD"/>
    <w:rsid w:val="00B026AC"/>
    <w:rsid w:val="00B10E22"/>
    <w:rsid w:val="00B13C0D"/>
    <w:rsid w:val="00B207BF"/>
    <w:rsid w:val="00B27A99"/>
    <w:rsid w:val="00B34F8A"/>
    <w:rsid w:val="00B5127D"/>
    <w:rsid w:val="00B56267"/>
    <w:rsid w:val="00B62255"/>
    <w:rsid w:val="00B63344"/>
    <w:rsid w:val="00B74E60"/>
    <w:rsid w:val="00B81CDD"/>
    <w:rsid w:val="00B876EF"/>
    <w:rsid w:val="00B9363C"/>
    <w:rsid w:val="00B9698B"/>
    <w:rsid w:val="00BA5940"/>
    <w:rsid w:val="00BC11D0"/>
    <w:rsid w:val="00BD507D"/>
    <w:rsid w:val="00C04105"/>
    <w:rsid w:val="00C073E5"/>
    <w:rsid w:val="00C10528"/>
    <w:rsid w:val="00C2424F"/>
    <w:rsid w:val="00C50C11"/>
    <w:rsid w:val="00C51EED"/>
    <w:rsid w:val="00C56D00"/>
    <w:rsid w:val="00C61088"/>
    <w:rsid w:val="00C703AF"/>
    <w:rsid w:val="00C84E99"/>
    <w:rsid w:val="00C852F5"/>
    <w:rsid w:val="00C94265"/>
    <w:rsid w:val="00CA65A9"/>
    <w:rsid w:val="00CB491B"/>
    <w:rsid w:val="00CD1B33"/>
    <w:rsid w:val="00CD23CA"/>
    <w:rsid w:val="00CD63C8"/>
    <w:rsid w:val="00CF6EE3"/>
    <w:rsid w:val="00D348F0"/>
    <w:rsid w:val="00D36D0D"/>
    <w:rsid w:val="00D64B1B"/>
    <w:rsid w:val="00D75803"/>
    <w:rsid w:val="00D84646"/>
    <w:rsid w:val="00D861E5"/>
    <w:rsid w:val="00DD24C8"/>
    <w:rsid w:val="00DD493D"/>
    <w:rsid w:val="00DF26D9"/>
    <w:rsid w:val="00DF4CDF"/>
    <w:rsid w:val="00E108F4"/>
    <w:rsid w:val="00E15961"/>
    <w:rsid w:val="00E24D2A"/>
    <w:rsid w:val="00E34D98"/>
    <w:rsid w:val="00E43CC1"/>
    <w:rsid w:val="00E5184F"/>
    <w:rsid w:val="00E53C9A"/>
    <w:rsid w:val="00E628D9"/>
    <w:rsid w:val="00E63F36"/>
    <w:rsid w:val="00E66D4B"/>
    <w:rsid w:val="00E74523"/>
    <w:rsid w:val="00E95956"/>
    <w:rsid w:val="00EB4DC2"/>
    <w:rsid w:val="00EB605B"/>
    <w:rsid w:val="00EF5655"/>
    <w:rsid w:val="00F02558"/>
    <w:rsid w:val="00F12000"/>
    <w:rsid w:val="00F21A7E"/>
    <w:rsid w:val="00F25EF4"/>
    <w:rsid w:val="00F45F4F"/>
    <w:rsid w:val="00F53F45"/>
    <w:rsid w:val="00F55B27"/>
    <w:rsid w:val="00F60698"/>
    <w:rsid w:val="00F60B44"/>
    <w:rsid w:val="00F62411"/>
    <w:rsid w:val="00F64267"/>
    <w:rsid w:val="00F74B23"/>
    <w:rsid w:val="00F80EAA"/>
    <w:rsid w:val="00F90586"/>
    <w:rsid w:val="00FA218A"/>
    <w:rsid w:val="00FB2777"/>
    <w:rsid w:val="00FB44D3"/>
    <w:rsid w:val="00FD1C8B"/>
    <w:rsid w:val="00FD59C1"/>
    <w:rsid w:val="00FE7736"/>
    <w:rsid w:val="00FF58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F6293"/>
  <w15:chartTrackingRefBased/>
  <w15:docId w15:val="{41A0FEC3-8DAE-4169-9786-01E502670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D6AC5"/>
    <w:pPr>
      <w:spacing w:after="0" w:line="240" w:lineRule="auto"/>
    </w:pPr>
    <w:rPr>
      <w:rFonts w:ascii="CG Times" w:eastAsia="Times New Roman" w:hAnsi="CG Times" w:cs="Times New Roman"/>
      <w:sz w:val="20"/>
      <w:szCs w:val="20"/>
    </w:rPr>
  </w:style>
  <w:style w:type="paragraph" w:styleId="Antrat1">
    <w:name w:val="heading 1"/>
    <w:basedOn w:val="prastasis"/>
    <w:next w:val="prastasis"/>
    <w:link w:val="Antrat1Diagrama"/>
    <w:rsid w:val="003B699D"/>
    <w:pPr>
      <w:keepNext/>
      <w:numPr>
        <w:numId w:val="2"/>
      </w:numPr>
      <w:suppressAutoHyphens/>
      <w:outlineLvl w:val="0"/>
    </w:pPr>
    <w:rPr>
      <w:rFonts w:ascii="Times New Roman" w:hAnsi="Times New Roman"/>
      <w:b/>
      <w:bCs/>
      <w:sz w:val="24"/>
      <w:szCs w:val="24"/>
      <w:u w:val="single"/>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576E5E"/>
    <w:pPr>
      <w:spacing w:after="0" w:line="240" w:lineRule="auto"/>
    </w:pPr>
    <w:rPr>
      <w:rFonts w:ascii="Calibri" w:eastAsia="Calibri" w:hAnsi="Calibri" w:cs="Times New Roman"/>
    </w:rPr>
  </w:style>
  <w:style w:type="paragraph" w:customStyle="1" w:styleId="AssecoParagraphNormalFirstLine">
    <w:name w:val="Asseco Paragraph Normal First Line"/>
    <w:basedOn w:val="prastasis"/>
    <w:qFormat/>
    <w:rsid w:val="00A30897"/>
    <w:pPr>
      <w:ind w:firstLine="709"/>
      <w:jc w:val="both"/>
    </w:pPr>
    <w:rPr>
      <w:rFonts w:ascii="Calibri" w:hAnsi="Calibri"/>
      <w:sz w:val="22"/>
      <w:lang w:eastAsia="pl-PL"/>
    </w:rPr>
  </w:style>
  <w:style w:type="paragraph" w:styleId="Antrats">
    <w:name w:val="header"/>
    <w:basedOn w:val="prastasis"/>
    <w:link w:val="AntratsDiagrama"/>
    <w:uiPriority w:val="99"/>
    <w:unhideWhenUsed/>
    <w:rsid w:val="00A618F7"/>
    <w:pPr>
      <w:tabs>
        <w:tab w:val="center" w:pos="4819"/>
        <w:tab w:val="right" w:pos="9638"/>
      </w:tabs>
    </w:pPr>
  </w:style>
  <w:style w:type="character" w:customStyle="1" w:styleId="AntratsDiagrama">
    <w:name w:val="Antraštės Diagrama"/>
    <w:basedOn w:val="Numatytasispastraiposriftas"/>
    <w:link w:val="Antrats"/>
    <w:uiPriority w:val="99"/>
    <w:rsid w:val="00A618F7"/>
    <w:rPr>
      <w:rFonts w:ascii="CG Times" w:eastAsia="Times New Roman" w:hAnsi="CG Times" w:cs="Times New Roman"/>
      <w:sz w:val="20"/>
      <w:szCs w:val="20"/>
    </w:rPr>
  </w:style>
  <w:style w:type="paragraph" w:styleId="Porat">
    <w:name w:val="footer"/>
    <w:basedOn w:val="prastasis"/>
    <w:link w:val="PoratDiagrama"/>
    <w:uiPriority w:val="99"/>
    <w:unhideWhenUsed/>
    <w:rsid w:val="00A618F7"/>
    <w:pPr>
      <w:tabs>
        <w:tab w:val="center" w:pos="4819"/>
        <w:tab w:val="right" w:pos="9638"/>
      </w:tabs>
    </w:pPr>
  </w:style>
  <w:style w:type="character" w:customStyle="1" w:styleId="PoratDiagrama">
    <w:name w:val="Poraštė Diagrama"/>
    <w:basedOn w:val="Numatytasispastraiposriftas"/>
    <w:link w:val="Porat"/>
    <w:uiPriority w:val="99"/>
    <w:rsid w:val="00A618F7"/>
    <w:rPr>
      <w:rFonts w:ascii="CG Times" w:eastAsia="Times New Roman" w:hAnsi="CG Times" w:cs="Times New Roman"/>
      <w:sz w:val="20"/>
      <w:szCs w:val="20"/>
    </w:rPr>
  </w:style>
  <w:style w:type="paragraph" w:styleId="Puslapioinaostekstas">
    <w:name w:val="footnote text"/>
    <w:basedOn w:val="prastasis"/>
    <w:link w:val="PuslapioinaostekstasDiagrama"/>
    <w:uiPriority w:val="99"/>
    <w:unhideWhenUsed/>
    <w:rsid w:val="00DD493D"/>
    <w:rPr>
      <w:rFonts w:ascii="Times New Roman" w:hAnsi="Times New Roman"/>
      <w:lang w:val="en-US"/>
    </w:rPr>
  </w:style>
  <w:style w:type="character" w:customStyle="1" w:styleId="PuslapioinaostekstasDiagrama">
    <w:name w:val="Puslapio išnašos tekstas Diagrama"/>
    <w:basedOn w:val="Numatytasispastraiposriftas"/>
    <w:link w:val="Puslapioinaostekstas"/>
    <w:rsid w:val="00DD493D"/>
    <w:rPr>
      <w:rFonts w:ascii="Times New Roman" w:eastAsia="Times New Roman" w:hAnsi="Times New Roman" w:cs="Times New Roman"/>
      <w:sz w:val="20"/>
      <w:szCs w:val="20"/>
      <w:lang w:val="en-US"/>
    </w:rPr>
  </w:style>
  <w:style w:type="character" w:styleId="Puslapioinaosnuoroda">
    <w:name w:val="footnote reference"/>
    <w:basedOn w:val="Numatytasispastraiposriftas"/>
    <w:unhideWhenUsed/>
    <w:rsid w:val="00DD493D"/>
    <w:rPr>
      <w:vertAlign w:val="superscript"/>
    </w:rPr>
  </w:style>
  <w:style w:type="paragraph" w:customStyle="1" w:styleId="Default">
    <w:name w:val="Default"/>
    <w:rsid w:val="00CD23CA"/>
    <w:pPr>
      <w:autoSpaceDE w:val="0"/>
      <w:autoSpaceDN w:val="0"/>
      <w:adjustRightInd w:val="0"/>
      <w:spacing w:after="0" w:line="240" w:lineRule="auto"/>
    </w:pPr>
    <w:rPr>
      <w:rFonts w:ascii="Times New Roman" w:hAnsi="Times New Roman" w:cs="Times New Roman"/>
      <w:color w:val="000000"/>
      <w:sz w:val="24"/>
      <w:szCs w:val="24"/>
    </w:rPr>
  </w:style>
  <w:style w:type="character" w:styleId="Hipersaitas">
    <w:name w:val="Hyperlink"/>
    <w:rsid w:val="000B29C8"/>
    <w:rPr>
      <w:color w:val="auto"/>
      <w:u w:val="none"/>
    </w:rPr>
  </w:style>
  <w:style w:type="character" w:styleId="Grietas">
    <w:name w:val="Strong"/>
    <w:basedOn w:val="Numatytasispastraiposriftas"/>
    <w:uiPriority w:val="22"/>
    <w:qFormat/>
    <w:rsid w:val="000B29C8"/>
    <w:rPr>
      <w:b/>
      <w:bCs/>
    </w:rPr>
  </w:style>
  <w:style w:type="paragraph" w:styleId="prastasiniatinklio">
    <w:name w:val="Normal (Web)"/>
    <w:basedOn w:val="prastasis"/>
    <w:uiPriority w:val="99"/>
    <w:unhideWhenUsed/>
    <w:rsid w:val="000B29C8"/>
    <w:pPr>
      <w:spacing w:before="100" w:beforeAutospacing="1" w:after="100" w:afterAutospacing="1"/>
    </w:pPr>
    <w:rPr>
      <w:rFonts w:ascii="Times New Roman" w:hAnsi="Times New Roman"/>
      <w:sz w:val="24"/>
      <w:szCs w:val="24"/>
      <w:lang w:eastAsia="lt-LT"/>
    </w:rPr>
  </w:style>
  <w:style w:type="character" w:customStyle="1" w:styleId="Antrat1Diagrama">
    <w:name w:val="Antraštė 1 Diagrama"/>
    <w:basedOn w:val="Numatytasispastraiposriftas"/>
    <w:link w:val="Antrat1"/>
    <w:rsid w:val="003B699D"/>
    <w:rPr>
      <w:rFonts w:ascii="Times New Roman" w:eastAsia="Times New Roman" w:hAnsi="Times New Roman" w:cs="Times New Roman"/>
      <w:b/>
      <w:bCs/>
      <w:sz w:val="24"/>
      <w:szCs w:val="24"/>
      <w:u w:val="single"/>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Z6YWEJNPDQQR-896559167-302</_dlc_DocId>
    <_dlc_DocIdUrl xmlns="28130d43-1b56-4a10-ad88-2cd38123f4c1">
      <Url>https://intranetas.lrs.lt/29/_layouts/15/DocIdRedir.aspx?ID=Z6YWEJNPDQQR-896559167-302</Url>
      <Description>Z6YWEJNPDQQR-896559167-302</Description>
    </_dlc_DocIdUrl>
  </documentManagement>
</p:properties>
</file>

<file path=customXml/itemProps1.xml><?xml version="1.0" encoding="utf-8"?>
<ds:datastoreItem xmlns:ds="http://schemas.openxmlformats.org/officeDocument/2006/customXml" ds:itemID="{E8D5A525-DFAE-4D6A-858B-C74A94C2FF28}"/>
</file>

<file path=customXml/itemProps2.xml><?xml version="1.0" encoding="utf-8"?>
<ds:datastoreItem xmlns:ds="http://schemas.openxmlformats.org/officeDocument/2006/customXml" ds:itemID="{067B519C-B93D-4CE1-B5F3-DB4C1B090E61}"/>
</file>

<file path=customXml/itemProps3.xml><?xml version="1.0" encoding="utf-8"?>
<ds:datastoreItem xmlns:ds="http://schemas.openxmlformats.org/officeDocument/2006/customXml" ds:itemID="{9FA1D9B4-3758-47D4-AC09-79F1F37EA3F2}"/>
</file>

<file path=customXml/itemProps4.xml><?xml version="1.0" encoding="utf-8"?>
<ds:datastoreItem xmlns:ds="http://schemas.openxmlformats.org/officeDocument/2006/customXml" ds:itemID="{610FC339-58F3-45BD-8320-8E654B09E5EE}"/>
</file>

<file path=docProps/app.xml><?xml version="1.0" encoding="utf-8"?>
<Properties xmlns="http://schemas.openxmlformats.org/officeDocument/2006/extended-properties" xmlns:vt="http://schemas.openxmlformats.org/officeDocument/2006/docPropsVTypes">
  <Template>Normal.dotm</Template>
  <TotalTime>85</TotalTime>
  <Pages>3</Pages>
  <Words>4459</Words>
  <Characters>2542</Characters>
  <Application>Microsoft Office Word</Application>
  <DocSecurity>0</DocSecurity>
  <Lines>21</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GRICIŪTĖ Rasa</dc:creator>
  <cp:keywords/>
  <dc:description/>
  <cp:lastModifiedBy>GRICIŪTĖ Rasa</cp:lastModifiedBy>
  <cp:revision>6</cp:revision>
  <dcterms:created xsi:type="dcterms:W3CDTF">2022-11-09T12:03:00Z</dcterms:created>
  <dcterms:modified xsi:type="dcterms:W3CDTF">2022-11-21T07:19:00Z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_dlc_DocIdItemGuid">
    <vt:lpwstr>92850dc2-53d7-4849-be0d-dfc4539dc600</vt:lpwstr>
  </property>
</Properties>
</file>