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FD1E14" w:rsidRDefault="00EB4FAD">
          <w:pPr>
            <w:spacing w:line="360" w:lineRule="auto"/>
            <w:jc w:val="center"/>
            <w:rPr>
              <w:rFonts w:eastAsia="Calibri"/>
              <w:szCs w:val="24"/>
              <w:lang w:val="en-US"/>
            </w:rPr>
          </w:pPr>
          <w:r w:rsidRPr="00FD1E14">
            <w:rPr>
              <w:rFonts w:eastAsia="Calibri"/>
              <w:szCs w:val="24"/>
            </w:rPr>
            <w:t>2</w:t>
          </w:r>
          <w:r w:rsidR="001606EE" w:rsidRPr="00FD1E14">
            <w:rPr>
              <w:rFonts w:eastAsia="Calibri"/>
              <w:szCs w:val="24"/>
            </w:rPr>
            <w:t xml:space="preserve">025 m. gegužės </w:t>
          </w:r>
          <w:r w:rsidR="001606EE" w:rsidRPr="00FD1E14">
            <w:rPr>
              <w:rFonts w:eastAsia="Calibri"/>
              <w:szCs w:val="24"/>
              <w:lang w:val="en-US"/>
            </w:rPr>
            <w:t>21</w:t>
          </w:r>
          <w:r w:rsidR="001606EE" w:rsidRPr="00FD1E14">
            <w:rPr>
              <w:rFonts w:eastAsia="Calibri"/>
              <w:szCs w:val="24"/>
            </w:rPr>
            <w:t xml:space="preserve"> d. Nr. 250-I-9</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5D0813" w:rsidRPr="00FD1E14" w:rsidRDefault="00AC3DB9" w:rsidP="00713644">
              <w:pPr>
                <w:pStyle w:val="Default"/>
                <w:spacing w:line="360" w:lineRule="auto"/>
                <w:ind w:firstLine="720"/>
                <w:jc w:val="both"/>
                <w:rPr>
                  <w:color w:val="000000" w:themeColor="text1"/>
                </w:rPr>
              </w:pPr>
              <w:r w:rsidRPr="00FD1E14">
                <w:t>Lietuvos Respublikos Seimo Pe</w:t>
              </w:r>
              <w:r w:rsidR="00FF75B2" w:rsidRPr="00FD1E14">
                <w:t xml:space="preserve">ticijų komisija </w:t>
              </w:r>
              <w:r w:rsidR="00C145A4" w:rsidRPr="00FD1E14">
                <w:t xml:space="preserve">(toliau – Komisija) </w:t>
              </w:r>
              <w:r w:rsidR="001606EE" w:rsidRPr="00FD1E14">
                <w:t xml:space="preserve">2025 m. gegužės </w:t>
              </w:r>
              <w:r w:rsidR="001606EE" w:rsidRPr="00FD1E14">
                <w:rPr>
                  <w:lang w:val="en-US"/>
                </w:rPr>
                <w:t xml:space="preserve">21 </w:t>
              </w:r>
              <w:r w:rsidRPr="00FD1E14">
                <w:t>d.</w:t>
              </w:r>
              <w:r w:rsidR="00916CF8" w:rsidRPr="00FD1E14">
                <w:t xml:space="preserve"> posėdyje išnagrinėjo pareiškėjo</w:t>
              </w:r>
              <w:r w:rsidRPr="00FD1E14">
                <w:t xml:space="preserve"> petic</w:t>
              </w:r>
              <w:r w:rsidR="00D92E3C" w:rsidRPr="00FD1E14">
                <w:t>iją, kurioje pateiktas siūlymas</w:t>
              </w:r>
              <w:r w:rsidR="00D92E3C" w:rsidRPr="00FD1E14">
                <w:rPr>
                  <w:color w:val="1F4E79" w:themeColor="accent1" w:themeShade="80"/>
                  <w:lang w:bidi="bn-IN"/>
                </w:rPr>
                <w:t xml:space="preserve"> </w:t>
              </w:r>
              <w:r w:rsidR="00EB4FAD" w:rsidRPr="00FD1E14">
                <w:t xml:space="preserve">dėl </w:t>
              </w:r>
              <w:proofErr w:type="spellStart"/>
              <w:r w:rsidR="001606EE" w:rsidRPr="00FD1E14">
                <w:rPr>
                  <w:lang w:val="en"/>
                </w:rPr>
                <w:t>Lietuvos</w:t>
              </w:r>
              <w:proofErr w:type="spellEnd"/>
              <w:r w:rsidR="001606EE" w:rsidRPr="00FD1E14">
                <w:rPr>
                  <w:lang w:val="en"/>
                </w:rPr>
                <w:t xml:space="preserve"> </w:t>
              </w:r>
              <w:proofErr w:type="spellStart"/>
              <w:r w:rsidR="001606EE" w:rsidRPr="00FD1E14">
                <w:rPr>
                  <w:lang w:val="en"/>
                </w:rPr>
                <w:t>Respublikos</w:t>
              </w:r>
              <w:proofErr w:type="spellEnd"/>
              <w:r w:rsidR="001606EE" w:rsidRPr="00FD1E14">
                <w:rPr>
                  <w:lang w:val="en"/>
                </w:rPr>
                <w:t xml:space="preserve"> </w:t>
              </w:r>
              <w:proofErr w:type="spellStart"/>
              <w:r w:rsidR="001606EE" w:rsidRPr="00FD1E14">
                <w:rPr>
                  <w:lang w:val="en"/>
                </w:rPr>
                <w:t>teis</w:t>
              </w:r>
              <w:r w:rsidR="001606EE" w:rsidRPr="00FD1E14">
                <w:t>ėkūros</w:t>
              </w:r>
              <w:proofErr w:type="spellEnd"/>
              <w:r w:rsidR="001606EE" w:rsidRPr="00FD1E14">
                <w:t xml:space="preserve"> pagrindų įstatymo</w:t>
              </w:r>
              <w:r w:rsidR="002E10C8" w:rsidRPr="00FD1E14">
                <w:t xml:space="preserve"> </w:t>
              </w:r>
              <w:r w:rsidR="001606EE" w:rsidRPr="00FD1E14">
                <w:t xml:space="preserve">pakeitimo </w:t>
              </w:r>
              <w:r w:rsidR="00945D27" w:rsidRPr="00FD1E14">
                <w:rPr>
                  <w:rFonts w:eastAsia="Calibri"/>
                </w:rPr>
                <w:t xml:space="preserve">ir priėmė sprendimą </w:t>
              </w:r>
              <w:r w:rsidR="00945D27" w:rsidRPr="00FD1E14">
                <w:t xml:space="preserve">teikti Seimui išvadą </w:t>
              </w:r>
              <w:r w:rsidR="00945D27" w:rsidRPr="00FD1E14">
                <w:rPr>
                  <w:rFonts w:eastAsia="Calibri"/>
                </w:rPr>
                <w:t>netenkinti šio siūlymo.</w:t>
              </w:r>
              <w:r w:rsidR="00D627CE" w:rsidRPr="00FD1E14">
                <w:rPr>
                  <w:rFonts w:eastAsia="Calibri"/>
                </w:rPr>
                <w:t xml:space="preserve"> </w:t>
              </w:r>
              <w:r w:rsidR="00C145A4" w:rsidRPr="00FD1E14">
                <w:t>K</w:t>
              </w:r>
              <w:r w:rsidR="00FF75B2" w:rsidRPr="00FD1E14">
                <w:t>omisija</w:t>
              </w:r>
              <w:r w:rsidR="00F60FE9" w:rsidRPr="00FD1E14">
                <w:rPr>
                  <w:rFonts w:eastAsia="Calibri"/>
                </w:rPr>
                <w:t xml:space="preserve"> sprendimą priė</w:t>
              </w:r>
              <w:r w:rsidR="00FF75B2" w:rsidRPr="00FD1E14">
                <w:rPr>
                  <w:rFonts w:eastAsia="Calibri"/>
                </w:rPr>
                <w:t>mė</w:t>
              </w:r>
              <w:r w:rsidR="00945D27" w:rsidRPr="00FD1E14">
                <w:rPr>
                  <w:rFonts w:eastAsia="Calibri"/>
                </w:rPr>
                <w:t xml:space="preserve"> atsižvelgus</w:t>
              </w:r>
              <w:r w:rsidR="00FF75B2" w:rsidRPr="00FD1E14">
                <w:rPr>
                  <w:rFonts w:eastAsia="Calibri"/>
                </w:rPr>
                <w:t>i</w:t>
              </w:r>
              <w:r w:rsidR="00945D27" w:rsidRPr="00FD1E14">
                <w:rPr>
                  <w:rFonts w:eastAsia="Calibri"/>
                </w:rPr>
                <w:t xml:space="preserve"> į </w:t>
              </w:r>
              <w:r w:rsidR="001606EE" w:rsidRPr="00FD1E14">
                <w:rPr>
                  <w:color w:val="000000" w:themeColor="text1"/>
                </w:rPr>
                <w:t>Lietuvos Respublikos teisingumo</w:t>
              </w:r>
              <w:r w:rsidR="005D0813" w:rsidRPr="00FD1E14">
                <w:rPr>
                  <w:color w:val="000000" w:themeColor="text1"/>
                </w:rPr>
                <w:t xml:space="preserve"> minis</w:t>
              </w:r>
              <w:r w:rsidR="001606EE" w:rsidRPr="00FD1E14">
                <w:rPr>
                  <w:color w:val="000000" w:themeColor="text1"/>
                </w:rPr>
                <w:t>terijos i</w:t>
              </w:r>
              <w:r w:rsidR="002E10C8" w:rsidRPr="00FD1E14">
                <w:rPr>
                  <w:color w:val="000000" w:themeColor="text1"/>
                </w:rPr>
                <w:t>r Lietuvos R</w:t>
              </w:r>
              <w:r w:rsidR="001606EE" w:rsidRPr="00FD1E14">
                <w:rPr>
                  <w:color w:val="000000" w:themeColor="text1"/>
                </w:rPr>
                <w:t>espublikos Seimo kanceliarijos Teisės departamento</w:t>
              </w:r>
              <w:r w:rsidR="005D0813" w:rsidRPr="00FD1E14">
                <w:rPr>
                  <w:color w:val="000000" w:themeColor="text1"/>
                </w:rPr>
                <w:t xml:space="preserve"> nuomonę dėl peticijoje pateikto siūlymo.</w:t>
              </w:r>
            </w:p>
            <w:p w:rsidR="00990BEA" w:rsidRPr="00FD1E14" w:rsidRDefault="00990BEA" w:rsidP="00990BEA">
              <w:pPr>
                <w:pStyle w:val="paragraph"/>
                <w:spacing w:before="0" w:beforeAutospacing="0" w:after="0" w:afterAutospacing="0" w:line="360" w:lineRule="auto"/>
                <w:ind w:firstLine="709"/>
                <w:jc w:val="both"/>
                <w:textAlignment w:val="baseline"/>
                <w:rPr>
                  <w:rFonts w:eastAsia="Calibri"/>
                  <w:color w:val="000000" w:themeColor="text1"/>
                </w:rPr>
              </w:pPr>
              <w:r w:rsidRPr="00FD1E14">
                <w:rPr>
                  <w:rFonts w:eastAsia="Calibri"/>
                  <w:color w:val="000000" w:themeColor="text1"/>
                </w:rPr>
                <w:t xml:space="preserve">Pareiškėjas siūlo </w:t>
              </w:r>
              <w:proofErr w:type="spellStart"/>
              <w:r w:rsidR="00E91F06" w:rsidRPr="00FD1E14">
                <w:rPr>
                  <w:lang w:val="en"/>
                </w:rPr>
                <w:t>Lietuvos</w:t>
              </w:r>
              <w:proofErr w:type="spellEnd"/>
              <w:r w:rsidR="00E91F06" w:rsidRPr="00FD1E14">
                <w:rPr>
                  <w:lang w:val="en"/>
                </w:rPr>
                <w:t xml:space="preserve"> </w:t>
              </w:r>
              <w:proofErr w:type="spellStart"/>
              <w:r w:rsidR="00E91F06" w:rsidRPr="00FD1E14">
                <w:rPr>
                  <w:lang w:val="en"/>
                </w:rPr>
                <w:t>Respublikos</w:t>
              </w:r>
              <w:proofErr w:type="spellEnd"/>
              <w:r w:rsidR="00E91F06" w:rsidRPr="00FD1E14">
                <w:rPr>
                  <w:lang w:val="en"/>
                </w:rPr>
                <w:t xml:space="preserve"> </w:t>
              </w:r>
              <w:r w:rsidR="00E91F06">
                <w:rPr>
                  <w:color w:val="000000"/>
                  <w:shd w:val="clear" w:color="auto" w:fill="FFFFFF"/>
                </w:rPr>
                <w:t>t</w:t>
              </w:r>
              <w:r w:rsidRPr="00FD1E14">
                <w:rPr>
                  <w:color w:val="000000"/>
                  <w:shd w:val="clear" w:color="auto" w:fill="FFFFFF"/>
                </w:rPr>
                <w:t xml:space="preserve">eisėkūros pagrindų </w:t>
              </w:r>
              <w:r w:rsidRPr="00FD1E14">
                <w:rPr>
                  <w:rFonts w:eastAsia="Calibri"/>
                  <w:color w:val="000000" w:themeColor="text1"/>
                </w:rPr>
                <w:t xml:space="preserve">įstatymą papildyti sąvoka „norminis teisės aktas“. </w:t>
              </w:r>
            </w:p>
            <w:p w:rsidR="00990BEA" w:rsidRPr="00FD1E14" w:rsidRDefault="00765218" w:rsidP="00FD1E14">
              <w:pPr>
                <w:pStyle w:val="paragraph"/>
                <w:spacing w:before="0" w:beforeAutospacing="0" w:after="0" w:afterAutospacing="0" w:line="360" w:lineRule="auto"/>
                <w:ind w:firstLine="709"/>
                <w:jc w:val="both"/>
                <w:textAlignment w:val="baseline"/>
                <w:rPr>
                  <w:rFonts w:eastAsia="Calibri"/>
                  <w:color w:val="000000" w:themeColor="text1"/>
                </w:rPr>
              </w:pPr>
              <w:r w:rsidRPr="00FD1E14">
                <w:t xml:space="preserve">Pažymėtina, kad </w:t>
              </w:r>
              <w:r w:rsidR="00990BEA" w:rsidRPr="00FD1E14">
                <w:t>sąvoka „</w:t>
              </w:r>
              <w:r w:rsidR="002E10C8" w:rsidRPr="00FD1E14">
                <w:t>nor</w:t>
              </w:r>
              <w:r w:rsidR="00990BEA" w:rsidRPr="00FD1E14">
                <w:t>minis</w:t>
              </w:r>
              <w:r w:rsidR="002E10C8" w:rsidRPr="00FD1E14">
                <w:t xml:space="preserve"> teisės akt</w:t>
              </w:r>
              <w:r w:rsidR="00990BEA" w:rsidRPr="00FD1E14">
                <w:t>as“</w:t>
              </w:r>
              <w:r w:rsidR="002E10C8" w:rsidRPr="00FD1E14">
                <w:t xml:space="preserve"> apibrėžta </w:t>
              </w:r>
              <w:proofErr w:type="spellStart"/>
              <w:r w:rsidR="00E91F06" w:rsidRPr="00FD1E14">
                <w:rPr>
                  <w:lang w:val="en"/>
                </w:rPr>
                <w:t>Lietuvos</w:t>
              </w:r>
              <w:proofErr w:type="spellEnd"/>
              <w:r w:rsidR="00E91F06" w:rsidRPr="00FD1E14">
                <w:rPr>
                  <w:lang w:val="en"/>
                </w:rPr>
                <w:t xml:space="preserve"> </w:t>
              </w:r>
              <w:proofErr w:type="spellStart"/>
              <w:r w:rsidR="00E91F06" w:rsidRPr="00FD1E14">
                <w:rPr>
                  <w:lang w:val="en"/>
                </w:rPr>
                <w:t>Respublikos</w:t>
              </w:r>
              <w:proofErr w:type="spellEnd"/>
              <w:r w:rsidR="00E91F06" w:rsidRPr="00FD1E14">
                <w:rPr>
                  <w:lang w:val="en"/>
                </w:rPr>
                <w:t xml:space="preserve"> </w:t>
              </w:r>
              <w:r w:rsidR="002E10C8" w:rsidRPr="00FD1E14">
                <w:rPr>
                  <w:rFonts w:eastAsia="Calibri"/>
                  <w:color w:val="000000" w:themeColor="text1"/>
                </w:rPr>
                <w:t xml:space="preserve">peticijų konstitucinio įstatymo 2 straipsnio 1 dalyje: </w:t>
              </w:r>
              <w:r w:rsidR="002E10C8" w:rsidRPr="00FD1E14">
                <w:rPr>
                  <w:rFonts w:eastAsia="Calibri"/>
                  <w:iCs/>
                  <w:color w:val="000000" w:themeColor="text1"/>
                </w:rPr>
                <w:t>norminis teisės aktas – Lietuvos Respublikos Konstitucijoje ir kituose Lietuvos Respublikos įstatymuose nustatyta tvarka valstybės ar savivaldybių institucijų priimtas ir paskelbtas daugkartinio taikymo teisės aktas, kuriame nustatomos individualiai neapibrėžtai asmenų grupei skirtos privalomos elgesio taisyklės.</w:t>
              </w:r>
              <w:r w:rsidR="002E10C8" w:rsidRPr="00FD1E14">
                <w:rPr>
                  <w:rFonts w:eastAsia="Calibri"/>
                  <w:color w:val="000000" w:themeColor="text1"/>
                </w:rPr>
                <w:t xml:space="preserve"> </w:t>
              </w:r>
              <w:r w:rsidR="00990BEA" w:rsidRPr="00FD1E14">
                <w:t>Konstituciniai įstatymai turi aukštesnę teisinę galią nei paprastieji (ordinariniai) įstatymai, kurie negali prieštarauti k</w:t>
              </w:r>
              <w:r w:rsidR="00FD1E14" w:rsidRPr="00FD1E14">
                <w:t>onstituciniams įstatymams, todėl</w:t>
              </w:r>
              <w:r w:rsidR="00990BEA" w:rsidRPr="00FD1E14">
                <w:t xml:space="preserve"> </w:t>
              </w:r>
              <w:proofErr w:type="spellStart"/>
              <w:r w:rsidR="00E91F06" w:rsidRPr="00FD1E14">
                <w:rPr>
                  <w:lang w:val="en"/>
                </w:rPr>
                <w:t>Lietuvos</w:t>
              </w:r>
              <w:proofErr w:type="spellEnd"/>
              <w:r w:rsidR="00E91F06" w:rsidRPr="00FD1E14">
                <w:rPr>
                  <w:lang w:val="en"/>
                </w:rPr>
                <w:t xml:space="preserve"> </w:t>
              </w:r>
              <w:proofErr w:type="spellStart"/>
              <w:r w:rsidR="00E91F06" w:rsidRPr="00FD1E14">
                <w:rPr>
                  <w:lang w:val="en"/>
                </w:rPr>
                <w:t>Respublikos</w:t>
              </w:r>
              <w:proofErr w:type="spellEnd"/>
              <w:r w:rsidR="00E91F06" w:rsidRPr="00FD1E14">
                <w:rPr>
                  <w:lang w:val="en"/>
                </w:rPr>
                <w:t xml:space="preserve"> </w:t>
              </w:r>
              <w:r w:rsidR="00E91F06">
                <w:t>t</w:t>
              </w:r>
              <w:r w:rsidR="00990BEA" w:rsidRPr="00FD1E14">
                <w:t xml:space="preserve">eisėkūros pagrindų įstatyme </w:t>
              </w:r>
              <w:r w:rsidR="00990BEA" w:rsidRPr="00FD1E14">
                <w:rPr>
                  <w:rStyle w:val="normaltextrun"/>
                  <w:color w:val="000000"/>
                  <w:shd w:val="clear" w:color="auto" w:fill="FFFFFF"/>
                </w:rPr>
                <w:t xml:space="preserve">sąvoka </w:t>
              </w:r>
              <w:r w:rsidR="00990BEA" w:rsidRPr="00FD1E14">
                <w:rPr>
                  <w:color w:val="000000"/>
                  <w:shd w:val="clear" w:color="auto" w:fill="FFFFFF"/>
                </w:rPr>
                <w:t xml:space="preserve">„norminis teisės aktas“ </w:t>
              </w:r>
              <w:r w:rsidR="00990BEA" w:rsidRPr="00FD1E14">
                <w:t xml:space="preserve">galėtų būti apibrėžta tik iš esmės taip pat, kaip ji yra apibrėžta </w:t>
              </w:r>
              <w:proofErr w:type="spellStart"/>
              <w:r w:rsidR="00E91F06" w:rsidRPr="00FD1E14">
                <w:rPr>
                  <w:lang w:val="en"/>
                </w:rPr>
                <w:t>Lietuvos</w:t>
              </w:r>
              <w:proofErr w:type="spellEnd"/>
              <w:r w:rsidR="00E91F06" w:rsidRPr="00FD1E14">
                <w:rPr>
                  <w:lang w:val="en"/>
                </w:rPr>
                <w:t xml:space="preserve"> </w:t>
              </w:r>
              <w:proofErr w:type="spellStart"/>
              <w:r w:rsidR="00E91F06" w:rsidRPr="00FD1E14">
                <w:rPr>
                  <w:lang w:val="en"/>
                </w:rPr>
                <w:t>Respublikos</w:t>
              </w:r>
              <w:proofErr w:type="spellEnd"/>
              <w:r w:rsidR="00E91F06" w:rsidRPr="00FD1E14">
                <w:rPr>
                  <w:lang w:val="en"/>
                </w:rPr>
                <w:t xml:space="preserve"> </w:t>
              </w:r>
              <w:r w:rsidR="00E91F06">
                <w:t>p</w:t>
              </w:r>
              <w:r w:rsidR="00990BEA" w:rsidRPr="00FD1E14">
                <w:t>eticijų konstituciniame įstatyme.</w:t>
              </w:r>
            </w:p>
            <w:p w:rsidR="002E10C8" w:rsidRPr="00E91F06" w:rsidRDefault="002E10C8" w:rsidP="002E10C8">
              <w:pPr>
                <w:pStyle w:val="paragraph"/>
                <w:spacing w:before="0" w:beforeAutospacing="0" w:after="0" w:afterAutospacing="0" w:line="360" w:lineRule="auto"/>
                <w:ind w:firstLine="709"/>
                <w:jc w:val="both"/>
                <w:textAlignment w:val="baseline"/>
                <w:rPr>
                  <w:iCs/>
                  <w:color w:val="000000"/>
                  <w:shd w:val="clear" w:color="auto" w:fill="FFFFFF"/>
                </w:rPr>
              </w:pPr>
              <w:r w:rsidRPr="00FD1E14">
                <w:rPr>
                  <w:rFonts w:eastAsia="Calibri"/>
                  <w:color w:val="000000" w:themeColor="text1"/>
                </w:rPr>
                <w:t xml:space="preserve">Atkreiptinas dėmesys į tai, kad </w:t>
              </w:r>
              <w:r w:rsidRPr="00FD1E14">
                <w:t xml:space="preserve">Teisės aktų projektų rengimo rekomendacijų, patvirtintų Lietuvos Respublikos teisingumo ministro 2013 m. gruodžio 23 d. įsakymu Nr. 1R-298 „Dėl Teisės aktų projektų rengimo rekomendacijų </w:t>
              </w:r>
              <w:r w:rsidRPr="00E91F06">
                <w:rPr>
                  <w:i/>
                </w:rPr>
                <w:t>patvirtinimo</w:t>
              </w:r>
              <w:r w:rsidRPr="00E91F06">
                <w:t xml:space="preserve">“, </w:t>
              </w:r>
              <w:r w:rsidRPr="00E91F06">
                <w:rPr>
                  <w:shd w:val="clear" w:color="auto" w:fill="FFFFFF"/>
                </w:rPr>
                <w:t>11 punkte numatyta, kad</w:t>
              </w:r>
              <w:r w:rsidRPr="00E91F06">
                <w:rPr>
                  <w:iCs/>
                  <w:color w:val="000000"/>
                  <w:shd w:val="clear" w:color="auto" w:fill="FFFFFF"/>
                </w:rPr>
                <w:t xml:space="preserve"> viename įstatyme apibrėžta sąvoka neturi būti apibrėžiama kituose įstatymuose, nebent specialiajame įstatyme pateikta sąvokos apibrėžtis yra būdinga tik tam tikrai santykių sričiai. </w:t>
              </w:r>
            </w:p>
            <w:p w:rsidR="00990BEA" w:rsidRPr="00FD1E14" w:rsidRDefault="00E91F06" w:rsidP="002E10C8">
              <w:pPr>
                <w:pStyle w:val="paragraph"/>
                <w:spacing w:before="0" w:beforeAutospacing="0" w:after="0" w:afterAutospacing="0" w:line="360" w:lineRule="auto"/>
                <w:ind w:firstLine="709"/>
                <w:jc w:val="both"/>
                <w:textAlignment w:val="baseline"/>
                <w:rPr>
                  <w:rFonts w:eastAsia="Calibri"/>
                  <w:color w:val="000000" w:themeColor="text1"/>
                </w:rPr>
              </w:pPr>
              <w:proofErr w:type="spellStart"/>
              <w:r w:rsidRPr="00FD1E14">
                <w:rPr>
                  <w:lang w:val="en"/>
                </w:rPr>
                <w:t>Lietuvos</w:t>
              </w:r>
              <w:proofErr w:type="spellEnd"/>
              <w:r w:rsidRPr="00FD1E14">
                <w:rPr>
                  <w:lang w:val="en"/>
                </w:rPr>
                <w:t xml:space="preserve"> </w:t>
              </w:r>
              <w:proofErr w:type="spellStart"/>
              <w:r w:rsidRPr="00FD1E14">
                <w:rPr>
                  <w:lang w:val="en"/>
                </w:rPr>
                <w:t>Respublikos</w:t>
              </w:r>
              <w:proofErr w:type="spellEnd"/>
              <w:r w:rsidRPr="00FD1E14">
                <w:rPr>
                  <w:lang w:val="en"/>
                </w:rPr>
                <w:t xml:space="preserve"> </w:t>
              </w:r>
              <w:r>
                <w:rPr>
                  <w:color w:val="000000"/>
                  <w:shd w:val="clear" w:color="auto" w:fill="FFFFFF"/>
                </w:rPr>
                <w:t>t</w:t>
              </w:r>
              <w:r w:rsidR="002E10C8" w:rsidRPr="00FD1E14">
                <w:rPr>
                  <w:color w:val="000000"/>
                  <w:shd w:val="clear" w:color="auto" w:fill="FFFFFF"/>
                </w:rPr>
                <w:t>eisėkūros pagrindų įstatyme varto</w:t>
              </w:r>
              <w:r w:rsidR="00FD1E14">
                <w:rPr>
                  <w:color w:val="000000"/>
                  <w:shd w:val="clear" w:color="auto" w:fill="FFFFFF"/>
                </w:rPr>
                <w:t>jamos sąvokos</w:t>
              </w:r>
              <w:r w:rsidR="002E10C8" w:rsidRPr="00FD1E14">
                <w:rPr>
                  <w:color w:val="000000"/>
                  <w:shd w:val="clear" w:color="auto" w:fill="FFFFFF"/>
                </w:rPr>
                <w:t xml:space="preserve"> </w:t>
              </w:r>
              <w:r w:rsidR="00FD1E14" w:rsidRPr="00FD1E14">
                <w:rPr>
                  <w:color w:val="000000"/>
                  <w:shd w:val="clear" w:color="auto" w:fill="FFFFFF"/>
                </w:rPr>
                <w:t>„</w:t>
              </w:r>
              <w:r w:rsidR="002E10C8" w:rsidRPr="00FD1E14">
                <w:rPr>
                  <w:iCs/>
                  <w:color w:val="000000"/>
                  <w:shd w:val="clear" w:color="auto" w:fill="FFFFFF"/>
                </w:rPr>
                <w:t>norminis teisės aktas</w:t>
              </w:r>
              <w:r w:rsidR="00FD1E14" w:rsidRPr="00FD1E14">
                <w:rPr>
                  <w:iCs/>
                  <w:color w:val="000000"/>
                  <w:shd w:val="clear" w:color="auto" w:fill="FFFFFF"/>
                </w:rPr>
                <w:t>“</w:t>
              </w:r>
              <w:r w:rsidR="002E10C8" w:rsidRPr="00FD1E14">
                <w:rPr>
                  <w:i/>
                  <w:iCs/>
                  <w:color w:val="000000"/>
                  <w:shd w:val="clear" w:color="auto" w:fill="FFFFFF"/>
                </w:rPr>
                <w:t xml:space="preserve"> </w:t>
              </w:r>
              <w:r w:rsidR="002E10C8" w:rsidRPr="00FD1E14">
                <w:rPr>
                  <w:color w:val="000000"/>
                  <w:shd w:val="clear" w:color="auto" w:fill="FFFFFF"/>
                </w:rPr>
                <w:t xml:space="preserve">turinys </w:t>
              </w:r>
              <w:r w:rsidR="00990BEA" w:rsidRPr="00FD1E14">
                <w:rPr>
                  <w:color w:val="000000"/>
                  <w:shd w:val="clear" w:color="auto" w:fill="FFFFFF"/>
                </w:rPr>
                <w:t xml:space="preserve">nėra suprantamas ir/ar </w:t>
              </w:r>
              <w:r w:rsidR="00FD1E14">
                <w:rPr>
                  <w:color w:val="000000"/>
                  <w:shd w:val="clear" w:color="auto" w:fill="FFFFFF"/>
                </w:rPr>
                <w:t>ši sąvoka</w:t>
              </w:r>
              <w:r w:rsidR="002E10C8" w:rsidRPr="00FD1E14">
                <w:rPr>
                  <w:color w:val="000000"/>
                  <w:shd w:val="clear" w:color="auto" w:fill="FFFFFF"/>
                </w:rPr>
                <w:t xml:space="preserve"> nėra vartojamas kitaip, nei</w:t>
              </w:r>
              <w:r w:rsidR="00FD1E14">
                <w:rPr>
                  <w:color w:val="000000"/>
                  <w:shd w:val="clear" w:color="auto" w:fill="FFFFFF"/>
                </w:rPr>
                <w:t xml:space="preserve"> ji apibrėžta</w:t>
              </w:r>
              <w:r w:rsidR="002E10C8" w:rsidRPr="00FD1E14">
                <w:rPr>
                  <w:color w:val="000000"/>
                  <w:shd w:val="clear" w:color="auto" w:fill="FFFFFF"/>
                </w:rPr>
                <w:t xml:space="preserve"> </w:t>
              </w:r>
              <w:proofErr w:type="spellStart"/>
              <w:r w:rsidRPr="00FD1E14">
                <w:rPr>
                  <w:lang w:val="en"/>
                </w:rPr>
                <w:t>Lietuvos</w:t>
              </w:r>
              <w:proofErr w:type="spellEnd"/>
              <w:r w:rsidRPr="00FD1E14">
                <w:rPr>
                  <w:lang w:val="en"/>
                </w:rPr>
                <w:t xml:space="preserve"> </w:t>
              </w:r>
              <w:proofErr w:type="spellStart"/>
              <w:r w:rsidRPr="00FD1E14">
                <w:rPr>
                  <w:lang w:val="en"/>
                </w:rPr>
                <w:t>Respublikos</w:t>
              </w:r>
              <w:proofErr w:type="spellEnd"/>
              <w:r w:rsidRPr="00FD1E14">
                <w:rPr>
                  <w:lang w:val="en"/>
                </w:rPr>
                <w:t xml:space="preserve"> </w:t>
              </w:r>
              <w:r>
                <w:rPr>
                  <w:rFonts w:eastAsia="Calibri"/>
                  <w:color w:val="000000" w:themeColor="text1"/>
                </w:rPr>
                <w:t>p</w:t>
              </w:r>
              <w:r w:rsidR="002E10C8" w:rsidRPr="00FD1E14">
                <w:rPr>
                  <w:rFonts w:eastAsia="Calibri"/>
                  <w:color w:val="000000" w:themeColor="text1"/>
                </w:rPr>
                <w:t xml:space="preserve">eticijų konstitucinio įstatymo 2 straipsnio 1 dalyje. </w:t>
              </w:r>
            </w:p>
            <w:p w:rsidR="002E10C8" w:rsidRPr="00FD1E14" w:rsidRDefault="00E91F06" w:rsidP="00FD1E14">
              <w:pPr>
                <w:pStyle w:val="paragraph"/>
                <w:spacing w:before="0" w:beforeAutospacing="0" w:after="0" w:afterAutospacing="0" w:line="360" w:lineRule="auto"/>
                <w:ind w:firstLine="709"/>
                <w:jc w:val="both"/>
                <w:textAlignment w:val="baseline"/>
                <w:rPr>
                  <w:color w:val="000000"/>
                  <w:shd w:val="clear" w:color="auto" w:fill="FFFFFF"/>
                </w:rPr>
              </w:pPr>
              <w:r>
                <w:lastRenderedPageBreak/>
                <w:t>Komisijos nuomone</w:t>
              </w:r>
              <w:r w:rsidR="00FD1E14" w:rsidRPr="00FD1E14">
                <w:t xml:space="preserve"> </w:t>
              </w:r>
              <w:r w:rsidR="00FD1E14" w:rsidRPr="00FD1E14">
                <w:rPr>
                  <w:color w:val="000000"/>
                  <w:shd w:val="clear" w:color="auto" w:fill="FFFFFF"/>
                </w:rPr>
                <w:t xml:space="preserve">peticijoje pateikto siūlymo įgyvendinimas neatitiktų teisėkūroje taikomo tikslingumo principo ir </w:t>
              </w:r>
              <w:proofErr w:type="spellStart"/>
              <w:r w:rsidRPr="00FD1E14">
                <w:rPr>
                  <w:lang w:val="en"/>
                </w:rPr>
                <w:t>Lietuvos</w:t>
              </w:r>
              <w:proofErr w:type="spellEnd"/>
              <w:r w:rsidRPr="00FD1E14">
                <w:rPr>
                  <w:lang w:val="en"/>
                </w:rPr>
                <w:t xml:space="preserve"> </w:t>
              </w:r>
              <w:proofErr w:type="spellStart"/>
              <w:r w:rsidRPr="00FD1E14">
                <w:rPr>
                  <w:lang w:val="en"/>
                </w:rPr>
                <w:t>Respublikos</w:t>
              </w:r>
              <w:proofErr w:type="spellEnd"/>
              <w:r w:rsidRPr="00FD1E14">
                <w:rPr>
                  <w:lang w:val="en"/>
                </w:rPr>
                <w:t xml:space="preserve"> </w:t>
              </w:r>
              <w:r>
                <w:rPr>
                  <w:rFonts w:eastAsia="Calibri"/>
                  <w:color w:val="000000" w:themeColor="text1"/>
                </w:rPr>
                <w:t>t</w:t>
              </w:r>
              <w:bookmarkStart w:id="0" w:name="_GoBack"/>
              <w:bookmarkEnd w:id="0"/>
              <w:r w:rsidR="002E10C8" w:rsidRPr="00FD1E14">
                <w:rPr>
                  <w:rFonts w:eastAsia="Calibri"/>
                  <w:color w:val="000000" w:themeColor="text1"/>
                </w:rPr>
                <w:t xml:space="preserve">eisėkūros pagrindų įstatymą papildyti sąvoka </w:t>
              </w:r>
              <w:r w:rsidR="00FD1E14" w:rsidRPr="00FD1E14">
                <w:rPr>
                  <w:rFonts w:eastAsia="Calibri"/>
                  <w:color w:val="000000" w:themeColor="text1"/>
                </w:rPr>
                <w:t>„</w:t>
              </w:r>
              <w:r w:rsidR="002E10C8" w:rsidRPr="00FD1E14">
                <w:rPr>
                  <w:rFonts w:eastAsia="Calibri"/>
                  <w:iCs/>
                  <w:color w:val="000000" w:themeColor="text1"/>
                </w:rPr>
                <w:t>norminis teisės aktas</w:t>
              </w:r>
              <w:r w:rsidR="00FD1E14" w:rsidRPr="00FD1E14">
                <w:rPr>
                  <w:rFonts w:eastAsia="Calibri"/>
                  <w:iCs/>
                  <w:color w:val="000000" w:themeColor="text1"/>
                </w:rPr>
                <w:t>“</w:t>
              </w:r>
              <w:r w:rsidR="002E10C8" w:rsidRPr="00FD1E14">
                <w:rPr>
                  <w:rFonts w:eastAsia="Calibri"/>
                  <w:color w:val="000000" w:themeColor="text1"/>
                </w:rPr>
                <w:t xml:space="preserve"> netikslinga.</w:t>
              </w:r>
            </w:p>
            <w:p w:rsidR="005427A1" w:rsidRPr="00FD1E14" w:rsidRDefault="00F60FE9" w:rsidP="00713644">
              <w:pPr>
                <w:spacing w:line="360" w:lineRule="auto"/>
                <w:ind w:firstLine="709"/>
                <w:jc w:val="both"/>
                <w:rPr>
                  <w:szCs w:val="24"/>
                </w:rPr>
              </w:pPr>
              <w:r w:rsidRPr="00FD1E1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 (pavasario</w:t>
              </w:r>
              <w:r w:rsidRPr="00FD1E14">
                <w:rPr>
                  <w:rFonts w:eastAsia="Calibri"/>
                  <w:szCs w:val="24"/>
                  <w:lang w:eastAsia="ar-SA"/>
                </w:rPr>
                <w:t>) sesijos darbotvarkę Seimo nutarimo „Dėl Lietuvos Respublikos Seimo Peticijų komisijos 202</w:t>
              </w:r>
              <w:r w:rsidR="005D0813" w:rsidRPr="00FD1E14">
                <w:rPr>
                  <w:rFonts w:eastAsia="Calibri"/>
                  <w:szCs w:val="24"/>
                  <w:lang w:val="en-US" w:eastAsia="ar-SA"/>
                </w:rPr>
                <w:t>5</w:t>
              </w:r>
              <w:r w:rsidR="001D5719" w:rsidRPr="00FD1E14">
                <w:rPr>
                  <w:rFonts w:eastAsia="Calibri"/>
                  <w:szCs w:val="24"/>
                  <w:lang w:eastAsia="ar-SA"/>
                </w:rPr>
                <w:t xml:space="preserve"> m. gegužės </w:t>
              </w:r>
              <w:r w:rsidR="001D5719" w:rsidRPr="00FD1E14">
                <w:rPr>
                  <w:rFonts w:eastAsia="Calibri"/>
                  <w:szCs w:val="24"/>
                  <w:lang w:val="en-US" w:eastAsia="ar-SA"/>
                </w:rPr>
                <w:t>21</w:t>
              </w:r>
              <w:r w:rsidRPr="00FD1E14">
                <w:rPr>
                  <w:rFonts w:eastAsia="Calibri"/>
                  <w:szCs w:val="24"/>
                  <w:lang w:val="en-US" w:eastAsia="ar-SA"/>
                </w:rPr>
                <w:t xml:space="preserve"> </w:t>
              </w:r>
              <w:r w:rsidR="001D5719" w:rsidRPr="00FD1E14">
                <w:rPr>
                  <w:rFonts w:eastAsia="Calibri"/>
                  <w:szCs w:val="24"/>
                  <w:lang w:eastAsia="ar-SA"/>
                </w:rPr>
                <w:t>d. išvados Nr. 250-I-9</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5427A1" w:rsidRPr="00FD1E14"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t xml:space="preserve">Tadas </w:t>
              </w:r>
              <w:proofErr w:type="spellStart"/>
              <w:r w:rsidR="005D0813" w:rsidRPr="00FD1E14">
                <w:rPr>
                  <w:rFonts w:eastAsia="Calibri"/>
                  <w:szCs w:val="24"/>
                  <w:lang w:eastAsia="ar-SA"/>
                </w:rPr>
                <w:t>Prajara</w:t>
              </w:r>
              <w:proofErr w:type="spellEnd"/>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D4413C" w:rsidRPr="00FD1E14" w:rsidRDefault="00D4413C">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A52656" w:rsidRDefault="00A52656">
              <w:pPr>
                <w:tabs>
                  <w:tab w:val="left" w:pos="1134"/>
                </w:tabs>
                <w:spacing w:line="360" w:lineRule="auto"/>
                <w:jc w:val="both"/>
                <w:rPr>
                  <w:rFonts w:eastAsia="Calibri"/>
                  <w:szCs w:val="24"/>
                  <w:lang w:eastAsia="ar-SA"/>
                </w:rPr>
              </w:pPr>
            </w:p>
            <w:p w:rsidR="005427A1" w:rsidRPr="00FD1E14" w:rsidRDefault="00AC3DB9">
              <w:pPr>
                <w:tabs>
                  <w:tab w:val="left" w:pos="1134"/>
                </w:tabs>
                <w:spacing w:line="360" w:lineRule="auto"/>
                <w:jc w:val="both"/>
                <w:rPr>
                  <w:rFonts w:eastAsia="Calibri"/>
                  <w:szCs w:val="24"/>
                </w:rPr>
              </w:pPr>
              <w:r w:rsidRPr="00FD1E14">
                <w:rPr>
                  <w:rFonts w:eastAsia="Calibri"/>
                  <w:szCs w:val="24"/>
                  <w:lang w:eastAsia="ar-SA"/>
                </w:rPr>
                <w:t>R. Kniukštienė, tel. (0 5)  209 6</w:t>
              </w:r>
              <w:r w:rsidRPr="00FD1E14">
                <w:rPr>
                  <w:rFonts w:eastAsia="Calibri"/>
                  <w:szCs w:val="24"/>
                  <w:lang w:val="en-US" w:eastAsia="ar-SA"/>
                </w:rPr>
                <w:t>591</w:t>
              </w:r>
              <w:r w:rsidRPr="00FD1E14">
                <w:rPr>
                  <w:rFonts w:eastAsia="Calibri"/>
                  <w:szCs w:val="24"/>
                  <w:lang w:eastAsia="ar-SA"/>
                </w:rPr>
                <w:t>, el. p. rimante.kniukstiene@lrs.lt</w:t>
              </w:r>
            </w:p>
          </w:sdtContent>
        </w:sdt>
      </w:sdtContent>
    </w:sdt>
    <w:sectPr w:rsidR="005427A1" w:rsidRPr="00FD1E1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E91F06">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A15D3"/>
    <w:rsid w:val="000C730C"/>
    <w:rsid w:val="001136B4"/>
    <w:rsid w:val="00121904"/>
    <w:rsid w:val="00125A79"/>
    <w:rsid w:val="0013463E"/>
    <w:rsid w:val="001606EE"/>
    <w:rsid w:val="00194795"/>
    <w:rsid w:val="001D5719"/>
    <w:rsid w:val="00245A5E"/>
    <w:rsid w:val="002E10C8"/>
    <w:rsid w:val="002F53CF"/>
    <w:rsid w:val="002F7036"/>
    <w:rsid w:val="003364F0"/>
    <w:rsid w:val="004C29E9"/>
    <w:rsid w:val="004E00ED"/>
    <w:rsid w:val="004E5D57"/>
    <w:rsid w:val="005427A1"/>
    <w:rsid w:val="00590DC6"/>
    <w:rsid w:val="00593097"/>
    <w:rsid w:val="005A0810"/>
    <w:rsid w:val="005C0CC9"/>
    <w:rsid w:val="005D0813"/>
    <w:rsid w:val="00625B47"/>
    <w:rsid w:val="00643484"/>
    <w:rsid w:val="006A4651"/>
    <w:rsid w:val="006E593C"/>
    <w:rsid w:val="006F6DD9"/>
    <w:rsid w:val="0070031F"/>
    <w:rsid w:val="00713644"/>
    <w:rsid w:val="00765218"/>
    <w:rsid w:val="007A014D"/>
    <w:rsid w:val="007D2F42"/>
    <w:rsid w:val="00804FD1"/>
    <w:rsid w:val="0080743B"/>
    <w:rsid w:val="00823BFD"/>
    <w:rsid w:val="00834AA6"/>
    <w:rsid w:val="008709C3"/>
    <w:rsid w:val="008C5B32"/>
    <w:rsid w:val="008D131C"/>
    <w:rsid w:val="008D1A94"/>
    <w:rsid w:val="008F1AA2"/>
    <w:rsid w:val="0091178E"/>
    <w:rsid w:val="00913CCE"/>
    <w:rsid w:val="00916CF8"/>
    <w:rsid w:val="00945D27"/>
    <w:rsid w:val="00990BEA"/>
    <w:rsid w:val="00A52656"/>
    <w:rsid w:val="00AC3DB9"/>
    <w:rsid w:val="00AE7509"/>
    <w:rsid w:val="00B80D4B"/>
    <w:rsid w:val="00BF2352"/>
    <w:rsid w:val="00BF5B1D"/>
    <w:rsid w:val="00C145A4"/>
    <w:rsid w:val="00C238C5"/>
    <w:rsid w:val="00C44D30"/>
    <w:rsid w:val="00C5060C"/>
    <w:rsid w:val="00C72C80"/>
    <w:rsid w:val="00C91424"/>
    <w:rsid w:val="00D4413C"/>
    <w:rsid w:val="00D627CE"/>
    <w:rsid w:val="00D92E3C"/>
    <w:rsid w:val="00DA51E1"/>
    <w:rsid w:val="00E560F5"/>
    <w:rsid w:val="00E91F06"/>
    <w:rsid w:val="00EB4FAD"/>
    <w:rsid w:val="00F60FE9"/>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D3F8"/>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Z6YWEJNPDQQR-896559167-565</_dlc_DocId>
    <_dlc_DocIdUrl xmlns="28130d43-1b56-4a10-ad88-2cd38123f4c1">
      <Url>https://intranetas.lrs.lt/29/_layouts/15/DocIdRedir.aspx?ID=Z6YWEJNPDQQR-896559167-565</Url>
      <Description>Z6YWEJNPDQQR-896559167-565</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F75FF992-4EDD-4B24-A91C-C27AC950950A}">
  <ds:schemaRefs>
    <ds:schemaRef ds:uri="http://schemas.openxmlformats.org/officeDocument/2006/bibliography"/>
  </ds:schemaRefs>
</ds:datastoreItem>
</file>

<file path=customXml/itemProps3.xml><?xml version="1.0" encoding="utf-8"?>
<ds:datastoreItem xmlns:ds="http://schemas.openxmlformats.org/officeDocument/2006/customXml" ds:itemID="{EFD8B91C-E95A-418B-8652-12A86F4F5A23}"/>
</file>

<file path=customXml/itemProps4.xml><?xml version="1.0" encoding="utf-8"?>
<ds:datastoreItem xmlns:ds="http://schemas.openxmlformats.org/officeDocument/2006/customXml" ds:itemID="{DA9ED15F-4947-4799-9848-F5559866FF4D}"/>
</file>

<file path=customXml/itemProps5.xml><?xml version="1.0" encoding="utf-8"?>
<ds:datastoreItem xmlns:ds="http://schemas.openxmlformats.org/officeDocument/2006/customXml" ds:itemID="{E2DD95A2-F9A8-4FCD-8D47-12D9B6C7394D}"/>
</file>

<file path=customXml/itemProps6.xml><?xml version="1.0" encoding="utf-8"?>
<ds:datastoreItem xmlns:ds="http://schemas.openxmlformats.org/officeDocument/2006/customXml" ds:itemID="{2663F8EB-DA80-479B-8F18-F2D00A357C6E}"/>
</file>

<file path=docProps/app.xml><?xml version="1.0" encoding="utf-8"?>
<Properties xmlns="http://schemas.openxmlformats.org/officeDocument/2006/extended-properties" xmlns:vt="http://schemas.openxmlformats.org/officeDocument/2006/docPropsVTypes">
  <Template>Normal</Template>
  <TotalTime>293</TotalTime>
  <Pages>2</Pages>
  <Words>2032</Words>
  <Characters>1159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48</cp:revision>
  <cp:lastPrinted>2025-04-17T06:59:00Z</cp:lastPrinted>
  <dcterms:created xsi:type="dcterms:W3CDTF">2024-06-05T07:01:00Z</dcterms:created>
  <dcterms:modified xsi:type="dcterms:W3CDTF">2025-06-12T12:30:00Z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fa9dedc2-7d8c-4265-8803-79f2f816c5e9</vt:lpwstr>
  </property>
</Properties>
</file>