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2640C4" w:rsidRDefault="008C611E" w:rsidP="002D63A8">
      <w:pPr>
        <w:jc w:val="center"/>
        <w:rPr>
          <w:rFonts w:ascii="Times New Roman" w:hAnsi="Times New Roman"/>
          <w:sz w:val="24"/>
          <w:szCs w:val="24"/>
        </w:rPr>
      </w:pPr>
      <w:r w:rsidRPr="002640C4">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2640C4" w:rsidRDefault="008C611E" w:rsidP="002D63A8">
      <w:pPr>
        <w:ind w:firstLine="851"/>
        <w:jc w:val="center"/>
        <w:rPr>
          <w:rFonts w:ascii="Times New Roman" w:hAnsi="Times New Roman"/>
          <w:sz w:val="24"/>
          <w:szCs w:val="24"/>
        </w:rPr>
      </w:pPr>
    </w:p>
    <w:p w:rsidR="008C611E" w:rsidRPr="002640C4" w:rsidRDefault="008C611E" w:rsidP="002D63A8">
      <w:pPr>
        <w:jc w:val="center"/>
        <w:rPr>
          <w:rFonts w:ascii="Times New Roman" w:hAnsi="Times New Roman"/>
          <w:b/>
          <w:bCs/>
          <w:sz w:val="24"/>
          <w:szCs w:val="24"/>
        </w:rPr>
      </w:pPr>
      <w:r w:rsidRPr="002640C4">
        <w:rPr>
          <w:rFonts w:ascii="Times New Roman" w:hAnsi="Times New Roman"/>
          <w:b/>
          <w:bCs/>
          <w:sz w:val="24"/>
          <w:szCs w:val="24"/>
        </w:rPr>
        <w:t>LIETUVOS RESPUBLIKOS SEIMO</w:t>
      </w:r>
    </w:p>
    <w:p w:rsidR="008C611E" w:rsidRPr="002640C4" w:rsidRDefault="008C611E" w:rsidP="002D63A8">
      <w:pPr>
        <w:jc w:val="center"/>
        <w:rPr>
          <w:rFonts w:ascii="Times New Roman" w:hAnsi="Times New Roman"/>
          <w:b/>
          <w:bCs/>
          <w:spacing w:val="4"/>
          <w:sz w:val="24"/>
          <w:szCs w:val="24"/>
        </w:rPr>
      </w:pPr>
      <w:r w:rsidRPr="002640C4">
        <w:rPr>
          <w:rFonts w:ascii="Times New Roman" w:hAnsi="Times New Roman"/>
          <w:b/>
          <w:bCs/>
          <w:spacing w:val="4"/>
          <w:sz w:val="24"/>
          <w:szCs w:val="24"/>
        </w:rPr>
        <w:t>PETICIJŲ KOMISIJA</w:t>
      </w:r>
    </w:p>
    <w:p w:rsidR="008C611E" w:rsidRPr="002640C4" w:rsidRDefault="008C611E" w:rsidP="002D63A8">
      <w:pPr>
        <w:ind w:right="11" w:firstLine="851"/>
        <w:jc w:val="center"/>
        <w:rPr>
          <w:rFonts w:ascii="Times New Roman" w:hAnsi="Times New Roman"/>
          <w:b/>
          <w:spacing w:val="4"/>
          <w:sz w:val="24"/>
          <w:szCs w:val="24"/>
        </w:rPr>
      </w:pPr>
    </w:p>
    <w:p w:rsidR="00E17F8C" w:rsidRPr="002640C4" w:rsidRDefault="00E17F8C" w:rsidP="002D63A8">
      <w:pPr>
        <w:pStyle w:val="Betarp"/>
        <w:jc w:val="center"/>
        <w:rPr>
          <w:rFonts w:ascii="Times New Roman" w:hAnsi="Times New Roman"/>
          <w:b/>
          <w:sz w:val="24"/>
          <w:szCs w:val="24"/>
        </w:rPr>
      </w:pPr>
      <w:r w:rsidRPr="002640C4">
        <w:rPr>
          <w:rFonts w:ascii="Times New Roman" w:hAnsi="Times New Roman"/>
          <w:b/>
          <w:sz w:val="24"/>
          <w:szCs w:val="24"/>
        </w:rPr>
        <w:t>IŠVADA</w:t>
      </w:r>
    </w:p>
    <w:p w:rsidR="00C55693" w:rsidRPr="002640C4" w:rsidRDefault="00BF1CB1" w:rsidP="002D63A8">
      <w:pPr>
        <w:pStyle w:val="Betarp"/>
        <w:jc w:val="center"/>
        <w:rPr>
          <w:rFonts w:ascii="Times New Roman" w:hAnsi="Times New Roman"/>
          <w:b/>
          <w:sz w:val="24"/>
          <w:szCs w:val="24"/>
        </w:rPr>
      </w:pPr>
      <w:r w:rsidRPr="002640C4">
        <w:rPr>
          <w:rFonts w:ascii="Times New Roman" w:hAnsi="Times New Roman"/>
          <w:b/>
          <w:sz w:val="24"/>
          <w:szCs w:val="24"/>
        </w:rPr>
        <w:t xml:space="preserve">DĖL </w:t>
      </w:r>
      <w:r w:rsidR="00D336D9" w:rsidRPr="002640C4">
        <w:rPr>
          <w:rFonts w:ascii="Times New Roman" w:hAnsi="Times New Roman"/>
          <w:b/>
          <w:sz w:val="24"/>
          <w:szCs w:val="24"/>
        </w:rPr>
        <w:t>JONO IVOŠKOS</w:t>
      </w:r>
      <w:r w:rsidR="00C55693" w:rsidRPr="002640C4">
        <w:rPr>
          <w:rFonts w:ascii="Times New Roman" w:hAnsi="Times New Roman"/>
          <w:b/>
          <w:sz w:val="24"/>
          <w:szCs w:val="24"/>
        </w:rPr>
        <w:t xml:space="preserve"> PETICIJOS</w:t>
      </w:r>
    </w:p>
    <w:p w:rsidR="00C55693" w:rsidRPr="002640C4" w:rsidRDefault="00C55693" w:rsidP="002D63A8">
      <w:pPr>
        <w:pStyle w:val="Betarp"/>
        <w:ind w:firstLine="851"/>
        <w:jc w:val="center"/>
        <w:rPr>
          <w:rFonts w:ascii="Times New Roman" w:hAnsi="Times New Roman"/>
          <w:b/>
          <w:sz w:val="24"/>
          <w:szCs w:val="24"/>
        </w:rPr>
      </w:pPr>
    </w:p>
    <w:p w:rsidR="00E17F8C" w:rsidRPr="002640C4" w:rsidRDefault="00E17F8C" w:rsidP="002D63A8">
      <w:pPr>
        <w:pStyle w:val="Betarp"/>
        <w:jc w:val="center"/>
        <w:rPr>
          <w:rFonts w:ascii="Times New Roman" w:hAnsi="Times New Roman"/>
          <w:sz w:val="24"/>
          <w:szCs w:val="24"/>
        </w:rPr>
      </w:pPr>
      <w:r w:rsidRPr="002640C4">
        <w:rPr>
          <w:rFonts w:ascii="Times New Roman" w:hAnsi="Times New Roman"/>
          <w:sz w:val="24"/>
          <w:szCs w:val="24"/>
        </w:rPr>
        <w:t>202</w:t>
      </w:r>
      <w:r w:rsidR="00C55693" w:rsidRPr="002640C4">
        <w:rPr>
          <w:rFonts w:ascii="Times New Roman" w:hAnsi="Times New Roman"/>
          <w:sz w:val="24"/>
          <w:szCs w:val="24"/>
        </w:rPr>
        <w:t>1</w:t>
      </w:r>
      <w:r w:rsidRPr="002640C4">
        <w:rPr>
          <w:rFonts w:ascii="Times New Roman" w:hAnsi="Times New Roman"/>
          <w:sz w:val="24"/>
          <w:szCs w:val="24"/>
        </w:rPr>
        <w:t xml:space="preserve"> m. </w:t>
      </w:r>
      <w:r w:rsidR="006462F1" w:rsidRPr="002640C4">
        <w:rPr>
          <w:rFonts w:ascii="Times New Roman" w:hAnsi="Times New Roman"/>
          <w:sz w:val="24"/>
          <w:szCs w:val="24"/>
        </w:rPr>
        <w:t>kovo</w:t>
      </w:r>
      <w:r w:rsidR="009C1D7E" w:rsidRPr="002640C4">
        <w:rPr>
          <w:rFonts w:ascii="Times New Roman" w:hAnsi="Times New Roman"/>
          <w:sz w:val="24"/>
          <w:szCs w:val="24"/>
        </w:rPr>
        <w:t xml:space="preserve"> </w:t>
      </w:r>
      <w:r w:rsidR="006151B1">
        <w:rPr>
          <w:rFonts w:ascii="Times New Roman" w:hAnsi="Times New Roman"/>
          <w:sz w:val="24"/>
          <w:szCs w:val="24"/>
        </w:rPr>
        <w:t>3</w:t>
      </w:r>
      <w:r w:rsidR="009C1D7E" w:rsidRPr="002640C4">
        <w:rPr>
          <w:rFonts w:ascii="Times New Roman" w:hAnsi="Times New Roman"/>
          <w:sz w:val="24"/>
          <w:szCs w:val="24"/>
        </w:rPr>
        <w:t xml:space="preserve"> </w:t>
      </w:r>
      <w:r w:rsidR="00C55693" w:rsidRPr="002640C4">
        <w:rPr>
          <w:rFonts w:ascii="Times New Roman" w:hAnsi="Times New Roman"/>
          <w:sz w:val="24"/>
          <w:szCs w:val="24"/>
        </w:rPr>
        <w:t xml:space="preserve"> </w:t>
      </w:r>
      <w:r w:rsidRPr="002640C4">
        <w:rPr>
          <w:rFonts w:ascii="Times New Roman" w:hAnsi="Times New Roman"/>
          <w:sz w:val="24"/>
          <w:szCs w:val="24"/>
        </w:rPr>
        <w:t>d.</w:t>
      </w:r>
    </w:p>
    <w:p w:rsidR="00E17F8C" w:rsidRPr="002640C4" w:rsidRDefault="00E17F8C" w:rsidP="002D63A8">
      <w:pPr>
        <w:pStyle w:val="Betarp"/>
        <w:jc w:val="center"/>
        <w:rPr>
          <w:rFonts w:ascii="Times New Roman" w:hAnsi="Times New Roman"/>
          <w:sz w:val="24"/>
          <w:szCs w:val="24"/>
        </w:rPr>
      </w:pPr>
      <w:r w:rsidRPr="002640C4">
        <w:rPr>
          <w:rFonts w:ascii="Times New Roman" w:hAnsi="Times New Roman"/>
          <w:sz w:val="24"/>
          <w:szCs w:val="24"/>
        </w:rPr>
        <w:t>Vilnius</w:t>
      </w:r>
    </w:p>
    <w:p w:rsidR="00E17F8C" w:rsidRPr="002640C4" w:rsidRDefault="00E17F8C" w:rsidP="00431B3B">
      <w:pPr>
        <w:pStyle w:val="Betarp"/>
        <w:spacing w:line="360" w:lineRule="auto"/>
        <w:ind w:firstLine="851"/>
        <w:jc w:val="center"/>
        <w:rPr>
          <w:rFonts w:ascii="Times New Roman" w:hAnsi="Times New Roman"/>
          <w:sz w:val="24"/>
          <w:szCs w:val="24"/>
        </w:rPr>
      </w:pPr>
    </w:p>
    <w:p w:rsidR="00D336D9" w:rsidRPr="002640C4" w:rsidRDefault="00E17F8C" w:rsidP="00431B3B">
      <w:pPr>
        <w:pStyle w:val="Betarp"/>
        <w:tabs>
          <w:tab w:val="left" w:pos="1134"/>
        </w:tabs>
        <w:spacing w:line="360" w:lineRule="auto"/>
        <w:ind w:firstLine="851"/>
        <w:jc w:val="both"/>
        <w:rPr>
          <w:rFonts w:ascii="Times New Roman" w:hAnsi="Times New Roman"/>
          <w:sz w:val="24"/>
          <w:szCs w:val="24"/>
          <w:lang w:eastAsia="lt-LT"/>
        </w:rPr>
      </w:pPr>
      <w:r w:rsidRPr="002640C4">
        <w:rPr>
          <w:rFonts w:ascii="Times New Roman" w:hAnsi="Times New Roman"/>
          <w:sz w:val="24"/>
          <w:szCs w:val="24"/>
        </w:rPr>
        <w:t xml:space="preserve">Lietuvos Respublikos Seimo Peticijų komisija (toliau – </w:t>
      </w:r>
      <w:r w:rsidR="00FC3DF2" w:rsidRPr="002640C4">
        <w:rPr>
          <w:rFonts w:ascii="Times New Roman" w:hAnsi="Times New Roman"/>
          <w:sz w:val="24"/>
          <w:szCs w:val="24"/>
        </w:rPr>
        <w:t>Peticijų k</w:t>
      </w:r>
      <w:r w:rsidRPr="002640C4">
        <w:rPr>
          <w:rFonts w:ascii="Times New Roman" w:hAnsi="Times New Roman"/>
          <w:sz w:val="24"/>
          <w:szCs w:val="24"/>
        </w:rPr>
        <w:t>omisija) 202</w:t>
      </w:r>
      <w:r w:rsidR="00C55693" w:rsidRPr="002640C4">
        <w:rPr>
          <w:rFonts w:ascii="Times New Roman" w:hAnsi="Times New Roman"/>
          <w:sz w:val="24"/>
          <w:szCs w:val="24"/>
        </w:rPr>
        <w:t>1</w:t>
      </w:r>
      <w:r w:rsidRPr="002640C4">
        <w:rPr>
          <w:rFonts w:ascii="Times New Roman" w:hAnsi="Times New Roman"/>
          <w:sz w:val="24"/>
          <w:szCs w:val="24"/>
        </w:rPr>
        <w:t xml:space="preserve"> m. </w:t>
      </w:r>
      <w:r w:rsidR="006462F1" w:rsidRPr="002640C4">
        <w:rPr>
          <w:rFonts w:ascii="Times New Roman" w:hAnsi="Times New Roman"/>
          <w:sz w:val="24"/>
          <w:szCs w:val="24"/>
        </w:rPr>
        <w:t>kovo 3</w:t>
      </w:r>
      <w:r w:rsidR="00EE3355" w:rsidRPr="002640C4">
        <w:rPr>
          <w:rFonts w:ascii="Times New Roman" w:hAnsi="Times New Roman"/>
          <w:sz w:val="24"/>
          <w:szCs w:val="24"/>
        </w:rPr>
        <w:t> </w:t>
      </w:r>
      <w:r w:rsidRPr="002640C4">
        <w:rPr>
          <w:rFonts w:ascii="Times New Roman" w:hAnsi="Times New Roman"/>
          <w:sz w:val="24"/>
          <w:szCs w:val="24"/>
        </w:rPr>
        <w:t xml:space="preserve">d. posėdyje iš esmės išnagrinėjo </w:t>
      </w:r>
      <w:r w:rsidR="00D336D9" w:rsidRPr="002640C4">
        <w:rPr>
          <w:rFonts w:ascii="Times New Roman" w:hAnsi="Times New Roman"/>
          <w:sz w:val="24"/>
          <w:szCs w:val="24"/>
        </w:rPr>
        <w:t xml:space="preserve">Jono </w:t>
      </w:r>
      <w:proofErr w:type="spellStart"/>
      <w:r w:rsidR="00D336D9" w:rsidRPr="002640C4">
        <w:rPr>
          <w:rFonts w:ascii="Times New Roman" w:hAnsi="Times New Roman"/>
          <w:sz w:val="24"/>
          <w:szCs w:val="24"/>
        </w:rPr>
        <w:t>Ivoškos</w:t>
      </w:r>
      <w:proofErr w:type="spellEnd"/>
      <w:r w:rsidR="00C55693" w:rsidRPr="002640C4">
        <w:rPr>
          <w:rFonts w:ascii="Times New Roman" w:hAnsi="Times New Roman"/>
          <w:sz w:val="24"/>
          <w:szCs w:val="24"/>
        </w:rPr>
        <w:t xml:space="preserve"> peticiją</w:t>
      </w:r>
      <w:r w:rsidR="00D336D9" w:rsidRPr="002640C4">
        <w:rPr>
          <w:rFonts w:ascii="Times New Roman" w:hAnsi="Times New Roman"/>
          <w:sz w:val="24"/>
          <w:szCs w:val="24"/>
          <w:lang w:eastAsia="lt-LT"/>
        </w:rPr>
        <w:t>, kurioje pateiktas pasiūlymas papildyti Lietuvos Respublikos baudžiamojo kodekso (toliau – BK</w:t>
      </w:r>
      <w:r w:rsidR="00636468" w:rsidRPr="002640C4">
        <w:rPr>
          <w:rFonts w:ascii="Times New Roman" w:hAnsi="Times New Roman"/>
          <w:sz w:val="24"/>
          <w:szCs w:val="24"/>
          <w:lang w:eastAsia="lt-LT"/>
        </w:rPr>
        <w:t xml:space="preserve"> arba baudžiamasis įstatymas</w:t>
      </w:r>
      <w:r w:rsidR="00D336D9" w:rsidRPr="002640C4">
        <w:rPr>
          <w:rFonts w:ascii="Times New Roman" w:hAnsi="Times New Roman"/>
          <w:sz w:val="24"/>
          <w:szCs w:val="24"/>
          <w:lang w:eastAsia="lt-LT"/>
        </w:rPr>
        <w:t>) Specialiosios dalies XXXIII skyrių 229</w:t>
      </w:r>
      <w:r w:rsidR="00D336D9" w:rsidRPr="002640C4">
        <w:rPr>
          <w:rFonts w:ascii="Times New Roman" w:hAnsi="Times New Roman"/>
          <w:sz w:val="24"/>
          <w:szCs w:val="24"/>
          <w:vertAlign w:val="superscript"/>
          <w:lang w:eastAsia="lt-LT"/>
        </w:rPr>
        <w:t>1</w:t>
      </w:r>
      <w:r w:rsidR="00D336D9" w:rsidRPr="002640C4">
        <w:rPr>
          <w:rFonts w:ascii="Times New Roman" w:hAnsi="Times New Roman"/>
          <w:sz w:val="24"/>
          <w:szCs w:val="24"/>
          <w:lang w:eastAsia="lt-LT"/>
        </w:rPr>
        <w:t xml:space="preserve"> straipsniu „Profesinio, tarnybinio ar pareiginio neįgalumo simuliavimas“.</w:t>
      </w:r>
    </w:p>
    <w:p w:rsidR="00636468" w:rsidRPr="002640C4" w:rsidRDefault="00636468" w:rsidP="00431B3B">
      <w:pPr>
        <w:spacing w:line="360" w:lineRule="auto"/>
        <w:ind w:firstLine="851"/>
        <w:jc w:val="both"/>
        <w:rPr>
          <w:rFonts w:ascii="Times New Roman" w:hAnsi="Times New Roman"/>
          <w:sz w:val="24"/>
          <w:szCs w:val="24"/>
        </w:rPr>
      </w:pPr>
      <w:r w:rsidRPr="002640C4">
        <w:rPr>
          <w:rFonts w:ascii="Times New Roman" w:hAnsi="Times New Roman"/>
          <w:sz w:val="24"/>
          <w:szCs w:val="24"/>
        </w:rPr>
        <w:t>Peticijų k</w:t>
      </w:r>
      <w:r w:rsidR="00E17F8C" w:rsidRPr="002640C4">
        <w:rPr>
          <w:rFonts w:ascii="Times New Roman" w:hAnsi="Times New Roman"/>
          <w:sz w:val="24"/>
          <w:szCs w:val="24"/>
        </w:rPr>
        <w:t xml:space="preserve">omisija šį sprendimą priėmė atsižvelgusi į </w:t>
      </w:r>
      <w:r w:rsidR="004B566C" w:rsidRPr="002640C4">
        <w:rPr>
          <w:rFonts w:ascii="Times New Roman" w:hAnsi="Times New Roman"/>
          <w:sz w:val="24"/>
          <w:szCs w:val="24"/>
        </w:rPr>
        <w:t xml:space="preserve">Lietuvos Respublikos teisingumo ministerijos, </w:t>
      </w:r>
      <w:r w:rsidR="00E17F8C" w:rsidRPr="002640C4">
        <w:rPr>
          <w:rFonts w:ascii="Times New Roman" w:hAnsi="Times New Roman"/>
          <w:sz w:val="24"/>
          <w:szCs w:val="24"/>
        </w:rPr>
        <w:t xml:space="preserve">Lietuvos Respublikos </w:t>
      </w:r>
      <w:r w:rsidR="00E9002C" w:rsidRPr="002640C4">
        <w:rPr>
          <w:rFonts w:ascii="Times New Roman" w:hAnsi="Times New Roman"/>
          <w:sz w:val="24"/>
          <w:szCs w:val="24"/>
        </w:rPr>
        <w:t>vidaus reikalų</w:t>
      </w:r>
      <w:r w:rsidR="00E17F8C" w:rsidRPr="002640C4">
        <w:rPr>
          <w:rFonts w:ascii="Times New Roman" w:hAnsi="Times New Roman"/>
          <w:sz w:val="24"/>
          <w:szCs w:val="24"/>
        </w:rPr>
        <w:t xml:space="preserve"> ministerijos pateikt</w:t>
      </w:r>
      <w:r w:rsidR="004B566C" w:rsidRPr="002640C4">
        <w:rPr>
          <w:rFonts w:ascii="Times New Roman" w:hAnsi="Times New Roman"/>
          <w:sz w:val="24"/>
          <w:szCs w:val="24"/>
        </w:rPr>
        <w:t>as</w:t>
      </w:r>
      <w:r w:rsidR="00E17F8C" w:rsidRPr="002640C4">
        <w:rPr>
          <w:rFonts w:ascii="Times New Roman" w:hAnsi="Times New Roman"/>
          <w:sz w:val="24"/>
          <w:szCs w:val="24"/>
        </w:rPr>
        <w:t xml:space="preserve"> nuomon</w:t>
      </w:r>
      <w:r w:rsidR="004B566C" w:rsidRPr="002640C4">
        <w:rPr>
          <w:rFonts w:ascii="Times New Roman" w:hAnsi="Times New Roman"/>
          <w:sz w:val="24"/>
          <w:szCs w:val="24"/>
        </w:rPr>
        <w:t>es</w:t>
      </w:r>
      <w:r w:rsidR="00E17F8C" w:rsidRPr="002640C4">
        <w:rPr>
          <w:rFonts w:ascii="Times New Roman" w:hAnsi="Times New Roman"/>
          <w:sz w:val="24"/>
          <w:szCs w:val="24"/>
        </w:rPr>
        <w:t xml:space="preserve"> ir </w:t>
      </w:r>
      <w:r w:rsidR="00754590" w:rsidRPr="002640C4">
        <w:rPr>
          <w:rFonts w:ascii="Times New Roman" w:hAnsi="Times New Roman"/>
          <w:sz w:val="24"/>
          <w:szCs w:val="24"/>
        </w:rPr>
        <w:t xml:space="preserve">manydama, kad </w:t>
      </w:r>
      <w:r w:rsidRPr="002640C4">
        <w:rPr>
          <w:rFonts w:ascii="Times New Roman" w:hAnsi="Times New Roman"/>
          <w:sz w:val="24"/>
          <w:szCs w:val="24"/>
        </w:rPr>
        <w:t>pareiškėjo siūlymas papi</w:t>
      </w:r>
      <w:r w:rsidR="008000DF">
        <w:rPr>
          <w:rFonts w:ascii="Times New Roman" w:hAnsi="Times New Roman"/>
          <w:sz w:val="24"/>
          <w:szCs w:val="24"/>
        </w:rPr>
        <w:t>ldyti baudžiamąjį įstatymą</w:t>
      </w:r>
      <w:bookmarkStart w:id="0" w:name="_GoBack"/>
      <w:bookmarkEnd w:id="0"/>
      <w:r w:rsidRPr="002640C4">
        <w:rPr>
          <w:rFonts w:ascii="Times New Roman" w:hAnsi="Times New Roman"/>
          <w:sz w:val="24"/>
          <w:szCs w:val="24"/>
        </w:rPr>
        <w:t xml:space="preserve"> 229</w:t>
      </w:r>
      <w:r w:rsidRPr="002640C4">
        <w:rPr>
          <w:rFonts w:ascii="Times New Roman" w:hAnsi="Times New Roman"/>
          <w:sz w:val="24"/>
          <w:szCs w:val="24"/>
          <w:vertAlign w:val="superscript"/>
        </w:rPr>
        <w:t>1</w:t>
      </w:r>
      <w:r w:rsidRPr="002640C4">
        <w:rPr>
          <w:rFonts w:ascii="Times New Roman" w:hAnsi="Times New Roman"/>
          <w:sz w:val="24"/>
          <w:szCs w:val="24"/>
        </w:rPr>
        <w:t xml:space="preserve"> straipsniu, nu</w:t>
      </w:r>
      <w:r w:rsidR="00AE7661" w:rsidRPr="002640C4">
        <w:rPr>
          <w:rFonts w:ascii="Times New Roman" w:hAnsi="Times New Roman"/>
          <w:sz w:val="24"/>
          <w:szCs w:val="24"/>
        </w:rPr>
        <w:t>sta</w:t>
      </w:r>
      <w:r w:rsidRPr="002640C4">
        <w:rPr>
          <w:rFonts w:ascii="Times New Roman" w:hAnsi="Times New Roman"/>
          <w:sz w:val="24"/>
          <w:szCs w:val="24"/>
        </w:rPr>
        <w:t xml:space="preserve">tančiu baudžiamąją atsakomybę už profesinio, tarnybinio ar pareiginio neįgalumo simuliavimą, vertintinas kaip perteklinis, neatitinkantis nei baudžiamosios teisės </w:t>
      </w:r>
      <w:proofErr w:type="spellStart"/>
      <w:r w:rsidRPr="002640C4">
        <w:rPr>
          <w:rFonts w:ascii="Times New Roman" w:hAnsi="Times New Roman"/>
          <w:i/>
          <w:sz w:val="24"/>
          <w:szCs w:val="24"/>
        </w:rPr>
        <w:t>ultima</w:t>
      </w:r>
      <w:proofErr w:type="spellEnd"/>
      <w:r w:rsidRPr="002640C4">
        <w:rPr>
          <w:rFonts w:ascii="Times New Roman" w:hAnsi="Times New Roman"/>
          <w:i/>
          <w:sz w:val="24"/>
          <w:szCs w:val="24"/>
        </w:rPr>
        <w:t xml:space="preserve"> </w:t>
      </w:r>
      <w:proofErr w:type="spellStart"/>
      <w:r w:rsidRPr="002640C4">
        <w:rPr>
          <w:rFonts w:ascii="Times New Roman" w:hAnsi="Times New Roman"/>
          <w:i/>
          <w:sz w:val="24"/>
          <w:szCs w:val="24"/>
        </w:rPr>
        <w:t>ratio</w:t>
      </w:r>
      <w:proofErr w:type="spellEnd"/>
      <w:r w:rsidR="00431B3B" w:rsidRPr="002640C4">
        <w:rPr>
          <w:rFonts w:ascii="Times New Roman" w:hAnsi="Times New Roman"/>
          <w:i/>
          <w:sz w:val="24"/>
          <w:szCs w:val="24"/>
        </w:rPr>
        <w:t xml:space="preserve"> </w:t>
      </w:r>
      <w:r w:rsidR="00431B3B" w:rsidRPr="002640C4">
        <w:rPr>
          <w:rFonts w:ascii="Times New Roman" w:hAnsi="Times New Roman"/>
          <w:sz w:val="24"/>
          <w:szCs w:val="24"/>
        </w:rPr>
        <w:t>(paskutinės priemonės)</w:t>
      </w:r>
      <w:r w:rsidRPr="002640C4">
        <w:rPr>
          <w:rFonts w:ascii="Times New Roman" w:hAnsi="Times New Roman"/>
          <w:sz w:val="24"/>
          <w:szCs w:val="24"/>
        </w:rPr>
        <w:t xml:space="preserve"> principo, nei plačios Lietuvos Respublikos Konstitucinio Teismo doktrinos. Šiuo metu galiojančios teisinio reguliavimo priemonės kovoje su korupcijos apraiškomis vertintinos kaip pakankamos, todėl netikslinga antikorupcinę aplinką stiprinti perteklinėmis priemonėmis, būtina užtikrinti efektyvų galiojančių teisinių instrumentų taikymą praktikoje.</w:t>
      </w:r>
    </w:p>
    <w:p w:rsidR="004B566C" w:rsidRPr="002640C4" w:rsidRDefault="004B566C" w:rsidP="00431B3B">
      <w:pPr>
        <w:spacing w:line="360" w:lineRule="auto"/>
        <w:ind w:firstLine="851"/>
        <w:jc w:val="both"/>
        <w:rPr>
          <w:rFonts w:ascii="Times New Roman" w:hAnsi="Times New Roman"/>
          <w:sz w:val="24"/>
          <w:szCs w:val="24"/>
        </w:rPr>
      </w:pPr>
      <w:r w:rsidRPr="002640C4">
        <w:rPr>
          <w:rFonts w:ascii="Times New Roman" w:hAnsi="Times New Roman"/>
          <w:sz w:val="24"/>
          <w:szCs w:val="24"/>
        </w:rPr>
        <w:t>Pažym</w:t>
      </w:r>
      <w:r w:rsidR="00AE7661" w:rsidRPr="002640C4">
        <w:rPr>
          <w:rFonts w:ascii="Times New Roman" w:hAnsi="Times New Roman"/>
          <w:sz w:val="24"/>
          <w:szCs w:val="24"/>
        </w:rPr>
        <w:t>ėtina</w:t>
      </w:r>
      <w:r w:rsidRPr="002640C4">
        <w:rPr>
          <w:rFonts w:ascii="Times New Roman" w:hAnsi="Times New Roman"/>
          <w:sz w:val="24"/>
          <w:szCs w:val="24"/>
        </w:rPr>
        <w:t xml:space="preserve">, kad baudžiamoji atsakomybė už nusikaltimus ir baudžiamuosius nusižengimus valstybės tarnybai ir viešiesiems interesams yra reglamentuojama baudžiamojo įstatymo XXXIII skyriuje. Kovoje su korupcija yra svarbūs ne tik pareiškėjo minimi BK straipsniai, nustatantys baudžiamąją atsakomybę už piktnaudžiavimą (BK 228 straipsnis) ar tarnybos pareigų neatlikimą (BK 229 straipsnis), bet ir kiti baudžiamąją atsakomybę už korupcines nusikalstamas veikas nustatantys BK XXXIII skyriaus straipsniai (pavyzdžiui, kyšininkavimas (BK 225 straipsnis), prekyba poveikiu (BK 226 straipsnis), papirkimas (BK 227 straipsnis) ir kt.). Svarbu ir tai, kad už korupcinio pobūdžio pažeidimus gali būti taikoma ne tik baudžiamoji, bet ir kitos teisinės atsakomybės rūšys – pavyzdžiui, tarnybinė ar drausminė. Taigi kalbant apie galiojančio teisinio reguliavimo pakankamumą ir naujų teisinių instrumentų poreikį antikorupcinės aplinkos formavimo kontekste, svarbu įvertinti ne tik pavienes BK XXXIII skyriuje įtvirtintas nusikalstamas veikas, bet visas galiojančias teisinio reguliavimo priemones, kuriomis siekiama kovoti su korupcijos apraiškomis.   </w:t>
      </w:r>
    </w:p>
    <w:p w:rsidR="004B566C" w:rsidRPr="002640C4" w:rsidRDefault="004B566C" w:rsidP="00431B3B">
      <w:pPr>
        <w:spacing w:line="360" w:lineRule="auto"/>
        <w:ind w:firstLine="851"/>
        <w:jc w:val="both"/>
        <w:rPr>
          <w:rFonts w:ascii="Times New Roman" w:hAnsi="Times New Roman"/>
          <w:sz w:val="24"/>
          <w:szCs w:val="24"/>
        </w:rPr>
      </w:pPr>
      <w:r w:rsidRPr="002640C4">
        <w:rPr>
          <w:rFonts w:ascii="Times New Roman" w:hAnsi="Times New Roman"/>
          <w:sz w:val="24"/>
          <w:szCs w:val="24"/>
        </w:rPr>
        <w:t xml:space="preserve">Konstitucinis Teismas savo nutarimuose yra konstatavęs, kad pagal </w:t>
      </w:r>
      <w:r w:rsidR="00364C51" w:rsidRPr="002640C4">
        <w:rPr>
          <w:rFonts w:ascii="Times New Roman" w:hAnsi="Times New Roman"/>
          <w:sz w:val="24"/>
          <w:szCs w:val="24"/>
        </w:rPr>
        <w:t xml:space="preserve">Lietuvos Respublikos </w:t>
      </w:r>
      <w:r w:rsidRPr="002640C4">
        <w:rPr>
          <w:rFonts w:ascii="Times New Roman" w:hAnsi="Times New Roman"/>
          <w:sz w:val="24"/>
          <w:szCs w:val="24"/>
        </w:rPr>
        <w:t xml:space="preserve">Konstituciją įstatymų leidėjas baudžiamajame įstatyme nusikalstamomis gali įvardyti tik tas veikas, </w:t>
      </w:r>
      <w:r w:rsidRPr="002640C4">
        <w:rPr>
          <w:rFonts w:ascii="Times New Roman" w:hAnsi="Times New Roman"/>
          <w:sz w:val="24"/>
          <w:szCs w:val="24"/>
        </w:rPr>
        <w:lastRenderedPageBreak/>
        <w:t>kurios yra iš tikrųjų pavojingos ir kuriomis iš tikrųjų daroma didelė žala asmens, visuomenės ir valstybės interesams arba dėl šių veikų kyla grėsmė, kad tokia žala bus padaryta (Konstitucinio Teismo 2003 m. birželio 10 d., 2004 m. gruodžio 29 d. nutarimai). Konstitucinio Teismo doktrinoje taip pat ne kartą akcentuota, jog siekiant užkirsti kelią neteisėtoms veikoms ne visada tikslinga atitinkamas veikas pripažinti nusikaltimais ir taikyti už jas pačias griežčiausias priemones – kriminalines bausmes (Konstitucinio Teismo 1997 m. lapkričio 13 d., 2005 m. lapkričio 10 d. nutarimai). Taigi baudžiamoji atsakomybė demokratinėje visuomenėje turi būti suvokiama kaip kraštutinė, paskutinė priemonė (</w:t>
      </w:r>
      <w:proofErr w:type="spellStart"/>
      <w:r w:rsidRPr="002640C4">
        <w:rPr>
          <w:rFonts w:ascii="Times New Roman" w:hAnsi="Times New Roman"/>
          <w:i/>
          <w:sz w:val="24"/>
          <w:szCs w:val="24"/>
        </w:rPr>
        <w:t>ultima</w:t>
      </w:r>
      <w:proofErr w:type="spellEnd"/>
      <w:r w:rsidRPr="002640C4">
        <w:rPr>
          <w:rFonts w:ascii="Times New Roman" w:hAnsi="Times New Roman"/>
          <w:i/>
          <w:sz w:val="24"/>
          <w:szCs w:val="24"/>
        </w:rPr>
        <w:t xml:space="preserve"> </w:t>
      </w:r>
      <w:proofErr w:type="spellStart"/>
      <w:r w:rsidRPr="002640C4">
        <w:rPr>
          <w:rFonts w:ascii="Times New Roman" w:hAnsi="Times New Roman"/>
          <w:i/>
          <w:sz w:val="24"/>
          <w:szCs w:val="24"/>
        </w:rPr>
        <w:t>ratio</w:t>
      </w:r>
      <w:proofErr w:type="spellEnd"/>
      <w:r w:rsidRPr="002640C4">
        <w:rPr>
          <w:rFonts w:ascii="Times New Roman" w:hAnsi="Times New Roman"/>
          <w:sz w:val="24"/>
          <w:szCs w:val="24"/>
        </w:rPr>
        <w:t>), naudojama saugomų teisinių gėrių, vertybių apsaugai tais atvejais, kai švelnesnėmis priemonėmis tų pačių tikslų pasiekti negalima.</w:t>
      </w:r>
    </w:p>
    <w:p w:rsidR="009D5794" w:rsidRPr="002640C4" w:rsidRDefault="004B566C" w:rsidP="00431B3B">
      <w:pPr>
        <w:pStyle w:val="Puslapioinaostekstas"/>
        <w:spacing w:line="360" w:lineRule="auto"/>
        <w:ind w:firstLine="851"/>
        <w:jc w:val="both"/>
        <w:rPr>
          <w:sz w:val="24"/>
          <w:szCs w:val="24"/>
          <w:lang w:val="lt-LT"/>
        </w:rPr>
      </w:pPr>
      <w:r w:rsidRPr="002640C4">
        <w:rPr>
          <w:sz w:val="24"/>
          <w:szCs w:val="24"/>
          <w:lang w:val="lt-LT"/>
        </w:rPr>
        <w:t xml:space="preserve">Atkreiptinas dėmesys į tai, kad pagal BK 228 straipsnį baudžiamoji atsakomybė valstybės tarnautojui ar jam prilygintam asmeniui, piktnaudžiavusiam tarnybine padėtimi arba viršijusiam įgaliojimus, atsiranda tada, kai dėl to didelės žalos patyrė valstybė, Europos Sąjunga, tarptautinė viešoji organizacija, juridinis ar fizinis asmuo. </w:t>
      </w:r>
      <w:r w:rsidR="009D5794" w:rsidRPr="002640C4">
        <w:rPr>
          <w:sz w:val="24"/>
          <w:szCs w:val="24"/>
          <w:lang w:val="lt-LT" w:eastAsia="lt-LT"/>
        </w:rPr>
        <w:t>T</w:t>
      </w:r>
      <w:r w:rsidR="009D5794" w:rsidRPr="002640C4">
        <w:rPr>
          <w:sz w:val="24"/>
          <w:szCs w:val="24"/>
          <w:shd w:val="clear" w:color="auto" w:fill="FFFFFF"/>
          <w:lang w:val="lt-LT"/>
        </w:rPr>
        <w:t>eismų praktikoje piktnaudžiavimas tarnybine padėtimi suprantamas kaip įstatymais ir kitais teisės aktais suteiktų teisių, pareigų ir įgaliojimų panaudojimas priešingai tarnybos interesams, jos veiklos principams, esmei bei turiniui</w:t>
      </w:r>
      <w:r w:rsidR="00364C51" w:rsidRPr="002640C4">
        <w:rPr>
          <w:sz w:val="24"/>
          <w:szCs w:val="24"/>
          <w:shd w:val="clear" w:color="auto" w:fill="FFFFFF"/>
          <w:lang w:val="lt-LT"/>
        </w:rPr>
        <w:t xml:space="preserve"> (Lietuvos Aukščiausiojo Teismo Baudžiamųjų bylų skyriaus 2007 m. sausio 4 d. Teismų praktikos nusikaltimų ir baudžiamųjų nusižengimų valstybės tarnybai ir viešiesiems interesams baudžiamosiose bylose (BK 225, 226, 227, 228, 229 straipsniai) apibendrinimo apžvalga)</w:t>
      </w:r>
      <w:r w:rsidR="009D5794" w:rsidRPr="002640C4">
        <w:rPr>
          <w:sz w:val="24"/>
          <w:szCs w:val="24"/>
          <w:shd w:val="clear" w:color="auto" w:fill="FFFFFF"/>
          <w:lang w:val="lt-LT"/>
        </w:rPr>
        <w:t>. Taigi valstybės tarnautojo ar jam prilyginto asmens veiklos teisėtumą nulemia ne vien tai, kad jis savo veikloje nepažeidė konkretaus draudimo, nurodyto norminiame akte – ne mažiau svarbu įvertinti, ar jis vadovavosi tarnybos interesais ir principais atlikdamas pareigas, ar neiškreipė savo tarnybinės veiklos turinio. T</w:t>
      </w:r>
      <w:r w:rsidR="009D5794" w:rsidRPr="002640C4">
        <w:rPr>
          <w:sz w:val="24"/>
          <w:szCs w:val="24"/>
          <w:lang w:val="lt-LT"/>
        </w:rPr>
        <w:t>yčios elementas piktnaudžiavimo atveju pasireiškia tuo, jog asmuo suvokia, kad savo veiksmais pažeidžia įstatymus, privalomus reikalavimus, kurie jam yra keliami jo tarnyboje ir kurie jam yra žinomi.</w:t>
      </w:r>
    </w:p>
    <w:p w:rsidR="009D5794" w:rsidRPr="002640C4" w:rsidRDefault="004B566C" w:rsidP="00431B3B">
      <w:pPr>
        <w:spacing w:line="360" w:lineRule="auto"/>
        <w:ind w:firstLine="851"/>
        <w:jc w:val="both"/>
        <w:rPr>
          <w:rFonts w:ascii="Times New Roman" w:hAnsi="Times New Roman"/>
          <w:sz w:val="24"/>
          <w:szCs w:val="24"/>
        </w:rPr>
      </w:pPr>
      <w:r w:rsidRPr="002640C4">
        <w:rPr>
          <w:rFonts w:ascii="Times New Roman" w:hAnsi="Times New Roman"/>
          <w:sz w:val="24"/>
          <w:szCs w:val="24"/>
        </w:rPr>
        <w:t xml:space="preserve">Panašus teisinis reglamentavimas numatytas ir BK 229 straipsnyje, kuriame įtvirtinta baudžiamoji atsakomybė valstybės tarnautojui ar jam prilygintam asmeniui, dėl neatsargumo neatlikusiam savo pareigų ar jas netinkamai atlikusiam, jeigu dėl to valstybė, Europos Sąjunga, tarptautinė viešoji organizacija, juridinis ar fizinis asmuo patyrė didelės žalos. Taigi nors nurodytos nusikalstamos veikos skiriasi tiek savo objektyviosios pusės pasireiškimo požymiais, tiek kaltės klausimo aspektu (pvz., vienu atveju subjektyvioji pusė pasireiškia tyčia, kitu atveju – neatsargumu), abiejų nusikaltimų būtinuoju požymiu yra padaryta didelė žala. </w:t>
      </w:r>
      <w:r w:rsidR="009D5794" w:rsidRPr="002640C4">
        <w:rPr>
          <w:rFonts w:ascii="Times New Roman" w:hAnsi="Times New Roman"/>
          <w:sz w:val="24"/>
          <w:szCs w:val="24"/>
        </w:rPr>
        <w:t xml:space="preserve">Atitinkamai </w:t>
      </w:r>
      <w:r w:rsidR="009D5794" w:rsidRPr="002640C4">
        <w:rPr>
          <w:rFonts w:ascii="Times New Roman" w:hAnsi="Times New Roman"/>
          <w:sz w:val="24"/>
          <w:szCs w:val="24"/>
          <w:shd w:val="clear" w:color="auto" w:fill="FFFFFF"/>
        </w:rPr>
        <w:t xml:space="preserve">didelės žalos požymis piktnaudžiavimo normoje – tai kriterijus, pagal kurį sprendžiama, ar veika peržengia tarnybinio nusižengimo ribas ir laikytina nusikalstama. </w:t>
      </w:r>
      <w:r w:rsidR="009D5794" w:rsidRPr="002640C4">
        <w:rPr>
          <w:rFonts w:ascii="Times New Roman" w:hAnsi="Times New Roman"/>
          <w:sz w:val="24"/>
          <w:szCs w:val="24"/>
          <w:lang w:eastAsia="lt-LT"/>
        </w:rPr>
        <w:t xml:space="preserve">Nors konkrečių didelės žalos kriterijų įstatyme nenurodyta, tačiau šis požymis kiekvienu atveju nustatomas </w:t>
      </w:r>
      <w:r w:rsidR="009D5794" w:rsidRPr="002640C4">
        <w:rPr>
          <w:rFonts w:ascii="Times New Roman" w:hAnsi="Times New Roman"/>
          <w:iCs/>
          <w:sz w:val="24"/>
          <w:szCs w:val="24"/>
          <w:lang w:eastAsia="lt-LT"/>
        </w:rPr>
        <w:t>atsižvelgiant į konkrečias bylos aplinkybes: kilusios žalos pobūdį, pažeistų interesų ir kaltininko einamų pareigų svarbą, nukentėjusiųjų skaičių ir jų pareigūno ar jam prilyginto asmens veiksmų vertinimą, padarytos veikos neigiamą poveikį institucijos, kurioje dirba kaltininkas, reputacijai, valstybės autoritetui ir pan</w:t>
      </w:r>
      <w:r w:rsidR="009D5794" w:rsidRPr="002640C4">
        <w:rPr>
          <w:rFonts w:ascii="Times New Roman" w:hAnsi="Times New Roman"/>
          <w:sz w:val="24"/>
          <w:szCs w:val="24"/>
          <w:lang w:eastAsia="lt-LT"/>
        </w:rPr>
        <w:t>.</w:t>
      </w:r>
    </w:p>
    <w:p w:rsidR="004B566C" w:rsidRPr="002640C4" w:rsidRDefault="004B566C" w:rsidP="00431B3B">
      <w:pPr>
        <w:spacing w:line="360" w:lineRule="auto"/>
        <w:ind w:firstLine="851"/>
        <w:jc w:val="both"/>
        <w:rPr>
          <w:rFonts w:ascii="Times New Roman" w:hAnsi="Times New Roman"/>
          <w:sz w:val="24"/>
          <w:szCs w:val="24"/>
        </w:rPr>
      </w:pPr>
      <w:r w:rsidRPr="002640C4">
        <w:rPr>
          <w:rFonts w:ascii="Times New Roman" w:hAnsi="Times New Roman"/>
          <w:sz w:val="24"/>
          <w:szCs w:val="24"/>
        </w:rPr>
        <w:lastRenderedPageBreak/>
        <w:t xml:space="preserve">Būtent padaryta didelė žala lemia tai, ar už piktnaudžiavimą ir tarnybos pareigų neatlikimą gali būti taikomos baudžiamojo poveikio priemonės, t. y. baudžiamoji teisė, kaip </w:t>
      </w:r>
      <w:proofErr w:type="spellStart"/>
      <w:r w:rsidRPr="002640C4">
        <w:rPr>
          <w:rFonts w:ascii="Times New Roman" w:hAnsi="Times New Roman"/>
          <w:i/>
          <w:sz w:val="24"/>
          <w:szCs w:val="24"/>
        </w:rPr>
        <w:t>ultima</w:t>
      </w:r>
      <w:proofErr w:type="spellEnd"/>
      <w:r w:rsidRPr="002640C4">
        <w:rPr>
          <w:rFonts w:ascii="Times New Roman" w:hAnsi="Times New Roman"/>
          <w:i/>
          <w:sz w:val="24"/>
          <w:szCs w:val="24"/>
        </w:rPr>
        <w:t xml:space="preserve"> </w:t>
      </w:r>
      <w:proofErr w:type="spellStart"/>
      <w:r w:rsidRPr="002640C4">
        <w:rPr>
          <w:rFonts w:ascii="Times New Roman" w:hAnsi="Times New Roman"/>
          <w:i/>
          <w:sz w:val="24"/>
          <w:szCs w:val="24"/>
        </w:rPr>
        <w:t>ratio</w:t>
      </w:r>
      <w:proofErr w:type="spellEnd"/>
      <w:r w:rsidRPr="002640C4">
        <w:rPr>
          <w:rFonts w:ascii="Times New Roman" w:hAnsi="Times New Roman"/>
          <w:sz w:val="24"/>
          <w:szCs w:val="24"/>
        </w:rPr>
        <w:t xml:space="preserve"> priemonė, gali būti taikoma tik pačiais pavojingiausiais piktnaudžiavimo ir tarnybos pareigų neatlikimo atvejais, kurie siejami su padariniais (padaryta didele žala). Atsižvelgiant į tai, pareiškėjo siūlymas nustatyti baudžiamąją atsakomybę už patį profesinio, tarnybinio ar pareiginio neįgalumo simuliavimo faktą (nesiejant to su konkrečiais neigiamais padariniais, patirta žala), kuris gali pasireikšti, pavyzdžiui, tam tikro termino praleidimu ir pan., ne tik neatitinka baudžiamosios teisės kaip </w:t>
      </w:r>
      <w:proofErr w:type="spellStart"/>
      <w:r w:rsidRPr="002640C4">
        <w:rPr>
          <w:rFonts w:ascii="Times New Roman" w:hAnsi="Times New Roman"/>
          <w:i/>
          <w:sz w:val="24"/>
          <w:szCs w:val="24"/>
        </w:rPr>
        <w:t>ultima</w:t>
      </w:r>
      <w:proofErr w:type="spellEnd"/>
      <w:r w:rsidRPr="002640C4">
        <w:rPr>
          <w:rFonts w:ascii="Times New Roman" w:hAnsi="Times New Roman"/>
          <w:i/>
          <w:sz w:val="24"/>
          <w:szCs w:val="24"/>
        </w:rPr>
        <w:t xml:space="preserve"> </w:t>
      </w:r>
      <w:proofErr w:type="spellStart"/>
      <w:r w:rsidRPr="002640C4">
        <w:rPr>
          <w:rFonts w:ascii="Times New Roman" w:hAnsi="Times New Roman"/>
          <w:i/>
          <w:sz w:val="24"/>
          <w:szCs w:val="24"/>
        </w:rPr>
        <w:t>ratio</w:t>
      </w:r>
      <w:proofErr w:type="spellEnd"/>
      <w:r w:rsidRPr="002640C4">
        <w:rPr>
          <w:rFonts w:ascii="Times New Roman" w:hAnsi="Times New Roman"/>
          <w:sz w:val="24"/>
          <w:szCs w:val="24"/>
        </w:rPr>
        <w:t xml:space="preserve"> principo, bet ir yra nesuderinamas su plačia konstitucine doktrina, susijusia su nusikalstamų veikų </w:t>
      </w:r>
      <w:proofErr w:type="spellStart"/>
      <w:r w:rsidRPr="002640C4">
        <w:rPr>
          <w:rFonts w:ascii="Times New Roman" w:hAnsi="Times New Roman"/>
          <w:sz w:val="24"/>
          <w:szCs w:val="24"/>
        </w:rPr>
        <w:t>kriminalizavimo</w:t>
      </w:r>
      <w:proofErr w:type="spellEnd"/>
      <w:r w:rsidRPr="002640C4">
        <w:rPr>
          <w:rFonts w:ascii="Times New Roman" w:hAnsi="Times New Roman"/>
          <w:sz w:val="24"/>
          <w:szCs w:val="24"/>
        </w:rPr>
        <w:t>, baudžiamosios atsakomybės taikymo ir kitais principais. Svarbu atkreipti dėmesį ir į tai, kad nepaisant padarinių (žalos) požymio, kurio savo pasiūlyme pareiškėjas nenumato, kitus jo pateiktame BK 229</w:t>
      </w:r>
      <w:r w:rsidRPr="002640C4">
        <w:rPr>
          <w:rFonts w:ascii="Times New Roman" w:hAnsi="Times New Roman"/>
          <w:sz w:val="24"/>
          <w:szCs w:val="24"/>
          <w:vertAlign w:val="superscript"/>
        </w:rPr>
        <w:t xml:space="preserve">1 </w:t>
      </w:r>
      <w:r w:rsidRPr="002640C4">
        <w:rPr>
          <w:rFonts w:ascii="Times New Roman" w:hAnsi="Times New Roman"/>
          <w:sz w:val="24"/>
          <w:szCs w:val="24"/>
        </w:rPr>
        <w:t xml:space="preserve">straipsnyje siūlomus nusikaltimo sudėties požymius (pvz., profesinio pareigų atlikimo simuliavimas, </w:t>
      </w:r>
      <w:r w:rsidRPr="002640C4">
        <w:rPr>
          <w:rFonts w:ascii="Times New Roman" w:hAnsi="Times New Roman"/>
          <w:iCs/>
          <w:sz w:val="24"/>
          <w:szCs w:val="24"/>
        </w:rPr>
        <w:t>tyčinis</w:t>
      </w:r>
      <w:r w:rsidRPr="002640C4">
        <w:rPr>
          <w:rFonts w:ascii="Times New Roman" w:hAnsi="Times New Roman"/>
          <w:sz w:val="24"/>
          <w:szCs w:val="24"/>
        </w:rPr>
        <w:t xml:space="preserve"> valstybės tarnautojui priskirtų pareigų neatlikimas, teisės akto priėmimo vilkinimas ir pan.) iš esmės apima (dubliuoja) galiojančio BK 228 ir 229 straipsniuose įtvirtinti nusikaltimų sudėčių požymiai (piktnaudžiavimas tarnybine padėtimi, įgaliojimų viršijimas, pareigų neatlikimas ar netinkamas jų atlikimas ir kt.). Taigi už pareiškėjo siūlomas </w:t>
      </w:r>
      <w:proofErr w:type="spellStart"/>
      <w:r w:rsidRPr="002640C4">
        <w:rPr>
          <w:rFonts w:ascii="Times New Roman" w:hAnsi="Times New Roman"/>
          <w:sz w:val="24"/>
          <w:szCs w:val="24"/>
        </w:rPr>
        <w:t>kriminalizuoti</w:t>
      </w:r>
      <w:proofErr w:type="spellEnd"/>
      <w:r w:rsidRPr="002640C4">
        <w:rPr>
          <w:rFonts w:ascii="Times New Roman" w:hAnsi="Times New Roman"/>
          <w:sz w:val="24"/>
          <w:szCs w:val="24"/>
        </w:rPr>
        <w:t xml:space="preserve"> veikas, susijusias su profesiniu pareigų atlikimo simuliavimu, kitokiu tyčiniu profesinių, tarnybinių ir pan. pareigų neatlikimu ir kt., dėl kurių padaryta didelė žala, jau šiuo metu numatyta baudžiamoji atsakomybė BK 228 ir 229 straipsniuose, todėl pareiškėjo siūlymas papildyti baudžiamąjį įstatymą nauju 229</w:t>
      </w:r>
      <w:r w:rsidRPr="002640C4">
        <w:rPr>
          <w:rFonts w:ascii="Times New Roman" w:hAnsi="Times New Roman"/>
          <w:sz w:val="24"/>
          <w:szCs w:val="24"/>
          <w:vertAlign w:val="superscript"/>
        </w:rPr>
        <w:t>1</w:t>
      </w:r>
      <w:r w:rsidRPr="002640C4">
        <w:rPr>
          <w:rFonts w:ascii="Times New Roman" w:hAnsi="Times New Roman"/>
          <w:sz w:val="24"/>
          <w:szCs w:val="24"/>
        </w:rPr>
        <w:t xml:space="preserve"> straipsniu vertintinas kaip perteklinis ir dubliuojantis galiojančias BK normas. </w:t>
      </w:r>
    </w:p>
    <w:p w:rsidR="009D5794" w:rsidRPr="002640C4" w:rsidRDefault="00AE7661" w:rsidP="00431B3B">
      <w:pPr>
        <w:spacing w:line="360" w:lineRule="auto"/>
        <w:ind w:firstLine="851"/>
        <w:jc w:val="both"/>
        <w:rPr>
          <w:rFonts w:ascii="Times New Roman" w:hAnsi="Times New Roman"/>
          <w:sz w:val="24"/>
          <w:szCs w:val="24"/>
        </w:rPr>
      </w:pPr>
      <w:r w:rsidRPr="002640C4">
        <w:rPr>
          <w:rFonts w:ascii="Times New Roman" w:hAnsi="Times New Roman"/>
          <w:sz w:val="24"/>
          <w:szCs w:val="24"/>
        </w:rPr>
        <w:t>A</w:t>
      </w:r>
      <w:r w:rsidR="009D5794" w:rsidRPr="002640C4">
        <w:rPr>
          <w:rFonts w:ascii="Times New Roman" w:hAnsi="Times New Roman"/>
          <w:sz w:val="24"/>
          <w:szCs w:val="24"/>
        </w:rPr>
        <w:t>tkreip</w:t>
      </w:r>
      <w:r w:rsidRPr="002640C4">
        <w:rPr>
          <w:rFonts w:ascii="Times New Roman" w:hAnsi="Times New Roman"/>
          <w:sz w:val="24"/>
          <w:szCs w:val="24"/>
        </w:rPr>
        <w:t>tinas</w:t>
      </w:r>
      <w:r w:rsidR="009D5794" w:rsidRPr="002640C4">
        <w:rPr>
          <w:rFonts w:ascii="Times New Roman" w:hAnsi="Times New Roman"/>
          <w:sz w:val="24"/>
          <w:szCs w:val="24"/>
        </w:rPr>
        <w:t xml:space="preserve"> dėmes</w:t>
      </w:r>
      <w:r w:rsidRPr="002640C4">
        <w:rPr>
          <w:rFonts w:ascii="Times New Roman" w:hAnsi="Times New Roman"/>
          <w:sz w:val="24"/>
          <w:szCs w:val="24"/>
        </w:rPr>
        <w:t>ys</w:t>
      </w:r>
      <w:r w:rsidR="009D5794" w:rsidRPr="002640C4">
        <w:rPr>
          <w:rFonts w:ascii="Times New Roman" w:hAnsi="Times New Roman"/>
          <w:sz w:val="24"/>
          <w:szCs w:val="24"/>
        </w:rPr>
        <w:t xml:space="preserve"> į siūlomo BK 229</w:t>
      </w:r>
      <w:r w:rsidR="009D5794" w:rsidRPr="002640C4">
        <w:rPr>
          <w:rFonts w:ascii="Times New Roman" w:hAnsi="Times New Roman"/>
          <w:sz w:val="24"/>
          <w:szCs w:val="24"/>
          <w:vertAlign w:val="superscript"/>
          <w:lang w:eastAsia="lt-LT"/>
        </w:rPr>
        <w:t>1</w:t>
      </w:r>
      <w:r w:rsidR="009D5794" w:rsidRPr="002640C4">
        <w:rPr>
          <w:rFonts w:ascii="Times New Roman" w:hAnsi="Times New Roman"/>
          <w:sz w:val="24"/>
          <w:szCs w:val="24"/>
          <w:lang w:eastAsia="lt-LT"/>
        </w:rPr>
        <w:t xml:space="preserve"> straipsnio 2 dalies formuluotę, </w:t>
      </w:r>
      <w:r w:rsidR="009D5794" w:rsidRPr="002640C4">
        <w:rPr>
          <w:rFonts w:ascii="Times New Roman" w:hAnsi="Times New Roman"/>
          <w:sz w:val="24"/>
          <w:szCs w:val="24"/>
        </w:rPr>
        <w:t xml:space="preserve">kurioje numatytas nusikaltimo sudėties požymis, susijęs su valstybės tarnautojo ar jam prilyginto asmens </w:t>
      </w:r>
      <w:r w:rsidR="009D5794" w:rsidRPr="002640C4">
        <w:rPr>
          <w:rFonts w:ascii="Times New Roman" w:hAnsi="Times New Roman"/>
          <w:i/>
          <w:sz w:val="24"/>
          <w:szCs w:val="24"/>
        </w:rPr>
        <w:t>ankstesniu</w:t>
      </w:r>
      <w:r w:rsidR="009D5794" w:rsidRPr="002640C4">
        <w:rPr>
          <w:rFonts w:ascii="Times New Roman" w:hAnsi="Times New Roman"/>
          <w:sz w:val="24"/>
          <w:szCs w:val="24"/>
        </w:rPr>
        <w:t xml:space="preserve"> </w:t>
      </w:r>
      <w:proofErr w:type="spellStart"/>
      <w:r w:rsidR="009D5794" w:rsidRPr="002640C4">
        <w:rPr>
          <w:rFonts w:ascii="Times New Roman" w:hAnsi="Times New Roman"/>
          <w:sz w:val="24"/>
          <w:szCs w:val="24"/>
        </w:rPr>
        <w:t>baustumu</w:t>
      </w:r>
      <w:proofErr w:type="spellEnd"/>
      <w:r w:rsidR="009D5794" w:rsidRPr="002640C4">
        <w:rPr>
          <w:rFonts w:ascii="Times New Roman" w:hAnsi="Times New Roman"/>
          <w:sz w:val="24"/>
          <w:szCs w:val="24"/>
        </w:rPr>
        <w:t xml:space="preserve"> </w:t>
      </w:r>
      <w:r w:rsidR="009D5794" w:rsidRPr="002640C4">
        <w:rPr>
          <w:rFonts w:ascii="Times New Roman" w:hAnsi="Times New Roman"/>
          <w:i/>
          <w:sz w:val="24"/>
          <w:szCs w:val="24"/>
        </w:rPr>
        <w:t>už teisės pažeidimus valstybės tarnybai ar viešiesiems interesams</w:t>
      </w:r>
      <w:r w:rsidR="009D5794" w:rsidRPr="002640C4">
        <w:rPr>
          <w:rFonts w:ascii="Times New Roman" w:hAnsi="Times New Roman"/>
          <w:sz w:val="24"/>
          <w:szCs w:val="24"/>
        </w:rPr>
        <w:t>. Pažymėtina, kad šioje dalyje kalbama apie „teisės pažeidimus“, t. y. ne tik nusikaltimus ir baudžiamuosius nusižengimus, bet ir kitus teisės pažeidimus (pvz., tarnybinius nusižengimus). Be to, formuluotė „anksčiau baustas“ apima neapibrėžtą laikotarpį (asmuo gali būti baustas prieš 20 ir daugiau metų). Tad tokia nuostata, nesiejant jos su jokiu laikotarpiu, taip pat neatsižvelgiant nei į teistumo, nei į tarnybinės nuobaudos išnykimą, kelia abejonių dėl jos pagrįstumo ir galimo prieštar</w:t>
      </w:r>
      <w:r w:rsidRPr="002640C4">
        <w:rPr>
          <w:rFonts w:ascii="Times New Roman" w:hAnsi="Times New Roman"/>
          <w:sz w:val="24"/>
          <w:szCs w:val="24"/>
        </w:rPr>
        <w:t>a</w:t>
      </w:r>
      <w:r w:rsidR="009D5794" w:rsidRPr="002640C4">
        <w:rPr>
          <w:rFonts w:ascii="Times New Roman" w:hAnsi="Times New Roman"/>
          <w:sz w:val="24"/>
          <w:szCs w:val="24"/>
        </w:rPr>
        <w:t xml:space="preserve">vimo </w:t>
      </w:r>
      <w:proofErr w:type="spellStart"/>
      <w:r w:rsidR="009D5794" w:rsidRPr="002640C4">
        <w:rPr>
          <w:rFonts w:ascii="Times New Roman" w:hAnsi="Times New Roman"/>
          <w:i/>
          <w:sz w:val="24"/>
          <w:szCs w:val="24"/>
        </w:rPr>
        <w:t>non</w:t>
      </w:r>
      <w:proofErr w:type="spellEnd"/>
      <w:r w:rsidR="009D5794" w:rsidRPr="002640C4">
        <w:rPr>
          <w:rFonts w:ascii="Times New Roman" w:hAnsi="Times New Roman"/>
          <w:i/>
          <w:sz w:val="24"/>
          <w:szCs w:val="24"/>
        </w:rPr>
        <w:t xml:space="preserve"> bis </w:t>
      </w:r>
      <w:proofErr w:type="spellStart"/>
      <w:r w:rsidR="009D5794" w:rsidRPr="002640C4">
        <w:rPr>
          <w:rFonts w:ascii="Times New Roman" w:hAnsi="Times New Roman"/>
          <w:i/>
          <w:sz w:val="24"/>
          <w:szCs w:val="24"/>
        </w:rPr>
        <w:t>in</w:t>
      </w:r>
      <w:proofErr w:type="spellEnd"/>
      <w:r w:rsidR="009D5794" w:rsidRPr="002640C4">
        <w:rPr>
          <w:rFonts w:ascii="Times New Roman" w:hAnsi="Times New Roman"/>
          <w:i/>
          <w:sz w:val="24"/>
          <w:szCs w:val="24"/>
        </w:rPr>
        <w:t xml:space="preserve"> </w:t>
      </w:r>
      <w:proofErr w:type="spellStart"/>
      <w:r w:rsidR="009D5794" w:rsidRPr="002640C4">
        <w:rPr>
          <w:rFonts w:ascii="Times New Roman" w:hAnsi="Times New Roman"/>
          <w:i/>
          <w:sz w:val="24"/>
          <w:szCs w:val="24"/>
        </w:rPr>
        <w:t>idem</w:t>
      </w:r>
      <w:proofErr w:type="spellEnd"/>
      <w:r w:rsidR="009D5794" w:rsidRPr="002640C4">
        <w:rPr>
          <w:rFonts w:ascii="Times New Roman" w:hAnsi="Times New Roman"/>
          <w:sz w:val="24"/>
          <w:szCs w:val="24"/>
        </w:rPr>
        <w:t xml:space="preserve"> principui (dvigubo baudimo draudimui).</w:t>
      </w:r>
    </w:p>
    <w:p w:rsidR="004B566C" w:rsidRPr="002640C4" w:rsidRDefault="004B566C" w:rsidP="00431B3B">
      <w:pPr>
        <w:spacing w:line="360" w:lineRule="auto"/>
        <w:ind w:firstLine="851"/>
        <w:jc w:val="both"/>
        <w:rPr>
          <w:rFonts w:ascii="Times New Roman" w:eastAsia="Calibri" w:hAnsi="Times New Roman"/>
          <w:sz w:val="24"/>
          <w:szCs w:val="24"/>
        </w:rPr>
      </w:pPr>
      <w:r w:rsidRPr="002640C4">
        <w:rPr>
          <w:rFonts w:ascii="Times New Roman" w:hAnsi="Times New Roman"/>
          <w:sz w:val="24"/>
          <w:szCs w:val="24"/>
        </w:rPr>
        <w:t xml:space="preserve">Konstitucinis Teismas savo doktrinoje taip pat yra konstatavęs ir tai, kad kiekvieną kartą, kai reikia spręsti, pripažinti veiką nusikaltimu ar kitokiu teisės pažeidimu, labai svarbu įvertinti, kokių rezultatų galima pasiekti kitomis, nesusijusiomis su kriminalinių bausmių taikymu priemonėmis (Konstitucinio Teismo 1997 m. lapkričio 13 d., 2005 m. lapkričio 10 d. nutarimai). </w:t>
      </w:r>
      <w:r w:rsidRPr="002640C4">
        <w:rPr>
          <w:rFonts w:ascii="Times New Roman" w:eastAsia="Calibri" w:hAnsi="Times New Roman"/>
          <w:sz w:val="24"/>
          <w:szCs w:val="24"/>
        </w:rPr>
        <w:t xml:space="preserve">Atkreiptinas dėmesys ir į Lietuvos Aukščiausiojo Teismo (toliau – LAT) jurisprudenciją (pavyzdžiui, 2009 m. gruodžio 15 d. nutartis baudžiamojoje byloje Nr. 2K-396/2009, 2013 m. gruodžio 5 d. nutartis byloje Nr. 2A-7-9/2013 ir pan.), kurioje nuosekliai laikomasi esminės nuostatos, kad baudžiamajame </w:t>
      </w:r>
      <w:r w:rsidRPr="002640C4">
        <w:rPr>
          <w:rFonts w:ascii="Times New Roman" w:eastAsia="Calibri" w:hAnsi="Times New Roman"/>
          <w:sz w:val="24"/>
          <w:szCs w:val="24"/>
        </w:rPr>
        <w:lastRenderedPageBreak/>
        <w:t>įstatyme nurodytos valstybės prievartos priemonės nėra prevencinio pobūdžio ir laikytinos kraštutinėmis priemonėmis (</w:t>
      </w:r>
      <w:proofErr w:type="spellStart"/>
      <w:r w:rsidRPr="002640C4">
        <w:rPr>
          <w:rFonts w:ascii="Times New Roman" w:eastAsia="Calibri" w:hAnsi="Times New Roman"/>
          <w:i/>
          <w:sz w:val="24"/>
          <w:szCs w:val="24"/>
        </w:rPr>
        <w:t>ultima</w:t>
      </w:r>
      <w:proofErr w:type="spellEnd"/>
      <w:r w:rsidRPr="002640C4">
        <w:rPr>
          <w:rFonts w:ascii="Times New Roman" w:eastAsia="Calibri" w:hAnsi="Times New Roman"/>
          <w:i/>
          <w:sz w:val="24"/>
          <w:szCs w:val="24"/>
        </w:rPr>
        <w:t xml:space="preserve"> </w:t>
      </w:r>
      <w:proofErr w:type="spellStart"/>
      <w:r w:rsidRPr="002640C4">
        <w:rPr>
          <w:rFonts w:ascii="Times New Roman" w:eastAsia="Calibri" w:hAnsi="Times New Roman"/>
          <w:i/>
          <w:sz w:val="24"/>
          <w:szCs w:val="24"/>
        </w:rPr>
        <w:t>ratio</w:t>
      </w:r>
      <w:proofErr w:type="spellEnd"/>
      <w:r w:rsidRPr="002640C4">
        <w:rPr>
          <w:rFonts w:ascii="Times New Roman" w:eastAsia="Calibri" w:hAnsi="Times New Roman"/>
          <w:sz w:val="24"/>
          <w:szCs w:val="24"/>
        </w:rPr>
        <w:t xml:space="preserve">), o baudžiamoji teisė ir baudžiamoji atsakomybė nėra skirtos spręsti problemas, kurių priežasčių šalinimas yra kitų politikos sričių, o ne baudžiamosios politikos objektas. </w:t>
      </w:r>
      <w:r w:rsidRPr="002640C4">
        <w:rPr>
          <w:rFonts w:ascii="Times New Roman" w:eastAsia="Calibri" w:hAnsi="Times New Roman"/>
          <w:iCs/>
          <w:sz w:val="24"/>
          <w:szCs w:val="24"/>
        </w:rPr>
        <w:t xml:space="preserve">Kaip minėta, </w:t>
      </w:r>
      <w:r w:rsidRPr="002640C4">
        <w:rPr>
          <w:rFonts w:ascii="Times New Roman" w:hAnsi="Times New Roman"/>
          <w:iCs/>
          <w:sz w:val="24"/>
          <w:szCs w:val="24"/>
        </w:rPr>
        <w:t>už korupcinio pobūdžio pažeidimus gali būti taikoma ne tik baudžiamoji, bet ir kitos teisinės atsakomybės rūšys – pavyzdžiui, tarnybinė, drausminė ir kt.</w:t>
      </w:r>
      <w:r w:rsidRPr="002640C4">
        <w:rPr>
          <w:rFonts w:ascii="Times New Roman" w:hAnsi="Times New Roman"/>
          <w:sz w:val="24"/>
          <w:szCs w:val="24"/>
        </w:rPr>
        <w:t xml:space="preserve"> Pagal Lietuvos Respublikos valstybės tarnybos įstatymo 32 straipsnio 1 dalį, valstybės tarnautojai už tarnybinius nusižengimus traukiami </w:t>
      </w:r>
      <w:proofErr w:type="spellStart"/>
      <w:r w:rsidRPr="002640C4">
        <w:rPr>
          <w:rFonts w:ascii="Times New Roman" w:hAnsi="Times New Roman"/>
          <w:sz w:val="24"/>
          <w:szCs w:val="24"/>
        </w:rPr>
        <w:t>tarnybinėn</w:t>
      </w:r>
      <w:proofErr w:type="spellEnd"/>
      <w:r w:rsidRPr="002640C4">
        <w:rPr>
          <w:rFonts w:ascii="Times New Roman" w:hAnsi="Times New Roman"/>
          <w:sz w:val="24"/>
          <w:szCs w:val="24"/>
        </w:rPr>
        <w:t xml:space="preserve"> atsakomybėn. To paties straipsnio 3 dalyje nurodyta, kad už valstybės ir savivaldybių institucijoms ir įstaigoms padarytą materialinę žalą valstybės tarnautojai traukiami </w:t>
      </w:r>
      <w:proofErr w:type="spellStart"/>
      <w:r w:rsidRPr="002640C4">
        <w:rPr>
          <w:rFonts w:ascii="Times New Roman" w:hAnsi="Times New Roman"/>
          <w:sz w:val="24"/>
          <w:szCs w:val="24"/>
        </w:rPr>
        <w:t>materialinėn</w:t>
      </w:r>
      <w:proofErr w:type="spellEnd"/>
      <w:r w:rsidRPr="002640C4">
        <w:rPr>
          <w:rFonts w:ascii="Times New Roman" w:hAnsi="Times New Roman"/>
          <w:sz w:val="24"/>
          <w:szCs w:val="24"/>
        </w:rPr>
        <w:t xml:space="preserve"> atsakomybėn. Pati griežčiausia tarnybinė nuobauda yra atleidimas iš pareigų, kuri, vadovaujantis Valstybės tarnybos įstatymo 33 straipsnio 4 dalimi, gali būti skiriama už šiurkštų tarnybinį nusižengimą, taip pat už kitą tarnybinį nusižengimą, jeigu prieš tai valstybės tarnautojui nors kartą per paskutinius 12 mėnesių buvo taikyta tarnybinė nuobauda – griežtas papeikimas. Šiurkščiu tarnybiniu nusižengimu, be kita ko, laikoma ir valstybės tarnautojo elgesys, susijęs su tarnybinių pareigų atlikimu, diskredituojantis valstybės tarnybą, menkinantis įstaigos ar paties tarnautojo reputaciją, žeminantis žmogaus orumą, ar kiti veiksmai, tiesiogiai pažeidžiantys žmonių konstitucines teises, korupcinio pobūdžio nusikalstamos veikos, kaip jos apibrėžtos </w:t>
      </w:r>
      <w:bookmarkStart w:id="1" w:name="n1_256"/>
      <w:r w:rsidR="00364C51" w:rsidRPr="002640C4">
        <w:rPr>
          <w:rFonts w:ascii="Times New Roman" w:hAnsi="Times New Roman"/>
          <w:sz w:val="24"/>
          <w:szCs w:val="24"/>
        </w:rPr>
        <w:t xml:space="preserve">Lietuvos Respublikos korupcijos </w:t>
      </w:r>
      <w:hyperlink r:id="rId8" w:tgtFrame="_blank" w:tooltip="Lietuvos Respublikos korupcijos prevencijos įstatymas" w:history="1">
        <w:r w:rsidRPr="002640C4">
          <w:rPr>
            <w:rStyle w:val="Hipersaitas"/>
            <w:rFonts w:ascii="Times New Roman" w:hAnsi="Times New Roman"/>
            <w:iCs/>
            <w:color w:val="auto"/>
            <w:sz w:val="24"/>
            <w:szCs w:val="24"/>
            <w:u w:val="none"/>
          </w:rPr>
          <w:t xml:space="preserve"> prevencijos įstatyme</w:t>
        </w:r>
      </w:hyperlink>
      <w:bookmarkStart w:id="2" w:name="pn1_256"/>
      <w:bookmarkEnd w:id="1"/>
      <w:bookmarkEnd w:id="2"/>
      <w:r w:rsidRPr="002640C4">
        <w:rPr>
          <w:rFonts w:ascii="Times New Roman" w:hAnsi="Times New Roman"/>
          <w:sz w:val="24"/>
          <w:szCs w:val="24"/>
        </w:rPr>
        <w:t>, susijusios su tarnybinių pareigų atlikimu, nors už šią veiką valstybės tarnautojas ir nebuvo traukiamas baudžiamojon ar administracinėn atsakomybėn, piktnaudžiavimas tarnyba, įsiteisėjusių teismo sprendimų, susijusių su valstybės tarnautojo pareigomis ir jų atlikimu, nevykdymas ir pan.</w:t>
      </w:r>
    </w:p>
    <w:p w:rsidR="004B566C" w:rsidRPr="002640C4" w:rsidRDefault="002C394E" w:rsidP="00431B3B">
      <w:pPr>
        <w:pStyle w:val="Antrats"/>
        <w:spacing w:line="360" w:lineRule="auto"/>
        <w:ind w:firstLine="720"/>
        <w:jc w:val="both"/>
        <w:rPr>
          <w:rFonts w:ascii="Times New Roman" w:hAnsi="Times New Roman"/>
          <w:sz w:val="24"/>
          <w:szCs w:val="24"/>
        </w:rPr>
      </w:pPr>
      <w:r w:rsidRPr="002640C4">
        <w:rPr>
          <w:rFonts w:ascii="Times New Roman" w:hAnsi="Times New Roman"/>
          <w:sz w:val="24"/>
          <w:szCs w:val="24"/>
        </w:rPr>
        <w:t>Vertinant</w:t>
      </w:r>
      <w:r w:rsidR="004B566C" w:rsidRPr="002640C4">
        <w:rPr>
          <w:rFonts w:ascii="Times New Roman" w:hAnsi="Times New Roman"/>
          <w:sz w:val="24"/>
          <w:szCs w:val="24"/>
        </w:rPr>
        <w:t xml:space="preserve"> pareiškėj</w:t>
      </w:r>
      <w:r w:rsidRPr="002640C4">
        <w:rPr>
          <w:rFonts w:ascii="Times New Roman" w:hAnsi="Times New Roman"/>
          <w:sz w:val="24"/>
          <w:szCs w:val="24"/>
        </w:rPr>
        <w:t>o siūlymą</w:t>
      </w:r>
      <w:r w:rsidR="004B566C" w:rsidRPr="002640C4">
        <w:rPr>
          <w:rFonts w:ascii="Times New Roman" w:hAnsi="Times New Roman"/>
          <w:sz w:val="24"/>
          <w:szCs w:val="24"/>
        </w:rPr>
        <w:t xml:space="preserve"> dėl teisėjų priimamų sprendimų, pažymėtina, kad Konstitucijos 109 straipsnyje nustatyta, kad teisingumą Lietuvos Respublikoje vykdo tik teismai, teisėjas ir teismai, vykdydami teisingumą, yra nepriklausomi. Teisingumo vykdymas – išimtinai teismų funkcija ir jokia kita valstybės institucija ar pareigūnas negali prisiimti vykdyti šios funkcijos. Remiantis Konstitucijos 114 straipsnio 1 dalimi, valstybinės valdžios ir valdymo institucijų, Seimo narių ir kitų pareigūnų, politinių partijų, politinių ir visuomeninių organizacijų ar piliečių kišimasis į teisėjo ar teismo veiklą draudžiamas ir užtraukia įstatymo nu</w:t>
      </w:r>
      <w:r w:rsidR="006D095B" w:rsidRPr="002640C4">
        <w:rPr>
          <w:rFonts w:ascii="Times New Roman" w:hAnsi="Times New Roman"/>
          <w:sz w:val="24"/>
          <w:szCs w:val="24"/>
        </w:rPr>
        <w:t>st</w:t>
      </w:r>
      <w:r w:rsidR="004B566C" w:rsidRPr="002640C4">
        <w:rPr>
          <w:rFonts w:ascii="Times New Roman" w:hAnsi="Times New Roman"/>
          <w:sz w:val="24"/>
          <w:szCs w:val="24"/>
        </w:rPr>
        <w:t>atytą atsakomybę. Teismų sprendimų teisėtumas bei pagrįstumas, kai tai n</w:t>
      </w:r>
      <w:r w:rsidR="006D095B" w:rsidRPr="002640C4">
        <w:rPr>
          <w:rFonts w:ascii="Times New Roman" w:hAnsi="Times New Roman"/>
          <w:sz w:val="24"/>
          <w:szCs w:val="24"/>
        </w:rPr>
        <w:t>ust</w:t>
      </w:r>
      <w:r w:rsidR="004B566C" w:rsidRPr="002640C4">
        <w:rPr>
          <w:rFonts w:ascii="Times New Roman" w:hAnsi="Times New Roman"/>
          <w:sz w:val="24"/>
          <w:szCs w:val="24"/>
        </w:rPr>
        <w:t xml:space="preserve">atyta įstatymuose, gali būti patikrintas tik apeliacine, kasacine ar proceso atnaujinimo tvarka, laikantis įstatymų nustatytos tvarkos. Dėl pareiškėjo nurodytų teisėjų teisinės atsakomybės aspektų atkreiptinas dėmesys į tai, kad pagal BK 230 straipsnio 1 dalį, valstybės tarnautojais laikomi ir teisėjai, todėl už visas korupcinio pobūdžio nusikalstamas veikas, įskaitant piktnaudžiavimą ir tarnybos pareigų neatlikimą, jie atsako baudžiamąja tvarka (tą patvirtina ir teismų praktika – pvz., Vilniaus apygardos teismo 2012 m. spalio 15 d. nuosprendis baudžiamojoje byloje Nr. 1-106/2012, Lietuvos Aukščiausiojo Teismo 2015 m. birželio 9 d. nutartis baudžiamojoje byloje Nr. 2K-345-507/2015). Be to, vadovaujantis </w:t>
      </w:r>
      <w:r w:rsidR="0050797E" w:rsidRPr="002640C4">
        <w:rPr>
          <w:rFonts w:ascii="Times New Roman" w:hAnsi="Times New Roman"/>
          <w:sz w:val="24"/>
          <w:szCs w:val="24"/>
        </w:rPr>
        <w:t>Lietuvos Respublikos t</w:t>
      </w:r>
      <w:r w:rsidR="004B566C" w:rsidRPr="002640C4">
        <w:rPr>
          <w:rFonts w:ascii="Times New Roman" w:hAnsi="Times New Roman"/>
          <w:sz w:val="24"/>
          <w:szCs w:val="24"/>
        </w:rPr>
        <w:t xml:space="preserve">eismų įstatymo 83 straipsnio </w:t>
      </w:r>
      <w:r w:rsidR="006E0345" w:rsidRPr="002640C4">
        <w:rPr>
          <w:rFonts w:ascii="Times New Roman" w:hAnsi="Times New Roman"/>
          <w:sz w:val="24"/>
          <w:szCs w:val="24"/>
        </w:rPr>
        <w:br/>
      </w:r>
      <w:r w:rsidR="004B566C" w:rsidRPr="002640C4">
        <w:rPr>
          <w:rFonts w:ascii="Times New Roman" w:hAnsi="Times New Roman"/>
          <w:sz w:val="24"/>
          <w:szCs w:val="24"/>
        </w:rPr>
        <w:t xml:space="preserve">2 dalimi, teisėjas gali atsakyti, pavyzdžiui, ir drausmine tvarka už teisėjo vardą žeminantį poelgį, už </w:t>
      </w:r>
      <w:r w:rsidR="004B566C" w:rsidRPr="002640C4">
        <w:rPr>
          <w:rFonts w:ascii="Times New Roman" w:hAnsi="Times New Roman"/>
          <w:sz w:val="24"/>
          <w:szCs w:val="24"/>
        </w:rPr>
        <w:lastRenderedPageBreak/>
        <w:t>kitų Teisėjų etikos kodekso reikalavimų pažeidimą, už įstatymuose nu</w:t>
      </w:r>
      <w:r w:rsidR="00360258" w:rsidRPr="002640C4">
        <w:rPr>
          <w:rFonts w:ascii="Times New Roman" w:hAnsi="Times New Roman"/>
          <w:sz w:val="24"/>
          <w:szCs w:val="24"/>
        </w:rPr>
        <w:t>st</w:t>
      </w:r>
      <w:r w:rsidR="004B566C" w:rsidRPr="002640C4">
        <w:rPr>
          <w:rFonts w:ascii="Times New Roman" w:hAnsi="Times New Roman"/>
          <w:sz w:val="24"/>
          <w:szCs w:val="24"/>
        </w:rPr>
        <w:t>atytų teisėjų darbinės ar politinės veiklos apribojimų nesilaikymą. Teismų įstatymo 84 straipsnio 4 dalis nustato, kad siūlyti iškelti drausmės bylą turi teisę Teisėjų taryba, Teisėjų etikos ir drausmės komisija, taip pat teismo, kuriame dirba teisėjas, arba bet kurio aukštesnės pakopos teismo pirmininkas ar kitas asmuo, kuriam tapo žinoma apie Teismų įstatymo 83 straipsnio 2 dalyje nu</w:t>
      </w:r>
      <w:r w:rsidR="00360258" w:rsidRPr="002640C4">
        <w:rPr>
          <w:rFonts w:ascii="Times New Roman" w:hAnsi="Times New Roman"/>
          <w:sz w:val="24"/>
          <w:szCs w:val="24"/>
        </w:rPr>
        <w:t>st</w:t>
      </w:r>
      <w:r w:rsidR="004B566C" w:rsidRPr="002640C4">
        <w:rPr>
          <w:rFonts w:ascii="Times New Roman" w:hAnsi="Times New Roman"/>
          <w:sz w:val="24"/>
          <w:szCs w:val="24"/>
        </w:rPr>
        <w:t xml:space="preserve">atytą nusižengimą. Turintis teisę siūlyti iškelti drausmės bylą subjektas motyvuotą teikimą dėl drausmės bylos teisėjui iškėlimo gali pateikti Teisėjų etikos ir drausmės komisijai. </w:t>
      </w:r>
    </w:p>
    <w:p w:rsidR="004B566C" w:rsidRPr="002640C4" w:rsidRDefault="004B566C" w:rsidP="00431B3B">
      <w:pPr>
        <w:spacing w:line="360" w:lineRule="auto"/>
        <w:ind w:firstLine="851"/>
        <w:jc w:val="both"/>
        <w:rPr>
          <w:rFonts w:ascii="Times New Roman" w:hAnsi="Times New Roman"/>
          <w:sz w:val="24"/>
          <w:szCs w:val="24"/>
        </w:rPr>
      </w:pPr>
      <w:r w:rsidRPr="002640C4">
        <w:rPr>
          <w:rFonts w:ascii="Times New Roman" w:hAnsi="Times New Roman"/>
          <w:sz w:val="24"/>
          <w:szCs w:val="24"/>
        </w:rPr>
        <w:t>Dėl pareiškėjo siūlymų už korupcines nusikalstamas veikas taikomas sankcijas orientuoti išimtinai į korupciniams siekiams priešingų sąlygų sudarymą, pažymėtina, kad 2017 m. rugsėjo 28 d. priimtu Lietuvos Respublikos baudžiamojo kodekso 43, 47, 54, 62, 63, 63, 68</w:t>
      </w:r>
      <w:r w:rsidRPr="002640C4">
        <w:rPr>
          <w:rFonts w:ascii="Times New Roman" w:hAnsi="Times New Roman"/>
          <w:sz w:val="24"/>
          <w:szCs w:val="24"/>
          <w:vertAlign w:val="superscript"/>
        </w:rPr>
        <w:t>1</w:t>
      </w:r>
      <w:r w:rsidRPr="002640C4">
        <w:rPr>
          <w:rFonts w:ascii="Times New Roman" w:hAnsi="Times New Roman"/>
          <w:sz w:val="24"/>
          <w:szCs w:val="24"/>
        </w:rPr>
        <w:t>, 68</w:t>
      </w:r>
      <w:r w:rsidRPr="002640C4">
        <w:rPr>
          <w:rFonts w:ascii="Times New Roman" w:hAnsi="Times New Roman"/>
          <w:sz w:val="24"/>
          <w:szCs w:val="24"/>
          <w:vertAlign w:val="superscript"/>
        </w:rPr>
        <w:t>2</w:t>
      </w:r>
      <w:r w:rsidRPr="002640C4">
        <w:rPr>
          <w:rFonts w:ascii="Times New Roman" w:hAnsi="Times New Roman"/>
          <w:sz w:val="24"/>
          <w:szCs w:val="24"/>
        </w:rPr>
        <w:t>, 71, 75, 90, 226 ir 227 straipsnių pakeitimo įstatymu Nr. XIII-653 (toliau – Įstatymas Nr. XIII-653) BK 47 straipsnis buvo papildytas nauja 6 dalimi, nustatančia specialią baudos bausmės už korupcines nusikalstamas veikas skyrimo taisyklę. Pagal ją, už BK XXXIII skyriuje („Nusikaltimai ir baudžiamieji nusižengimai valstybės tarnybai ir viešiesiems interesams“) numatytas nusikalstamas veikas skiriama bauda negali būti mažesnė negu nustatyto nusikalstamos veikos dalyko, kaltininko padarytos turtinės žalos arba kaltininko gautos ar siektos gauti turtinės naudos sau ar kitam asmeniui dydis. Kai yra keli baudos dydžio apskaičiavimo kriterijai, skiriamos baudos dydis apskaičiuojamas pagal tą, kurio vertė, išreikšta pinigais, yra didžiausia. Svarbu pažymėti ir tai, kad tais atvejais, kai bauda skiriama vadovaujantis šioje dalyje nustatytomis taisyklėmis, galutinė teismo paskirta bauda už šio kodekso XXXIII skyriuje numatytas nusikalstamas veikas net gali viršyti BK 47 straipsnio 3 ir 4 dalyse nurodytus maksimalius baudos dydžius, tačiau negali būti mažesnė negu šio straipsnio 3 ir 4 dalyse numatyti minimalūs baudos dydžiai. Be to, Įstatymu Nr. XIII-653 taip pat sugriežtintas ir BK 68</w:t>
      </w:r>
      <w:r w:rsidRPr="002640C4">
        <w:rPr>
          <w:rFonts w:ascii="Times New Roman" w:hAnsi="Times New Roman"/>
          <w:sz w:val="24"/>
          <w:szCs w:val="24"/>
          <w:vertAlign w:val="superscript"/>
        </w:rPr>
        <w:t xml:space="preserve">1 </w:t>
      </w:r>
      <w:r w:rsidRPr="002640C4">
        <w:rPr>
          <w:rFonts w:ascii="Times New Roman" w:hAnsi="Times New Roman"/>
          <w:sz w:val="24"/>
          <w:szCs w:val="24"/>
        </w:rPr>
        <w:t>straipsnyje („Viešųjų teisių atėmimas“) ir BK 68</w:t>
      </w:r>
      <w:r w:rsidRPr="002640C4">
        <w:rPr>
          <w:rFonts w:ascii="Times New Roman" w:hAnsi="Times New Roman"/>
          <w:sz w:val="24"/>
          <w:szCs w:val="24"/>
          <w:vertAlign w:val="superscript"/>
        </w:rPr>
        <w:t xml:space="preserve">2 </w:t>
      </w:r>
      <w:r w:rsidRPr="002640C4">
        <w:rPr>
          <w:rFonts w:ascii="Times New Roman" w:hAnsi="Times New Roman"/>
          <w:sz w:val="24"/>
          <w:szCs w:val="24"/>
        </w:rPr>
        <w:t>straipsnyje („Teisės dirbti tam tikrą darbą arba užsiimti tam tikra veikla atėmimas“) reglamentuojamų baudžiamojo poveikio priemonių taikymas. Pagal BK 68</w:t>
      </w:r>
      <w:r w:rsidRPr="002640C4">
        <w:rPr>
          <w:rFonts w:ascii="Times New Roman" w:hAnsi="Times New Roman"/>
          <w:sz w:val="24"/>
          <w:szCs w:val="24"/>
          <w:vertAlign w:val="superscript"/>
        </w:rPr>
        <w:t>1</w:t>
      </w:r>
      <w:r w:rsidRPr="002640C4">
        <w:rPr>
          <w:rFonts w:ascii="Times New Roman" w:hAnsi="Times New Roman"/>
          <w:sz w:val="24"/>
          <w:szCs w:val="24"/>
        </w:rPr>
        <w:t xml:space="preserve"> straipsnio 3 dalį, viešosios teisės gali būti atimtos nuo vienerių iki penkerių metų. Tačiau Įstatymu Nr. XIII-653 nustatyta papildoma viešųjų teisų atėmimo taikymo taisyklė tais atvejais, kai padarytos korupcinės nusikalstamos veikos – už BK XXXIII skyriuje („Nusikaltimai ir baudžiamieji nusižengimai valstybės tarnybai ir viešiesiems interesams“) numatytus apysunkius ir sunkius nusikaltimus viešosios teisės gali būti atimtos nuo trejų iki septynerių metų. Atitinkamai pakeista ir BK 68</w:t>
      </w:r>
      <w:r w:rsidRPr="002640C4">
        <w:rPr>
          <w:rFonts w:ascii="Times New Roman" w:hAnsi="Times New Roman"/>
          <w:sz w:val="24"/>
          <w:szCs w:val="24"/>
          <w:vertAlign w:val="superscript"/>
        </w:rPr>
        <w:t xml:space="preserve">2 </w:t>
      </w:r>
      <w:r w:rsidRPr="002640C4">
        <w:rPr>
          <w:rFonts w:ascii="Times New Roman" w:hAnsi="Times New Roman"/>
          <w:sz w:val="24"/>
          <w:szCs w:val="24"/>
        </w:rPr>
        <w:t>straipsnio 2 dalis, pagal kurią už BK XXXIII skyriuje numatytus apysunkius ir sunkius nusikaltimus teisė dirbti tam tikrą darbą arba užsiimti tam tikra veikla gali būti atimta nuo trejų iki septynerių metų. Papildomai pažym</w:t>
      </w:r>
      <w:r w:rsidR="00360258" w:rsidRPr="002640C4">
        <w:rPr>
          <w:rFonts w:ascii="Times New Roman" w:hAnsi="Times New Roman"/>
          <w:sz w:val="24"/>
          <w:szCs w:val="24"/>
        </w:rPr>
        <w:t>ėtina</w:t>
      </w:r>
      <w:r w:rsidRPr="002640C4">
        <w:rPr>
          <w:rFonts w:ascii="Times New Roman" w:hAnsi="Times New Roman"/>
          <w:sz w:val="24"/>
          <w:szCs w:val="24"/>
        </w:rPr>
        <w:t xml:space="preserve">, kad vadovaujantis BK 67 straipsnio 1 dalimi, baudžiamojo poveikio priemonės turi padėti įgyvendinti bausmės paskirtį. Šio straipsnio 3 dalyje nurodyta, kad be kitų baudžiamojo poveikio priemonių, taip pat viešųjų teisių atėmimas ir teisės dirbti tam tikrą darbą arba užsiimti tam tikra veikla atėmimas </w:t>
      </w:r>
      <w:r w:rsidRPr="002640C4">
        <w:rPr>
          <w:rFonts w:ascii="Times New Roman" w:hAnsi="Times New Roman"/>
          <w:iCs/>
          <w:sz w:val="24"/>
          <w:szCs w:val="24"/>
        </w:rPr>
        <w:t>gali būti skiriami kartu su bausme</w:t>
      </w:r>
      <w:r w:rsidRPr="002640C4">
        <w:rPr>
          <w:rFonts w:ascii="Times New Roman" w:hAnsi="Times New Roman"/>
          <w:sz w:val="24"/>
          <w:szCs w:val="24"/>
        </w:rPr>
        <w:t>.</w:t>
      </w:r>
    </w:p>
    <w:p w:rsidR="004B566C" w:rsidRPr="002640C4" w:rsidRDefault="004B566C" w:rsidP="00431B3B">
      <w:pPr>
        <w:spacing w:line="360" w:lineRule="auto"/>
        <w:ind w:firstLine="851"/>
        <w:jc w:val="both"/>
        <w:rPr>
          <w:rFonts w:ascii="Times New Roman" w:hAnsi="Times New Roman"/>
          <w:sz w:val="24"/>
          <w:szCs w:val="24"/>
        </w:rPr>
      </w:pPr>
      <w:r w:rsidRPr="002640C4">
        <w:rPr>
          <w:rFonts w:ascii="Times New Roman" w:hAnsi="Times New Roman"/>
          <w:sz w:val="24"/>
          <w:szCs w:val="24"/>
        </w:rPr>
        <w:lastRenderedPageBreak/>
        <w:t>Dėl pareiškėjo nuomonės, jog nusikalstamas veikas kvalifikuojant ne pagal subjektyviuosius, o pagal objektyviuosius požymius, korupcijai užkardyti atsirastų daugiau galimybių, pažymėtina, jog kiekviena nusikalstama veika susideda iš keturių privalomų nusikalstamos veikos sudėties elementų, t. y. objekto, objektyviosios pusės, subjekto ir subjektyviosios pusės. Tik šių keturių elementų visuma leidžia teigti, kad padaryta nusikalstama veika. Jeigu nors vienas elementas nebūtų nustatytas (įrodytas), asmens veika negalėtų būti laikoma nusikalstama. Tai yra pagrindinis baudžiamosios atsakomybės principas, kuris įtvirtintas tiek baudžiamajame įstatyme, tiek aptartas ir Konstitucinio Teismo doktrinoje. Konstitucinis Teismas yra konstatavęs, jog pagal baudžiamąją teisę lygybės įstatymui principas realizuojamas pripažįstant, kad nusikaltimo sudėtis yra vienintelis patraukimo baudžiamojon atsakomybėn pagrindas. Nusikaltimo požymių visuma, aprašyta įstatyme, apibūdina veiką kaip nusikaltimą ir tuo atžvilgiu nusikaltimo sudėtis tampa „lygiu matu“ visiems tam tikrą veiką padariusiems asmenims. Kitaip tariant, jeigu veikoje trūksta bent vieno įstatyme aprašyto nusikaltimo sudėties požymio, asmuo negali būti patrauktas baudžiamojon atsakomybėn (Konstitucinio Teismo 1997 m. lapkričio 13 d. nutarimas).</w:t>
      </w:r>
    </w:p>
    <w:p w:rsidR="00B34093" w:rsidRPr="002640C4" w:rsidRDefault="00B34093" w:rsidP="00431B3B">
      <w:pPr>
        <w:spacing w:line="360" w:lineRule="auto"/>
        <w:ind w:firstLine="851"/>
        <w:jc w:val="both"/>
        <w:rPr>
          <w:rFonts w:ascii="Times New Roman" w:hAnsi="Times New Roman"/>
          <w:sz w:val="24"/>
          <w:szCs w:val="24"/>
        </w:rPr>
      </w:pPr>
      <w:r w:rsidRPr="002640C4">
        <w:rPr>
          <w:rFonts w:ascii="Times New Roman" w:hAnsi="Times New Roman"/>
          <w:sz w:val="24"/>
          <w:szCs w:val="24"/>
        </w:rPr>
        <w:t>Peticij</w:t>
      </w:r>
      <w:r w:rsidRPr="002640C4">
        <w:rPr>
          <w:rFonts w:ascii="Times New Roman" w:hAnsi="Times New Roman" w:hint="eastAsia"/>
          <w:sz w:val="24"/>
          <w:szCs w:val="24"/>
        </w:rPr>
        <w:t>ų</w:t>
      </w:r>
      <w:r w:rsidRPr="002640C4">
        <w:rPr>
          <w:rFonts w:ascii="Times New Roman" w:hAnsi="Times New Roman"/>
          <w:sz w:val="24"/>
          <w:szCs w:val="24"/>
        </w:rPr>
        <w:t xml:space="preserve"> komisija, vadovaudamasi Lietuvos Respublikos peticij</w:t>
      </w:r>
      <w:r w:rsidRPr="002640C4">
        <w:rPr>
          <w:rFonts w:ascii="Times New Roman" w:hAnsi="Times New Roman" w:hint="eastAsia"/>
          <w:sz w:val="24"/>
          <w:szCs w:val="24"/>
        </w:rPr>
        <w:t>ų</w:t>
      </w:r>
      <w:r w:rsidRPr="002640C4">
        <w:rPr>
          <w:rFonts w:ascii="Times New Roman" w:hAnsi="Times New Roman"/>
          <w:sz w:val="24"/>
          <w:szCs w:val="24"/>
        </w:rPr>
        <w:t xml:space="preserve"> </w:t>
      </w:r>
      <w:r w:rsidRPr="002640C4">
        <w:rPr>
          <w:rFonts w:ascii="Times New Roman" w:hAnsi="Times New Roman" w:hint="eastAsia"/>
          <w:sz w:val="24"/>
          <w:szCs w:val="24"/>
        </w:rPr>
        <w:t>į</w:t>
      </w:r>
      <w:r w:rsidRPr="002640C4">
        <w:rPr>
          <w:rFonts w:ascii="Times New Roman" w:hAnsi="Times New Roman"/>
          <w:sz w:val="24"/>
          <w:szCs w:val="24"/>
        </w:rPr>
        <w:t xml:space="preserve">statymo 12 straipsnio </w:t>
      </w:r>
      <w:r w:rsidR="006E0345" w:rsidRPr="002640C4">
        <w:rPr>
          <w:rFonts w:ascii="Times New Roman" w:hAnsi="Times New Roman"/>
          <w:sz w:val="24"/>
          <w:szCs w:val="24"/>
        </w:rPr>
        <w:br/>
      </w:r>
      <w:r w:rsidRPr="002640C4">
        <w:rPr>
          <w:rFonts w:ascii="Times New Roman" w:hAnsi="Times New Roman"/>
          <w:sz w:val="24"/>
          <w:szCs w:val="24"/>
        </w:rPr>
        <w:t>3 dalimi ir Seimo Peticij</w:t>
      </w:r>
      <w:r w:rsidRPr="002640C4">
        <w:rPr>
          <w:rFonts w:ascii="Times New Roman" w:hAnsi="Times New Roman" w:hint="eastAsia"/>
          <w:sz w:val="24"/>
          <w:szCs w:val="24"/>
        </w:rPr>
        <w:t>ų</w:t>
      </w:r>
      <w:r w:rsidRPr="002640C4">
        <w:rPr>
          <w:rFonts w:ascii="Times New Roman" w:hAnsi="Times New Roman"/>
          <w:sz w:val="24"/>
          <w:szCs w:val="24"/>
        </w:rPr>
        <w:t xml:space="preserve"> komisijos nuostat</w:t>
      </w:r>
      <w:r w:rsidRPr="002640C4">
        <w:rPr>
          <w:rFonts w:ascii="Times New Roman" w:hAnsi="Times New Roman" w:hint="eastAsia"/>
          <w:sz w:val="24"/>
          <w:szCs w:val="24"/>
        </w:rPr>
        <w:t>ų</w:t>
      </w:r>
      <w:r w:rsidRPr="002640C4">
        <w:rPr>
          <w:rFonts w:ascii="Times New Roman" w:hAnsi="Times New Roman"/>
          <w:sz w:val="24"/>
          <w:szCs w:val="24"/>
        </w:rPr>
        <w:t>, patvirtint</w:t>
      </w:r>
      <w:r w:rsidRPr="002640C4">
        <w:rPr>
          <w:rFonts w:ascii="Times New Roman" w:hAnsi="Times New Roman" w:hint="eastAsia"/>
          <w:sz w:val="24"/>
          <w:szCs w:val="24"/>
        </w:rPr>
        <w:t>ų</w:t>
      </w:r>
      <w:r w:rsidRPr="002640C4">
        <w:rPr>
          <w:rFonts w:ascii="Times New Roman" w:hAnsi="Times New Roman"/>
          <w:sz w:val="24"/>
          <w:szCs w:val="24"/>
        </w:rPr>
        <w:t xml:space="preserve"> Lietuvos Respublikos Seimo 1999 m. lapkri</w:t>
      </w:r>
      <w:r w:rsidRPr="002640C4">
        <w:rPr>
          <w:rFonts w:ascii="Times New Roman" w:hAnsi="Times New Roman" w:hint="eastAsia"/>
          <w:sz w:val="24"/>
          <w:szCs w:val="24"/>
        </w:rPr>
        <w:t>č</w:t>
      </w:r>
      <w:r w:rsidRPr="002640C4">
        <w:rPr>
          <w:rFonts w:ascii="Times New Roman" w:hAnsi="Times New Roman"/>
          <w:sz w:val="24"/>
          <w:szCs w:val="24"/>
        </w:rPr>
        <w:t>io 11 d. nutarimu Nr. VIII-1408 „D</w:t>
      </w:r>
      <w:r w:rsidRPr="002640C4">
        <w:rPr>
          <w:rFonts w:ascii="Times New Roman" w:hAnsi="Times New Roman" w:hint="eastAsia"/>
          <w:sz w:val="24"/>
          <w:szCs w:val="24"/>
        </w:rPr>
        <w:t>ė</w:t>
      </w:r>
      <w:r w:rsidRPr="002640C4">
        <w:rPr>
          <w:rFonts w:ascii="Times New Roman" w:hAnsi="Times New Roman"/>
          <w:sz w:val="24"/>
          <w:szCs w:val="24"/>
        </w:rPr>
        <w:t>l Seimo Peticij</w:t>
      </w:r>
      <w:r w:rsidRPr="002640C4">
        <w:rPr>
          <w:rFonts w:ascii="Times New Roman" w:hAnsi="Times New Roman" w:hint="eastAsia"/>
          <w:sz w:val="24"/>
          <w:szCs w:val="24"/>
        </w:rPr>
        <w:t>ų</w:t>
      </w:r>
      <w:r w:rsidRPr="002640C4">
        <w:rPr>
          <w:rFonts w:ascii="Times New Roman" w:hAnsi="Times New Roman"/>
          <w:sz w:val="24"/>
          <w:szCs w:val="24"/>
        </w:rPr>
        <w:t xml:space="preserve"> komisijos nuostat</w:t>
      </w:r>
      <w:r w:rsidRPr="002640C4">
        <w:rPr>
          <w:rFonts w:ascii="Times New Roman" w:hAnsi="Times New Roman" w:hint="eastAsia"/>
          <w:sz w:val="24"/>
          <w:szCs w:val="24"/>
        </w:rPr>
        <w:t>ų</w:t>
      </w:r>
      <w:r w:rsidRPr="002640C4">
        <w:rPr>
          <w:rFonts w:ascii="Times New Roman" w:hAnsi="Times New Roman"/>
          <w:sz w:val="24"/>
          <w:szCs w:val="24"/>
        </w:rPr>
        <w:t xml:space="preserve"> patvirtinimo“, </w:t>
      </w:r>
      <w:r w:rsidR="006E0345" w:rsidRPr="002640C4">
        <w:rPr>
          <w:rFonts w:ascii="Times New Roman" w:hAnsi="Times New Roman"/>
          <w:sz w:val="24"/>
          <w:szCs w:val="24"/>
        </w:rPr>
        <w:br/>
      </w:r>
      <w:r w:rsidRPr="002640C4">
        <w:rPr>
          <w:rFonts w:ascii="Times New Roman" w:hAnsi="Times New Roman"/>
          <w:sz w:val="24"/>
          <w:szCs w:val="24"/>
        </w:rPr>
        <w:t>28 punktu, si</w:t>
      </w:r>
      <w:r w:rsidRPr="002640C4">
        <w:rPr>
          <w:rFonts w:ascii="Times New Roman" w:hAnsi="Times New Roman" w:hint="eastAsia"/>
          <w:sz w:val="24"/>
          <w:szCs w:val="24"/>
        </w:rPr>
        <w:t>ū</w:t>
      </w:r>
      <w:r w:rsidRPr="002640C4">
        <w:rPr>
          <w:rFonts w:ascii="Times New Roman" w:hAnsi="Times New Roman"/>
          <w:sz w:val="24"/>
          <w:szCs w:val="24"/>
        </w:rPr>
        <w:t>lo Seimo seni</w:t>
      </w:r>
      <w:r w:rsidRPr="002640C4">
        <w:rPr>
          <w:rFonts w:ascii="Times New Roman" w:hAnsi="Times New Roman" w:hint="eastAsia"/>
          <w:sz w:val="24"/>
          <w:szCs w:val="24"/>
        </w:rPr>
        <w:t>ū</w:t>
      </w:r>
      <w:r w:rsidRPr="002640C4">
        <w:rPr>
          <w:rFonts w:ascii="Times New Roman" w:hAnsi="Times New Roman"/>
          <w:sz w:val="24"/>
          <w:szCs w:val="24"/>
        </w:rPr>
        <w:t>n</w:t>
      </w:r>
      <w:r w:rsidRPr="002640C4">
        <w:rPr>
          <w:rFonts w:ascii="Times New Roman" w:hAnsi="Times New Roman" w:hint="eastAsia"/>
          <w:sz w:val="24"/>
          <w:szCs w:val="24"/>
        </w:rPr>
        <w:t>ų</w:t>
      </w:r>
      <w:r w:rsidRPr="002640C4">
        <w:rPr>
          <w:rFonts w:ascii="Times New Roman" w:hAnsi="Times New Roman"/>
          <w:sz w:val="24"/>
          <w:szCs w:val="24"/>
        </w:rPr>
        <w:t xml:space="preserve"> sueigai </w:t>
      </w:r>
      <w:r w:rsidRPr="002640C4">
        <w:rPr>
          <w:rFonts w:ascii="Times New Roman" w:hAnsi="Times New Roman" w:hint="eastAsia"/>
          <w:sz w:val="24"/>
          <w:szCs w:val="24"/>
        </w:rPr>
        <w:t>į</w:t>
      </w:r>
      <w:r w:rsidRPr="002640C4">
        <w:rPr>
          <w:rFonts w:ascii="Times New Roman" w:hAnsi="Times New Roman"/>
          <w:sz w:val="24"/>
          <w:szCs w:val="24"/>
        </w:rPr>
        <w:t xml:space="preserve">traukti </w:t>
      </w:r>
      <w:r w:rsidRPr="002640C4">
        <w:rPr>
          <w:rFonts w:ascii="Times New Roman" w:hAnsi="Times New Roman" w:hint="eastAsia"/>
          <w:sz w:val="24"/>
          <w:szCs w:val="24"/>
        </w:rPr>
        <w:t>į</w:t>
      </w:r>
      <w:r w:rsidRPr="002640C4">
        <w:rPr>
          <w:rFonts w:ascii="Times New Roman" w:hAnsi="Times New Roman"/>
          <w:sz w:val="24"/>
          <w:szCs w:val="24"/>
        </w:rPr>
        <w:t xml:space="preserve"> Seimo pavasario sesijos darbotvark</w:t>
      </w:r>
      <w:r w:rsidRPr="002640C4">
        <w:rPr>
          <w:rFonts w:ascii="Times New Roman" w:hAnsi="Times New Roman" w:hint="eastAsia"/>
          <w:sz w:val="24"/>
          <w:szCs w:val="24"/>
        </w:rPr>
        <w:t>ę</w:t>
      </w:r>
      <w:r w:rsidRPr="002640C4">
        <w:rPr>
          <w:rFonts w:ascii="Times New Roman" w:hAnsi="Times New Roman"/>
          <w:sz w:val="24"/>
          <w:szCs w:val="24"/>
        </w:rPr>
        <w:t xml:space="preserve"> Seimo protokolinio nutarimo „D</w:t>
      </w:r>
      <w:r w:rsidRPr="002640C4">
        <w:rPr>
          <w:rFonts w:ascii="Times New Roman" w:hAnsi="Times New Roman" w:hint="eastAsia"/>
          <w:sz w:val="24"/>
          <w:szCs w:val="24"/>
        </w:rPr>
        <w:t>ė</w:t>
      </w:r>
      <w:r w:rsidRPr="002640C4">
        <w:rPr>
          <w:rFonts w:ascii="Times New Roman" w:hAnsi="Times New Roman"/>
          <w:sz w:val="24"/>
          <w:szCs w:val="24"/>
        </w:rPr>
        <w:t xml:space="preserve">l Jono </w:t>
      </w:r>
      <w:proofErr w:type="spellStart"/>
      <w:r w:rsidRPr="002640C4">
        <w:rPr>
          <w:rFonts w:ascii="Times New Roman" w:hAnsi="Times New Roman"/>
          <w:sz w:val="24"/>
          <w:szCs w:val="24"/>
        </w:rPr>
        <w:t>Ivoškos</w:t>
      </w:r>
      <w:proofErr w:type="spellEnd"/>
      <w:r w:rsidRPr="002640C4">
        <w:rPr>
          <w:rFonts w:ascii="Times New Roman" w:hAnsi="Times New Roman"/>
          <w:sz w:val="24"/>
          <w:szCs w:val="24"/>
        </w:rPr>
        <w:t xml:space="preserve"> peticijos“ projekt</w:t>
      </w:r>
      <w:r w:rsidRPr="002640C4">
        <w:rPr>
          <w:rFonts w:ascii="Times New Roman" w:hAnsi="Times New Roman" w:hint="eastAsia"/>
          <w:sz w:val="24"/>
          <w:szCs w:val="24"/>
        </w:rPr>
        <w:t>ą</w:t>
      </w:r>
      <w:r w:rsidRPr="002640C4">
        <w:rPr>
          <w:rFonts w:ascii="Times New Roman" w:hAnsi="Times New Roman"/>
          <w:sz w:val="24"/>
          <w:szCs w:val="24"/>
        </w:rPr>
        <w:t>.</w:t>
      </w:r>
    </w:p>
    <w:p w:rsidR="00E17F8C" w:rsidRPr="002640C4" w:rsidRDefault="00E17F8C" w:rsidP="00431B3B">
      <w:pPr>
        <w:pStyle w:val="Pagrindiniotekstotrauka"/>
        <w:spacing w:line="360" w:lineRule="auto"/>
        <w:ind w:left="0" w:firstLine="720"/>
      </w:pPr>
      <w:r w:rsidRPr="002640C4">
        <w:t>PRIDEDAMA:</w:t>
      </w:r>
    </w:p>
    <w:p w:rsidR="00E17F8C" w:rsidRPr="002640C4" w:rsidRDefault="00E17F8C" w:rsidP="00431B3B">
      <w:pPr>
        <w:pStyle w:val="Pagrindiniotekstotrauka"/>
        <w:spacing w:line="360" w:lineRule="auto"/>
        <w:ind w:left="0" w:firstLine="720"/>
      </w:pPr>
      <w:r w:rsidRPr="002640C4">
        <w:rPr>
          <w:bCs/>
        </w:rPr>
        <w:t xml:space="preserve">1. </w:t>
      </w:r>
      <w:r w:rsidR="002E2565" w:rsidRPr="002640C4">
        <w:rPr>
          <w:bCs/>
        </w:rPr>
        <w:t xml:space="preserve">Jono </w:t>
      </w:r>
      <w:proofErr w:type="spellStart"/>
      <w:r w:rsidR="002E2565" w:rsidRPr="002640C4">
        <w:rPr>
          <w:bCs/>
        </w:rPr>
        <w:t>Ivoškos</w:t>
      </w:r>
      <w:proofErr w:type="spellEnd"/>
      <w:r w:rsidRPr="002640C4">
        <w:rPr>
          <w:bCs/>
        </w:rPr>
        <w:t xml:space="preserve"> </w:t>
      </w:r>
      <w:r w:rsidRPr="002640C4">
        <w:t>peticij</w:t>
      </w:r>
      <w:r w:rsidR="00DF7971" w:rsidRPr="002640C4">
        <w:t>a</w:t>
      </w:r>
      <w:r w:rsidRPr="002640C4">
        <w:rPr>
          <w:bCs/>
        </w:rPr>
        <w:t xml:space="preserve"> </w:t>
      </w:r>
      <w:r w:rsidR="00DF7971" w:rsidRPr="002640C4">
        <w:rPr>
          <w:bCs/>
        </w:rPr>
        <w:t>(</w:t>
      </w:r>
      <w:r w:rsidRPr="002640C4">
        <w:t>kopija</w:t>
      </w:r>
      <w:r w:rsidR="00DF7971" w:rsidRPr="002640C4">
        <w:t>)</w:t>
      </w:r>
      <w:r w:rsidRPr="002640C4">
        <w:t xml:space="preserve">, </w:t>
      </w:r>
      <w:r w:rsidR="002E2565" w:rsidRPr="002640C4">
        <w:t>3</w:t>
      </w:r>
      <w:r w:rsidR="001338B9" w:rsidRPr="002640C4">
        <w:t xml:space="preserve"> lapai</w:t>
      </w:r>
      <w:r w:rsidRPr="002640C4">
        <w:t>.</w:t>
      </w:r>
    </w:p>
    <w:p w:rsidR="00E17F8C" w:rsidRPr="002640C4" w:rsidRDefault="00E17F8C" w:rsidP="00431B3B">
      <w:pPr>
        <w:pStyle w:val="Pagrindiniotekstotrauka"/>
        <w:spacing w:line="360" w:lineRule="auto"/>
        <w:ind w:left="0" w:firstLine="720"/>
        <w:rPr>
          <w:rStyle w:val="dlxnowrap1"/>
          <w:bCs/>
        </w:rPr>
      </w:pPr>
      <w:r w:rsidRPr="002640C4">
        <w:t xml:space="preserve">2. </w:t>
      </w:r>
      <w:r w:rsidR="00872E1B" w:rsidRPr="002640C4">
        <w:t xml:space="preserve">Lietuvos Respublikos </w:t>
      </w:r>
      <w:r w:rsidR="002E2565" w:rsidRPr="002640C4">
        <w:t>teisingumo</w:t>
      </w:r>
      <w:r w:rsidRPr="002640C4">
        <w:t xml:space="preserve"> ministerijos 202</w:t>
      </w:r>
      <w:r w:rsidR="002E2565" w:rsidRPr="002640C4">
        <w:t>1</w:t>
      </w:r>
      <w:r w:rsidRPr="002640C4">
        <w:t xml:space="preserve"> m. </w:t>
      </w:r>
      <w:r w:rsidR="002E2565" w:rsidRPr="002640C4">
        <w:t>sausio 5</w:t>
      </w:r>
      <w:r w:rsidRPr="002640C4">
        <w:t xml:space="preserve"> d. raštas Nr.</w:t>
      </w:r>
      <w:r w:rsidR="00DF7971" w:rsidRPr="002640C4">
        <w:t xml:space="preserve"> </w:t>
      </w:r>
      <w:r w:rsidR="002E2565" w:rsidRPr="002640C4">
        <w:t>(1.39E)7R-23</w:t>
      </w:r>
      <w:r w:rsidR="00277752" w:rsidRPr="002640C4">
        <w:rPr>
          <w:bCs/>
          <w:shd w:val="clear" w:color="auto" w:fill="FFFFFF"/>
        </w:rPr>
        <w:t xml:space="preserve"> „Dėl</w:t>
      </w:r>
      <w:r w:rsidR="0089581F" w:rsidRPr="002640C4">
        <w:rPr>
          <w:bCs/>
          <w:shd w:val="clear" w:color="auto" w:fill="FFFFFF"/>
        </w:rPr>
        <w:t xml:space="preserve"> </w:t>
      </w:r>
      <w:r w:rsidR="002E2565" w:rsidRPr="002640C4">
        <w:rPr>
          <w:bCs/>
          <w:shd w:val="clear" w:color="auto" w:fill="FFFFFF"/>
        </w:rPr>
        <w:t>peticijoje pateikto pasiūlymo</w:t>
      </w:r>
      <w:r w:rsidR="0089581F" w:rsidRPr="002640C4">
        <w:rPr>
          <w:bCs/>
          <w:shd w:val="clear" w:color="auto" w:fill="FFFFFF"/>
        </w:rPr>
        <w:t>“</w:t>
      </w:r>
      <w:r w:rsidR="00DF7971" w:rsidRPr="002640C4">
        <w:rPr>
          <w:bCs/>
          <w:shd w:val="clear" w:color="auto" w:fill="FFFFFF"/>
        </w:rPr>
        <w:t xml:space="preserve"> (kopija)</w:t>
      </w:r>
      <w:r w:rsidRPr="002640C4">
        <w:rPr>
          <w:bCs/>
        </w:rPr>
        <w:t>,</w:t>
      </w:r>
      <w:r w:rsidR="003855AB" w:rsidRPr="002640C4">
        <w:rPr>
          <w:rStyle w:val="dlxnowrap1"/>
          <w:bCs/>
        </w:rPr>
        <w:t xml:space="preserve"> </w:t>
      </w:r>
      <w:r w:rsidR="005D6E2D" w:rsidRPr="002640C4">
        <w:rPr>
          <w:rStyle w:val="dlxnowrap1"/>
          <w:bCs/>
        </w:rPr>
        <w:t>4</w:t>
      </w:r>
      <w:r w:rsidRPr="002640C4">
        <w:rPr>
          <w:rStyle w:val="dlxnowrap1"/>
          <w:bCs/>
        </w:rPr>
        <w:t xml:space="preserve"> lapai.</w:t>
      </w:r>
    </w:p>
    <w:p w:rsidR="005D6E2D" w:rsidRPr="002640C4" w:rsidRDefault="005D6E2D" w:rsidP="00431B3B">
      <w:pPr>
        <w:pStyle w:val="Pagrindiniotekstotrauka"/>
        <w:spacing w:line="360" w:lineRule="auto"/>
        <w:ind w:left="0" w:firstLine="720"/>
      </w:pPr>
      <w:r w:rsidRPr="002640C4">
        <w:rPr>
          <w:rStyle w:val="dlxnowrap1"/>
          <w:bCs/>
        </w:rPr>
        <w:t xml:space="preserve">3. Lietuvos Respublikos vidaus reikalų ministerijos 2020 m. gruodžio 30 d. raštas </w:t>
      </w:r>
      <w:r w:rsidR="00D310E4" w:rsidRPr="002640C4">
        <w:rPr>
          <w:rStyle w:val="dlxnowrap1"/>
          <w:bCs/>
        </w:rPr>
        <w:br/>
      </w:r>
      <w:r w:rsidRPr="002640C4">
        <w:rPr>
          <w:rStyle w:val="dlxnowrap1"/>
          <w:bCs/>
        </w:rPr>
        <w:t>Nr. 1D-6956 „Dėl nuomonės pateikimo“ (kopija), 3 lapai.</w:t>
      </w:r>
    </w:p>
    <w:p w:rsidR="00E17F8C" w:rsidRPr="002640C4" w:rsidRDefault="005D6E2D" w:rsidP="00431B3B">
      <w:pPr>
        <w:spacing w:line="360" w:lineRule="auto"/>
        <w:ind w:firstLine="720"/>
        <w:jc w:val="both"/>
        <w:rPr>
          <w:rFonts w:ascii="Times New Roman" w:hAnsi="Times New Roman"/>
          <w:sz w:val="24"/>
          <w:szCs w:val="24"/>
        </w:rPr>
      </w:pPr>
      <w:r w:rsidRPr="002640C4">
        <w:rPr>
          <w:rFonts w:ascii="Times New Roman" w:hAnsi="Times New Roman"/>
          <w:sz w:val="24"/>
          <w:szCs w:val="24"/>
        </w:rPr>
        <w:t>4</w:t>
      </w:r>
      <w:r w:rsidR="00E17F8C" w:rsidRPr="002640C4">
        <w:rPr>
          <w:rFonts w:ascii="Times New Roman" w:hAnsi="Times New Roman"/>
          <w:sz w:val="24"/>
          <w:szCs w:val="24"/>
        </w:rPr>
        <w:t xml:space="preserve">. </w:t>
      </w:r>
      <w:r w:rsidR="00872E1B" w:rsidRPr="002640C4">
        <w:rPr>
          <w:rFonts w:ascii="Times New Roman" w:hAnsi="Times New Roman"/>
          <w:sz w:val="24"/>
          <w:szCs w:val="24"/>
        </w:rPr>
        <w:t xml:space="preserve">Lietuvos Respublikos Seimo </w:t>
      </w:r>
      <w:r w:rsidR="00E17F8C" w:rsidRPr="002640C4">
        <w:rPr>
          <w:rFonts w:ascii="Times New Roman" w:hAnsi="Times New Roman"/>
          <w:sz w:val="24"/>
          <w:szCs w:val="24"/>
        </w:rPr>
        <w:t>Peticijų komisijos 202</w:t>
      </w:r>
      <w:r w:rsidR="00DF7971" w:rsidRPr="002640C4">
        <w:rPr>
          <w:rFonts w:ascii="Times New Roman" w:hAnsi="Times New Roman"/>
          <w:sz w:val="24"/>
          <w:szCs w:val="24"/>
        </w:rPr>
        <w:t>1</w:t>
      </w:r>
      <w:r w:rsidR="00E17F8C" w:rsidRPr="002640C4">
        <w:rPr>
          <w:rFonts w:ascii="Times New Roman" w:hAnsi="Times New Roman"/>
          <w:sz w:val="24"/>
          <w:szCs w:val="24"/>
        </w:rPr>
        <w:t xml:space="preserve"> m. </w:t>
      </w:r>
      <w:r w:rsidRPr="002640C4">
        <w:rPr>
          <w:rFonts w:ascii="Times New Roman" w:hAnsi="Times New Roman"/>
          <w:sz w:val="24"/>
          <w:szCs w:val="24"/>
        </w:rPr>
        <w:t>kovo 3</w:t>
      </w:r>
      <w:r w:rsidR="00E17F8C" w:rsidRPr="002640C4">
        <w:rPr>
          <w:rFonts w:ascii="Times New Roman" w:hAnsi="Times New Roman"/>
          <w:sz w:val="24"/>
          <w:szCs w:val="24"/>
        </w:rPr>
        <w:t xml:space="preserve"> d.</w:t>
      </w:r>
      <w:r w:rsidR="003855AB" w:rsidRPr="002640C4">
        <w:rPr>
          <w:rFonts w:ascii="Times New Roman" w:hAnsi="Times New Roman"/>
          <w:sz w:val="24"/>
          <w:szCs w:val="24"/>
        </w:rPr>
        <w:t xml:space="preserve"> posėdžio protokolo Nr.</w:t>
      </w:r>
      <w:r w:rsidR="00277752" w:rsidRPr="002640C4">
        <w:rPr>
          <w:rFonts w:ascii="Times New Roman" w:hAnsi="Times New Roman"/>
          <w:sz w:val="24"/>
          <w:szCs w:val="24"/>
        </w:rPr>
        <w:t> </w:t>
      </w:r>
      <w:r w:rsidRPr="002640C4">
        <w:rPr>
          <w:rFonts w:ascii="Times New Roman" w:hAnsi="Times New Roman"/>
          <w:sz w:val="24"/>
          <w:szCs w:val="24"/>
        </w:rPr>
        <w:t>250-P-4</w:t>
      </w:r>
      <w:r w:rsidR="00DF7971" w:rsidRPr="002640C4">
        <w:rPr>
          <w:rFonts w:ascii="Times New Roman" w:hAnsi="Times New Roman"/>
          <w:sz w:val="24"/>
          <w:szCs w:val="24"/>
        </w:rPr>
        <w:t xml:space="preserve"> išrašas, </w:t>
      </w:r>
      <w:r w:rsidR="00E17F8C" w:rsidRPr="002640C4">
        <w:rPr>
          <w:rFonts w:ascii="Times New Roman" w:hAnsi="Times New Roman"/>
          <w:sz w:val="24"/>
          <w:szCs w:val="24"/>
        </w:rPr>
        <w:t>1</w:t>
      </w:r>
      <w:r w:rsidR="00872E1B" w:rsidRPr="002640C4">
        <w:rPr>
          <w:rFonts w:ascii="Times New Roman" w:hAnsi="Times New Roman"/>
          <w:sz w:val="24"/>
          <w:szCs w:val="24"/>
        </w:rPr>
        <w:t> </w:t>
      </w:r>
      <w:r w:rsidR="00E17F8C" w:rsidRPr="002640C4">
        <w:rPr>
          <w:rFonts w:ascii="Times New Roman" w:hAnsi="Times New Roman"/>
          <w:sz w:val="24"/>
          <w:szCs w:val="24"/>
        </w:rPr>
        <w:t>lapas.</w:t>
      </w:r>
    </w:p>
    <w:p w:rsidR="00E17F8C" w:rsidRPr="002640C4" w:rsidRDefault="005D6E2D" w:rsidP="00431B3B">
      <w:pPr>
        <w:spacing w:line="360" w:lineRule="auto"/>
        <w:ind w:firstLine="720"/>
        <w:jc w:val="both"/>
        <w:rPr>
          <w:rFonts w:ascii="Times New Roman" w:hAnsi="Times New Roman"/>
          <w:sz w:val="24"/>
          <w:szCs w:val="24"/>
        </w:rPr>
      </w:pPr>
      <w:r w:rsidRPr="002640C4">
        <w:rPr>
          <w:rFonts w:ascii="Times New Roman" w:hAnsi="Times New Roman"/>
          <w:sz w:val="24"/>
          <w:szCs w:val="24"/>
        </w:rPr>
        <w:t>5</w:t>
      </w:r>
      <w:r w:rsidR="00E17F8C" w:rsidRPr="002640C4">
        <w:rPr>
          <w:rFonts w:ascii="Times New Roman" w:hAnsi="Times New Roman"/>
          <w:sz w:val="24"/>
          <w:szCs w:val="24"/>
        </w:rPr>
        <w:t>. Lietuvos Respublikos Seimo protokolinio nutarimo projektas, 1 lapas.</w:t>
      </w:r>
      <w:r w:rsidR="00E17F8C" w:rsidRPr="002640C4">
        <w:rPr>
          <w:rFonts w:ascii="Times New Roman" w:hAnsi="Times New Roman"/>
          <w:sz w:val="24"/>
          <w:szCs w:val="24"/>
        </w:rPr>
        <w:tab/>
      </w:r>
    </w:p>
    <w:p w:rsidR="00277752" w:rsidRPr="002640C4" w:rsidRDefault="00277752" w:rsidP="00431B3B">
      <w:pPr>
        <w:spacing w:line="360" w:lineRule="auto"/>
        <w:ind w:firstLine="720"/>
        <w:jc w:val="both"/>
        <w:rPr>
          <w:rFonts w:ascii="Times New Roman" w:hAnsi="Times New Roman"/>
          <w:sz w:val="24"/>
          <w:szCs w:val="24"/>
        </w:rPr>
      </w:pPr>
    </w:p>
    <w:p w:rsidR="002D63A8" w:rsidRPr="002640C4" w:rsidRDefault="002D63A8" w:rsidP="00431B3B">
      <w:pPr>
        <w:spacing w:line="360" w:lineRule="auto"/>
        <w:ind w:firstLine="720"/>
        <w:jc w:val="both"/>
        <w:rPr>
          <w:rFonts w:ascii="Times New Roman" w:hAnsi="Times New Roman"/>
          <w:sz w:val="24"/>
          <w:szCs w:val="24"/>
        </w:rPr>
      </w:pPr>
    </w:p>
    <w:p w:rsidR="00DF7971" w:rsidRPr="002640C4" w:rsidRDefault="00E17F8C" w:rsidP="00431B3B">
      <w:pPr>
        <w:spacing w:line="360" w:lineRule="auto"/>
        <w:jc w:val="both"/>
        <w:rPr>
          <w:rFonts w:ascii="Times New Roman" w:hAnsi="Times New Roman"/>
          <w:i/>
          <w:sz w:val="24"/>
          <w:szCs w:val="24"/>
        </w:rPr>
      </w:pPr>
      <w:r w:rsidRPr="002640C4">
        <w:rPr>
          <w:rFonts w:ascii="Times New Roman" w:hAnsi="Times New Roman"/>
          <w:sz w:val="24"/>
          <w:szCs w:val="24"/>
        </w:rPr>
        <w:t>Komisijos pirmininkas</w:t>
      </w:r>
      <w:r w:rsidRPr="002640C4">
        <w:rPr>
          <w:rFonts w:ascii="Times New Roman" w:hAnsi="Times New Roman"/>
          <w:sz w:val="24"/>
          <w:szCs w:val="24"/>
        </w:rPr>
        <w:tab/>
      </w:r>
      <w:r w:rsidRPr="002640C4">
        <w:rPr>
          <w:rFonts w:ascii="Times New Roman" w:hAnsi="Times New Roman"/>
          <w:sz w:val="24"/>
          <w:szCs w:val="24"/>
        </w:rPr>
        <w:tab/>
      </w:r>
      <w:r w:rsidRPr="002640C4">
        <w:rPr>
          <w:rFonts w:ascii="Times New Roman" w:hAnsi="Times New Roman"/>
          <w:sz w:val="24"/>
          <w:szCs w:val="24"/>
        </w:rPr>
        <w:tab/>
      </w:r>
      <w:r w:rsidRPr="002640C4">
        <w:rPr>
          <w:rFonts w:ascii="Times New Roman" w:hAnsi="Times New Roman"/>
          <w:sz w:val="24"/>
          <w:szCs w:val="24"/>
        </w:rPr>
        <w:tab/>
      </w:r>
      <w:r w:rsidRPr="002640C4">
        <w:rPr>
          <w:rFonts w:ascii="Times New Roman" w:hAnsi="Times New Roman"/>
          <w:sz w:val="24"/>
          <w:szCs w:val="24"/>
        </w:rPr>
        <w:tab/>
      </w:r>
      <w:r w:rsidR="00DF7971" w:rsidRPr="002640C4">
        <w:rPr>
          <w:rFonts w:ascii="Times New Roman" w:hAnsi="Times New Roman"/>
          <w:sz w:val="24"/>
          <w:szCs w:val="24"/>
        </w:rPr>
        <w:t>Edmundas Pupinis</w:t>
      </w:r>
    </w:p>
    <w:p w:rsidR="00287D88" w:rsidRPr="002640C4" w:rsidRDefault="00287D88" w:rsidP="00431B3B">
      <w:pPr>
        <w:pStyle w:val="Antrat1"/>
        <w:spacing w:line="360" w:lineRule="auto"/>
        <w:ind w:firstLine="851"/>
        <w:jc w:val="both"/>
        <w:rPr>
          <w:i w:val="0"/>
        </w:rPr>
      </w:pPr>
    </w:p>
    <w:p w:rsidR="002D63A8" w:rsidRPr="002640C4" w:rsidRDefault="002D63A8" w:rsidP="002D63A8"/>
    <w:p w:rsidR="002D63A8" w:rsidRPr="002640C4" w:rsidRDefault="002D63A8" w:rsidP="002D63A8"/>
    <w:p w:rsidR="002D63A8" w:rsidRPr="002640C4" w:rsidRDefault="002D63A8" w:rsidP="002D63A8"/>
    <w:p w:rsidR="00E17F8C" w:rsidRPr="002640C4" w:rsidRDefault="00DF7971" w:rsidP="00431B3B">
      <w:pPr>
        <w:pStyle w:val="Antrat1"/>
        <w:spacing w:line="360" w:lineRule="auto"/>
        <w:jc w:val="both"/>
        <w:rPr>
          <w:i w:val="0"/>
        </w:rPr>
      </w:pPr>
      <w:r w:rsidRPr="002640C4">
        <w:rPr>
          <w:i w:val="0"/>
        </w:rPr>
        <w:t>Rasa Griciūtė</w:t>
      </w:r>
      <w:r w:rsidR="00E17F8C" w:rsidRPr="002640C4">
        <w:rPr>
          <w:i w:val="0"/>
        </w:rPr>
        <w:t xml:space="preserve">, tel. (8 5) </w:t>
      </w:r>
      <w:r w:rsidRPr="002640C4">
        <w:rPr>
          <w:i w:val="0"/>
        </w:rPr>
        <w:t xml:space="preserve"> </w:t>
      </w:r>
      <w:r w:rsidR="00E17F8C" w:rsidRPr="002640C4">
        <w:rPr>
          <w:i w:val="0"/>
        </w:rPr>
        <w:t>239 681</w:t>
      </w:r>
      <w:r w:rsidRPr="002640C4">
        <w:rPr>
          <w:i w:val="0"/>
        </w:rPr>
        <w:t>7</w:t>
      </w:r>
      <w:r w:rsidR="00E17F8C" w:rsidRPr="002640C4">
        <w:rPr>
          <w:i w:val="0"/>
        </w:rPr>
        <w:t xml:space="preserve">, el. p. </w:t>
      </w:r>
      <w:r w:rsidRPr="002640C4">
        <w:rPr>
          <w:i w:val="0"/>
        </w:rPr>
        <w:t>rasa.griciute</w:t>
      </w:r>
      <w:r w:rsidR="00E17F8C" w:rsidRPr="002640C4">
        <w:rPr>
          <w:i w:val="0"/>
        </w:rPr>
        <w:t xml:space="preserve">@lrs.lt </w:t>
      </w:r>
    </w:p>
    <w:sectPr w:rsidR="00E17F8C" w:rsidRPr="002640C4" w:rsidSect="00B34093">
      <w:headerReference w:type="default" r:id="rId9"/>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8000DF">
          <w:rPr>
            <w:rFonts w:ascii="Times New Roman" w:hAnsi="Times New Roman"/>
            <w:noProof/>
            <w:sz w:val="24"/>
            <w:szCs w:val="24"/>
          </w:rPr>
          <w:t>2</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51682"/>
    <w:rsid w:val="0005437E"/>
    <w:rsid w:val="00100F47"/>
    <w:rsid w:val="0011044E"/>
    <w:rsid w:val="00113045"/>
    <w:rsid w:val="001245A4"/>
    <w:rsid w:val="001338B9"/>
    <w:rsid w:val="001574D1"/>
    <w:rsid w:val="0018772E"/>
    <w:rsid w:val="001D143A"/>
    <w:rsid w:val="002476DB"/>
    <w:rsid w:val="002640C4"/>
    <w:rsid w:val="00277752"/>
    <w:rsid w:val="00287D88"/>
    <w:rsid w:val="002A2443"/>
    <w:rsid w:val="002C394E"/>
    <w:rsid w:val="002D63A8"/>
    <w:rsid w:val="002E2565"/>
    <w:rsid w:val="00360258"/>
    <w:rsid w:val="00364C51"/>
    <w:rsid w:val="00372152"/>
    <w:rsid w:val="00383C88"/>
    <w:rsid w:val="003855AB"/>
    <w:rsid w:val="003D4EF1"/>
    <w:rsid w:val="003F4F06"/>
    <w:rsid w:val="00404FC3"/>
    <w:rsid w:val="004154AA"/>
    <w:rsid w:val="00417829"/>
    <w:rsid w:val="00427395"/>
    <w:rsid w:val="00431B3B"/>
    <w:rsid w:val="00467E5B"/>
    <w:rsid w:val="004B566C"/>
    <w:rsid w:val="004D1350"/>
    <w:rsid w:val="004F367F"/>
    <w:rsid w:val="0050797E"/>
    <w:rsid w:val="00527B37"/>
    <w:rsid w:val="00596969"/>
    <w:rsid w:val="005C0EB4"/>
    <w:rsid w:val="005D6E2D"/>
    <w:rsid w:val="006151B1"/>
    <w:rsid w:val="00636468"/>
    <w:rsid w:val="00641370"/>
    <w:rsid w:val="006462F1"/>
    <w:rsid w:val="006B1375"/>
    <w:rsid w:val="006D095B"/>
    <w:rsid w:val="006E0345"/>
    <w:rsid w:val="006E6482"/>
    <w:rsid w:val="00745B8B"/>
    <w:rsid w:val="00754590"/>
    <w:rsid w:val="00766B1E"/>
    <w:rsid w:val="007912E9"/>
    <w:rsid w:val="007D37E9"/>
    <w:rsid w:val="007F0ECE"/>
    <w:rsid w:val="008000DF"/>
    <w:rsid w:val="00822356"/>
    <w:rsid w:val="008639CD"/>
    <w:rsid w:val="00872E1B"/>
    <w:rsid w:val="00881959"/>
    <w:rsid w:val="008920CE"/>
    <w:rsid w:val="00894ACF"/>
    <w:rsid w:val="0089581F"/>
    <w:rsid w:val="008B36D6"/>
    <w:rsid w:val="008C611E"/>
    <w:rsid w:val="00973F45"/>
    <w:rsid w:val="009C1D7E"/>
    <w:rsid w:val="009C36C2"/>
    <w:rsid w:val="009D5794"/>
    <w:rsid w:val="00A40EDD"/>
    <w:rsid w:val="00AE7661"/>
    <w:rsid w:val="00AF2404"/>
    <w:rsid w:val="00B1430A"/>
    <w:rsid w:val="00B14E50"/>
    <w:rsid w:val="00B34093"/>
    <w:rsid w:val="00B40ECB"/>
    <w:rsid w:val="00B75288"/>
    <w:rsid w:val="00BF1CB1"/>
    <w:rsid w:val="00C140B1"/>
    <w:rsid w:val="00C26836"/>
    <w:rsid w:val="00C55693"/>
    <w:rsid w:val="00C7417D"/>
    <w:rsid w:val="00CB1DC2"/>
    <w:rsid w:val="00CF11E8"/>
    <w:rsid w:val="00CF75F0"/>
    <w:rsid w:val="00D23A57"/>
    <w:rsid w:val="00D310E4"/>
    <w:rsid w:val="00D336D9"/>
    <w:rsid w:val="00D729BB"/>
    <w:rsid w:val="00D86E57"/>
    <w:rsid w:val="00DA1B6E"/>
    <w:rsid w:val="00DA6BBB"/>
    <w:rsid w:val="00DD46B4"/>
    <w:rsid w:val="00DF0FE5"/>
    <w:rsid w:val="00DF7971"/>
    <w:rsid w:val="00E15857"/>
    <w:rsid w:val="00E17F8C"/>
    <w:rsid w:val="00E436D3"/>
    <w:rsid w:val="00E438E8"/>
    <w:rsid w:val="00E85183"/>
    <w:rsid w:val="00E9002C"/>
    <w:rsid w:val="00ED0153"/>
    <w:rsid w:val="00ED5676"/>
    <w:rsid w:val="00EE20AC"/>
    <w:rsid w:val="00EE3355"/>
    <w:rsid w:val="00F05118"/>
    <w:rsid w:val="00F056CC"/>
    <w:rsid w:val="00F20DE0"/>
    <w:rsid w:val="00F27B14"/>
    <w:rsid w:val="00F45213"/>
    <w:rsid w:val="00F46216"/>
    <w:rsid w:val="00FA1505"/>
    <w:rsid w:val="00FA2169"/>
    <w:rsid w:val="00FC3DF2"/>
    <w:rsid w:val="00FD1210"/>
    <w:rsid w:val="00FD1FFD"/>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CA44"/>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Diagrama,Diagrama Diagrama Diagrama,Char Diagrama Diagrama,Char Char Char Char,Char Char2,Char Char Char,Char Char Char1 Char,Char Char1 Char,Hyperlink1"/>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 w:type="paragraph" w:styleId="Puslapioinaostekstas">
    <w:name w:val="footnote text"/>
    <w:basedOn w:val="prastasis"/>
    <w:link w:val="PuslapioinaostekstasDiagrama"/>
    <w:uiPriority w:val="99"/>
    <w:unhideWhenUsed/>
    <w:rsid w:val="009D5794"/>
    <w:rPr>
      <w:rFonts w:ascii="Times New Roman" w:hAnsi="Times New Roman"/>
      <w:lang w:val="en-GB"/>
    </w:rPr>
  </w:style>
  <w:style w:type="character" w:customStyle="1" w:styleId="PuslapioinaostekstasDiagrama">
    <w:name w:val="Puslapio išnašos tekstas Diagrama"/>
    <w:basedOn w:val="Numatytasispastraiposriftas"/>
    <w:link w:val="Puslapioinaostekstas"/>
    <w:uiPriority w:val="99"/>
    <w:rsid w:val="009D579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9D5794"/>
    <w:rPr>
      <w:vertAlign w:val="superscript"/>
    </w:rPr>
  </w:style>
  <w:style w:type="character" w:styleId="Komentaronuoroda">
    <w:name w:val="annotation reference"/>
    <w:basedOn w:val="Numatytasispastraiposriftas"/>
    <w:uiPriority w:val="99"/>
    <w:semiHidden/>
    <w:unhideWhenUsed/>
    <w:rsid w:val="00431B3B"/>
    <w:rPr>
      <w:sz w:val="16"/>
      <w:szCs w:val="16"/>
    </w:rPr>
  </w:style>
  <w:style w:type="paragraph" w:styleId="Komentarotekstas">
    <w:name w:val="annotation text"/>
    <w:basedOn w:val="prastasis"/>
    <w:link w:val="KomentarotekstasDiagrama"/>
    <w:uiPriority w:val="99"/>
    <w:semiHidden/>
    <w:unhideWhenUsed/>
    <w:rsid w:val="00431B3B"/>
  </w:style>
  <w:style w:type="character" w:customStyle="1" w:styleId="KomentarotekstasDiagrama">
    <w:name w:val="Komentaro tekstas Diagrama"/>
    <w:basedOn w:val="Numatytasispastraiposriftas"/>
    <w:link w:val="Komentarotekstas"/>
    <w:uiPriority w:val="99"/>
    <w:semiHidden/>
    <w:rsid w:val="00431B3B"/>
    <w:rPr>
      <w:rFonts w:ascii="CG Times" w:eastAsia="Times New Roman" w:hAnsi="CG Times"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B3B"/>
    <w:rPr>
      <w:b/>
      <w:bCs/>
    </w:rPr>
  </w:style>
  <w:style w:type="character" w:customStyle="1" w:styleId="KomentarotemaDiagrama">
    <w:name w:val="Komentaro tema Diagrama"/>
    <w:basedOn w:val="KomentarotekstasDiagrama"/>
    <w:link w:val="Komentarotema"/>
    <w:uiPriority w:val="99"/>
    <w:semiHidden/>
    <w:rsid w:val="00431B3B"/>
    <w:rPr>
      <w:rFonts w:ascii="CG Times" w:eastAsia="Times New Roman" w:hAnsi="CG Times" w:cs="Times New Roman"/>
      <w:b/>
      <w:bCs/>
      <w:sz w:val="20"/>
      <w:szCs w:val="20"/>
    </w:rPr>
  </w:style>
  <w:style w:type="paragraph" w:styleId="Pataisymai">
    <w:name w:val="Revision"/>
    <w:hidden/>
    <w:uiPriority w:val="99"/>
    <w:semiHidden/>
    <w:rsid w:val="00431B3B"/>
    <w:pPr>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20429"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Z6YWEJNPDQQR-896559167-82</_dlc_DocId>
    <_dlc_DocIdUrl xmlns="28130d43-1b56-4a10-ad88-2cd38123f4c1">
      <Url>https://intranetas.lrs.lt/29/_layouts/15/DocIdRedir.aspx?ID=Z6YWEJNPDQQR-896559167-82</Url>
      <Description>Z6YWEJNPDQQR-896559167-82</Description>
    </_dlc_DocIdUrl>
  </documentManagement>
</p:properties>
</file>

<file path=customXml/itemProps1.xml><?xml version="1.0" encoding="utf-8"?>
<ds:datastoreItem xmlns:ds="http://schemas.openxmlformats.org/officeDocument/2006/customXml" ds:itemID="{A350DDDA-E574-4F80-9C12-2566C40F3110}"/>
</file>

<file path=customXml/itemProps2.xml><?xml version="1.0" encoding="utf-8"?>
<ds:datastoreItem xmlns:ds="http://schemas.openxmlformats.org/officeDocument/2006/customXml" ds:itemID="{8C327AB1-1D0E-4C84-8947-C1C1A90F9F59}"/>
</file>

<file path=customXml/itemProps3.xml><?xml version="1.0" encoding="utf-8"?>
<ds:datastoreItem xmlns:ds="http://schemas.openxmlformats.org/officeDocument/2006/customXml" ds:itemID="{FE7B4FE2-3FE0-4DF1-A367-06E6C2993B8B}"/>
</file>

<file path=customXml/itemProps4.xml><?xml version="1.0" encoding="utf-8"?>
<ds:datastoreItem xmlns:ds="http://schemas.openxmlformats.org/officeDocument/2006/customXml" ds:itemID="{C91EBBDE-5340-4FF7-B676-2704744C8A47}"/>
</file>

<file path=docProps/app.xml><?xml version="1.0" encoding="utf-8"?>
<Properties xmlns="http://schemas.openxmlformats.org/officeDocument/2006/extended-properties" xmlns:vt="http://schemas.openxmlformats.org/officeDocument/2006/docPropsVTypes">
  <Template>Normal.dotm</Template>
  <TotalTime>149</TotalTime>
  <Pages>6</Pages>
  <Words>11973</Words>
  <Characters>6825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24</cp:revision>
  <cp:lastPrinted>2020-10-13T09:41:00Z</cp:lastPrinted>
  <dcterms:created xsi:type="dcterms:W3CDTF">2021-02-04T12:01:00Z</dcterms:created>
  <dcterms:modified xsi:type="dcterms:W3CDTF">2021-03-02T11:06:00Z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9e5d729f-1a6c-49f7-8f3a-c32b92d67a52</vt:lpwstr>
  </property>
</Properties>
</file>