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6EE2" w:rsidRDefault="00CC162B">
      <w:pPr>
        <w:pStyle w:val="Bodytext30"/>
        <w:numPr>
          <w:ilvl w:val="0"/>
          <w:numId w:val="1"/>
        </w:numPr>
        <w:shd w:val="clear" w:color="auto" w:fill="auto"/>
        <w:tabs>
          <w:tab w:val="left" w:pos="1106"/>
        </w:tabs>
        <w:spacing w:before="0" w:after="116" w:line="307" w:lineRule="exact"/>
        <w:ind w:left="80" w:right="60"/>
        <w:jc w:val="both"/>
      </w:pPr>
      <w:r>
        <w:rPr>
          <w:rStyle w:val="Bodytext31"/>
        </w:rPr>
        <w:t>Lietuvos Respublikos bausmių vykdymo kodekso ( toliau ir - BVK ) tryliktas skirsnis reglamentuoja terminuoto laisvės atėmimo bausmę atliekančių nuteistųjų lygtinį paleidimą iš laisvės atėmimo vietų įstaigos. BVK ( trylikto skirsnio ) 83 straipsnio ( Atvejai, kuriais lygtinis paleidimas netaikomas ) 3 dalis, kurioje yra numatyta, kad Lygtinis paleidimas iš laisvės atėmimo vietų įstaigos netaikomas asmenims, atliekantiems bausmę už tyčinius nusikaltimus, padarytus laikino sulaikymo, suėmimo vykdymo, arešto arba laisvės atėmimo bausmės atlikimo metu.</w:t>
      </w:r>
    </w:p>
    <w:p w:rsidR="00E26EE2" w:rsidRDefault="00CC162B">
      <w:pPr>
        <w:pStyle w:val="Bodytext30"/>
        <w:numPr>
          <w:ilvl w:val="0"/>
          <w:numId w:val="1"/>
        </w:numPr>
        <w:shd w:val="clear" w:color="auto" w:fill="auto"/>
        <w:tabs>
          <w:tab w:val="left" w:pos="1106"/>
        </w:tabs>
        <w:spacing w:before="0" w:after="124" w:line="312" w:lineRule="exact"/>
        <w:ind w:left="80" w:right="60"/>
        <w:jc w:val="both"/>
      </w:pPr>
      <w:r>
        <w:rPr>
          <w:rStyle w:val="Bodytext31"/>
        </w:rPr>
        <w:t>Tokia situacija kai asmenims, kurie yra padarę tyčinius nusikaltimus laikino sulaikymo, suėmimo vykdymo, arešto arba laisvės atėmimo bausmės atlikimo metu netaikomas lygtinis paleidimas žemina žmogaus orumą Konstitucijos 21 straipsnio bei Europos žmogaus teisių ir pagrindinių laisvių apsaugos konvencijos (toliau ir - Konvencija ) 3 straipsnyje prasme, prieštarauja teisės viršenybės ir teisinės valstybės principams.</w:t>
      </w:r>
    </w:p>
    <w:p w:rsidR="00E26EE2" w:rsidRDefault="00CC162B" w:rsidP="00280B55">
      <w:pPr>
        <w:pStyle w:val="Bodytext30"/>
        <w:numPr>
          <w:ilvl w:val="0"/>
          <w:numId w:val="1"/>
        </w:numPr>
        <w:shd w:val="clear" w:color="auto" w:fill="auto"/>
        <w:tabs>
          <w:tab w:val="left" w:pos="1106"/>
        </w:tabs>
        <w:spacing w:before="0" w:after="116" w:line="307" w:lineRule="exact"/>
        <w:ind w:left="60" w:right="20"/>
        <w:jc w:val="both"/>
      </w:pPr>
      <w:r>
        <w:rPr>
          <w:rStyle w:val="Bodytext31"/>
        </w:rPr>
        <w:t>Bausmių vykdymo kodekso aiškinamajame rašte nėra nei paaiškinta, nei nurodyta jokia tokios priemonės būtinybė laisvoje, nepriklausomoje ir demokratinėje valstybėje. Taip pat nei pačiame BVK, nei jokiose kituose teisės aktuose nėra pagrindžiama būtinybė tokios priemonės bei atitiktis teisės viršenybės ir teisinės valstybės principams. Nėra pakankamai atlikta būtinų mokslinių empirinių tyrimų dėl šios priemonės būtinumo ir neišvengiamumo taikymo visais be išimties</w:t>
      </w:r>
      <w:r w:rsidR="0063067C">
        <w:rPr>
          <w:rStyle w:val="Bodytext31"/>
        </w:rPr>
        <w:t xml:space="preserve"> </w:t>
      </w:r>
      <w:r>
        <w:rPr>
          <w:rStyle w:val="Bodytext31"/>
        </w:rPr>
        <w:t>atvejais. Europos Sąjungos šalyse narėse ši praktika taip pat taikoma skirtingai arba tokios praktikos iš viso nėra. Toks teisinis reguliavimas yra palikimas nuo sovietinių laikų. Teisinėje literatūroje taip pat yra sunku surasti neginčijamų įrodymų, jog asmenys padarę tyčinius nusikaltimus yra būtinai pavojingesni už tuos asmenis, kurie padarė tyčinius nusikaltimus būdami laikomi laisvės atėmimo arba laisvės suvaržymo vietose. Todėl toks teisinis reguliavimas kai pirmiesiems yra taikomas lygtinis paleidimas o antriesiems netaikomas iš esmės nėra suderinamas su asmenų esančių palyginti panašioje padėtyje nediskriminavimo konstituciniais principais.</w:t>
      </w:r>
    </w:p>
    <w:p w:rsidR="00E26EE2" w:rsidRDefault="00CC162B">
      <w:pPr>
        <w:pStyle w:val="Bodytext30"/>
        <w:numPr>
          <w:ilvl w:val="0"/>
          <w:numId w:val="1"/>
        </w:numPr>
        <w:shd w:val="clear" w:color="auto" w:fill="auto"/>
        <w:tabs>
          <w:tab w:val="left" w:pos="785"/>
        </w:tabs>
        <w:spacing w:before="0" w:after="143" w:line="312" w:lineRule="exact"/>
        <w:ind w:left="60" w:right="20"/>
        <w:jc w:val="both"/>
      </w:pPr>
      <w:r>
        <w:rPr>
          <w:rStyle w:val="Bodytext31"/>
        </w:rPr>
        <w:t>Pabrėžtina, jog BVK 4 straipsnyje yra įtvirtinti bausmių vykdymo principai, kuriems neturi prieštarauti jokios kitos BVK normos, kadangi principai turi pranašumą visų kitų teisės normų atžvilgiu. Ne išimtis ir BVK 83 straipsnio normos.</w:t>
      </w:r>
    </w:p>
    <w:p w:rsidR="00E26EE2" w:rsidRDefault="00CC162B">
      <w:pPr>
        <w:pStyle w:val="Bodytext30"/>
        <w:shd w:val="clear" w:color="auto" w:fill="auto"/>
        <w:spacing w:before="0" w:after="120" w:line="283" w:lineRule="exact"/>
        <w:ind w:left="60" w:right="20" w:firstLine="840"/>
        <w:jc w:val="both"/>
      </w:pPr>
      <w:r>
        <w:rPr>
          <w:rStyle w:val="Bodytext3Italic"/>
        </w:rPr>
        <w:t>BVK 4 straipsnio 1 dalies 4 punkte numatytas bausmių vykdymo individualizavimo principas.</w:t>
      </w:r>
      <w:r>
        <w:rPr>
          <w:rStyle w:val="Bodytext31"/>
        </w:rPr>
        <w:t xml:space="preserve"> Šio principo esmė ta, kad vykdant bausmes turi būti atsižvelgiama į nuteistojo asmenybę, elgesį bausmės atlikimo metu. Vykdant bausmę, taip pat turi būti atsižvelgiama į nuteistojo nusikalstamo elgesio rizikos vertinimo rezultatus ir kitas šio asmens resocializacijai svarbias aplinkybes. Manytina, kad vien šių, paminėtų aplinkybių užtenka sprendžiant klausimą dėl nuteistojo lygtinio paleidimo iš laisvės atėmimo vietos. Jeigu nuteistasis rodo akivaizdžią pažangą mažinant nusikalstamo elgesio riziką būtų neprotinga, neteisinga ir nesąžininga jam netaikyti lygtinio paleidimo iš laisvės atėmimo ( suvaržymo ) vietos vien tiktai todėl, kad jis yra padaręs nusikaltimą laisvės atėmimo ( suvaržymo vietoje ).</w:t>
      </w:r>
    </w:p>
    <w:p w:rsidR="00E26EE2" w:rsidRDefault="00CC162B">
      <w:pPr>
        <w:pStyle w:val="Bodytext30"/>
        <w:numPr>
          <w:ilvl w:val="0"/>
          <w:numId w:val="2"/>
        </w:numPr>
        <w:shd w:val="clear" w:color="auto" w:fill="auto"/>
        <w:tabs>
          <w:tab w:val="left" w:pos="1181"/>
        </w:tabs>
        <w:spacing w:before="0" w:after="120" w:line="283" w:lineRule="exact"/>
        <w:ind w:left="60" w:right="20" w:firstLine="840"/>
        <w:jc w:val="both"/>
      </w:pPr>
      <w:r>
        <w:rPr>
          <w:rStyle w:val="Bodytext3Italic"/>
        </w:rPr>
        <w:t>humanizmo.</w:t>
      </w:r>
      <w:r>
        <w:rPr>
          <w:rStyle w:val="Bodytext31"/>
        </w:rPr>
        <w:t xml:space="preserve"> Šio principo esmė ta, kad vykdant bausmes taikomos priemonės neturi apriboti nuteistojo teisių ir laisvių, jei tai nėra pagrįsta ir būtina; be to, bausmės vykdymu nesiekiama žmogaus kankinti, žiauriai su juo elgtis arba žeminti jo orumo, [...].</w:t>
      </w:r>
    </w:p>
    <w:p w:rsidR="00E26EE2" w:rsidRDefault="00CC162B">
      <w:pPr>
        <w:pStyle w:val="Bodytext30"/>
        <w:numPr>
          <w:ilvl w:val="0"/>
          <w:numId w:val="2"/>
        </w:numPr>
        <w:shd w:val="clear" w:color="auto" w:fill="auto"/>
        <w:tabs>
          <w:tab w:val="left" w:pos="1181"/>
        </w:tabs>
        <w:spacing w:before="0" w:after="120" w:line="283" w:lineRule="exact"/>
        <w:ind w:left="60" w:right="20" w:firstLine="840"/>
        <w:jc w:val="both"/>
      </w:pPr>
      <w:r>
        <w:rPr>
          <w:rStyle w:val="Bodytext3Italic"/>
        </w:rPr>
        <w:t>teisingo ir progresyvaus bausmių atlikimo.</w:t>
      </w:r>
      <w:r>
        <w:rPr>
          <w:rStyle w:val="Bodytext31"/>
        </w:rPr>
        <w:t xml:space="preserve"> Šio principo esmė ta, kad nuteistojo teisinė padėtis, atsižvelgiant į jo nusikalstamo elgesio riziką ir elgesį bausmės atlikimo metu (nustatytų pareigų atlikimą ir draudimų laikymąsi, reagavimą į resocializacijos priemones ), Lietuvos Respublikos baudžiamojo kodekso, Baudžiamojo proceso kodekso ir šio kodekso nustatyta tvarka gali būti švelninama arba griežtinama.</w:t>
      </w:r>
    </w:p>
    <w:p w:rsidR="00E26EE2" w:rsidRDefault="00CC162B">
      <w:pPr>
        <w:pStyle w:val="Bodytext30"/>
        <w:shd w:val="clear" w:color="auto" w:fill="auto"/>
        <w:spacing w:before="0" w:after="116" w:line="283" w:lineRule="exact"/>
        <w:ind w:left="60" w:right="20" w:firstLine="840"/>
        <w:jc w:val="both"/>
      </w:pPr>
      <w:r>
        <w:rPr>
          <w:rStyle w:val="Bodytext31"/>
        </w:rPr>
        <w:t xml:space="preserve">BVK 83 straipsnio 3 dalis prieštarauja protingumo, proporcingumo, teisingumo, sąžiningumo, nediskriminavimo principams, tarptautiniams susitarimams, tarptautinei ir ES teisei, neatitinka Europos Žmogaus Teisių Teismo praktikos, yra perteklinė ir nebūtina priemonė laisvoje ir </w:t>
      </w:r>
      <w:r>
        <w:rPr>
          <w:rStyle w:val="Bodytext31"/>
        </w:rPr>
        <w:lastRenderedPageBreak/>
        <w:t>demokratinėje valstybėje kuri pažeidžia žmogaus teises bei žemina žmogaus orumą. Šiuo atveju itin aktualus yra konstitucinės doktrinos principas, kad įstatymais ribojant žmogaus teises ir laisves privalu laikytis konstitucinio proporcingumo principo, t.y. teisės ir laisvės negali būti ribojamos labiau, nei yra būtina demokratinėje visuomenėje siekiant apsaugoti kitų asmenų teises bei laisves ir Lietuvos Respublikos Konstitucijoje įtvirtintas vertybes, taip pat konstituciškai svarbius tikslus.</w:t>
      </w:r>
    </w:p>
    <w:p w:rsidR="00E26EE2" w:rsidRDefault="00CC162B">
      <w:pPr>
        <w:pStyle w:val="Bodytext50"/>
        <w:numPr>
          <w:ilvl w:val="0"/>
          <w:numId w:val="1"/>
        </w:numPr>
        <w:shd w:val="clear" w:color="auto" w:fill="auto"/>
        <w:tabs>
          <w:tab w:val="left" w:pos="785"/>
          <w:tab w:val="left" w:pos="5950"/>
        </w:tabs>
        <w:spacing w:before="0"/>
        <w:ind w:left="60"/>
      </w:pPr>
      <w:r>
        <w:rPr>
          <w:rStyle w:val="Bodytext51"/>
          <w:b/>
          <w:bCs/>
        </w:rPr>
        <w:t>Dėl konstitucinio teisinės valstybės principo pažeidimo</w:t>
      </w:r>
      <w:r>
        <w:rPr>
          <w:rStyle w:val="Bodytext51"/>
          <w:b/>
          <w:bCs/>
        </w:rPr>
        <w:tab/>
      </w:r>
      <w:r>
        <w:rPr>
          <w:rStyle w:val="Bodytext5NotBold"/>
        </w:rPr>
        <w:t>: neaišku kokia konstitucines vertybes BVK</w:t>
      </w:r>
    </w:p>
    <w:p w:rsidR="00E26EE2" w:rsidRDefault="00CC162B">
      <w:pPr>
        <w:pStyle w:val="Bodytext30"/>
        <w:shd w:val="clear" w:color="auto" w:fill="auto"/>
        <w:spacing w:before="0" w:after="174" w:line="288" w:lineRule="exact"/>
        <w:ind w:left="60"/>
        <w:jc w:val="both"/>
      </w:pPr>
      <w:r>
        <w:rPr>
          <w:rStyle w:val="Bodytext31"/>
        </w:rPr>
        <w:t>83 straipsnio 3 dalis įgyvendina, todėl prieštarauja konstitucinės teisinės valstybės principui.</w:t>
      </w:r>
    </w:p>
    <w:p w:rsidR="00E26EE2" w:rsidRDefault="00CC162B">
      <w:pPr>
        <w:pStyle w:val="Bodytext50"/>
        <w:numPr>
          <w:ilvl w:val="0"/>
          <w:numId w:val="1"/>
        </w:numPr>
        <w:shd w:val="clear" w:color="auto" w:fill="auto"/>
        <w:tabs>
          <w:tab w:val="left" w:pos="785"/>
        </w:tabs>
        <w:spacing w:before="0" w:after="136" w:line="220" w:lineRule="exact"/>
        <w:ind w:left="60"/>
      </w:pPr>
      <w:r>
        <w:rPr>
          <w:rStyle w:val="Bodytext51"/>
          <w:b/>
          <w:bCs/>
        </w:rPr>
        <w:t>Dėl konstitucinio aiškumo principo pažeidimo :</w:t>
      </w:r>
    </w:p>
    <w:p w:rsidR="00E26EE2" w:rsidRDefault="00CC162B">
      <w:pPr>
        <w:pStyle w:val="Bodytext30"/>
        <w:shd w:val="clear" w:color="auto" w:fill="auto"/>
        <w:spacing w:before="0" w:after="167" w:line="278" w:lineRule="exact"/>
        <w:ind w:left="60" w:right="20" w:firstLine="840"/>
        <w:jc w:val="both"/>
      </w:pPr>
      <w:r>
        <w:rPr>
          <w:rStyle w:val="Bodytext31"/>
        </w:rPr>
        <w:t xml:space="preserve">Konstitucinis teisinės valstybės principas suponuoja, kad valstybė, neskaitant pagarbos žmogaus teisėms, turi laikytis konstitucinėje doktrinoje įtvirtintų </w:t>
      </w:r>
      <w:r>
        <w:rPr>
          <w:rStyle w:val="Bodytext3Italic"/>
        </w:rPr>
        <w:t>inter alia</w:t>
      </w:r>
      <w:r>
        <w:rPr>
          <w:rStyle w:val="Bodytext31"/>
        </w:rPr>
        <w:t xml:space="preserve"> proporcingumo ir teisingumo principų reikalavimų, kur yra nurodyta, kad: ribojimai turi būti tokie, kad būtų protingas santykis tarp pasirinktų priemonių ir siekiamo teisėto ir visuotinai svarbaus tikslo. Arba kaip yra nurodoma Konstitucinio Teismo nutarimuose bei konstitucinėje doktrinoje - ribojimas turi būti toks, kad tarp pasirinktų priemonių ir siekiamo teisėto ir visuotinai svarbaus tikslo būtų protingas santykis.</w:t>
      </w:r>
    </w:p>
    <w:p w:rsidR="00E26EE2" w:rsidRPr="00F73944" w:rsidRDefault="00CC162B" w:rsidP="001B107A">
      <w:pPr>
        <w:pStyle w:val="Bodytext50"/>
        <w:numPr>
          <w:ilvl w:val="0"/>
          <w:numId w:val="1"/>
        </w:numPr>
        <w:shd w:val="clear" w:color="auto" w:fill="auto"/>
        <w:tabs>
          <w:tab w:val="left" w:pos="785"/>
          <w:tab w:val="left" w:pos="5950"/>
        </w:tabs>
        <w:spacing w:before="0" w:after="128" w:line="283" w:lineRule="exact"/>
        <w:ind w:left="60" w:right="20"/>
        <w:rPr>
          <w:b w:val="0"/>
        </w:rPr>
      </w:pPr>
      <w:r>
        <w:rPr>
          <w:rStyle w:val="Bodytext51"/>
          <w:b/>
          <w:bCs/>
        </w:rPr>
        <w:t xml:space="preserve">Dėl konstitucinio proporcingumo principo pažeidimo </w:t>
      </w:r>
      <w:r w:rsidRPr="00F73944">
        <w:rPr>
          <w:rStyle w:val="Bodytext5NotBold"/>
        </w:rPr>
        <w:t>:</w:t>
      </w:r>
      <w:r w:rsidRPr="00F73944">
        <w:rPr>
          <w:rStyle w:val="Bodytext5NotBold"/>
        </w:rPr>
        <w:tab/>
        <w:t>Konstitucinis Teismas yra konstatavęs, jog</w:t>
      </w:r>
      <w:r w:rsidR="00F73944">
        <w:rPr>
          <w:rStyle w:val="Bodytext5NotBold"/>
        </w:rPr>
        <w:t xml:space="preserve"> </w:t>
      </w:r>
      <w:r w:rsidRPr="00F73944">
        <w:rPr>
          <w:rStyle w:val="Bodytext31"/>
          <w:b w:val="0"/>
        </w:rPr>
        <w:t>proporcingumo principas, kaip vienas iš konstitucinio teisinės valstybės principo elementų, reiškia, kad įstatyme numatytos priemonės turi atitikti teisėtus ir visuomenei svarbius tikslus, jos turi būti būtinos minėtiems tikslams pasiekti ir neturi varžyti asmens teisių ir laisvių akivaizdžiai labiau, negu reikia šiems tikslams pasiekti. ( Konstitucinio Teismo inter alia 2009 m. gruodžio 11 d., 2013 m. vasario 15 d., 2013 m. gegužės 16 d., 2013 m. spalio 9 d., 2014 m. balandžio 14d. nutarimai bei 2010 m. balandžio 20 d. sprendimas ). Taigi, BVK 83 straipsnio 3 dalyje nustatytas reguliavimas tiesiogiai konfliktuoja ir su konstitucinio proporcingumo principu.</w:t>
      </w:r>
    </w:p>
    <w:p w:rsidR="00E26EE2" w:rsidRDefault="00CC162B">
      <w:pPr>
        <w:pStyle w:val="Pagrindinistekstas5"/>
        <w:numPr>
          <w:ilvl w:val="0"/>
          <w:numId w:val="1"/>
        </w:numPr>
        <w:shd w:val="clear" w:color="auto" w:fill="auto"/>
        <w:tabs>
          <w:tab w:val="left" w:pos="1032"/>
        </w:tabs>
        <w:spacing w:before="0"/>
        <w:ind w:left="60" w:right="20"/>
      </w:pPr>
      <w:r>
        <w:rPr>
          <w:rStyle w:val="BodytextCalibriBold"/>
        </w:rPr>
        <w:t xml:space="preserve">Dėl konstitucinio individualizavimo principo pažeidimo: </w:t>
      </w:r>
      <w:r>
        <w:rPr>
          <w:rStyle w:val="Pagrindinistekstas1"/>
        </w:rPr>
        <w:t xml:space="preserve">Konstitucinio Teismo 2011 m. liepos 7 d., 2014 m. balandžio 14 d. nutarimuose yra išaiškinta, kad reikalavimas laikantis konstitucinio proporcingumo principo asmens teisių ir laisvių įstatymu neriboti labiau, negu reikia teisėtiems ir visuomenei svarbiems tikslams pasiekti, </w:t>
      </w:r>
      <w:r>
        <w:rPr>
          <w:rStyle w:val="BodytextItalic"/>
        </w:rPr>
        <w:t>inter alia</w:t>
      </w:r>
      <w:r>
        <w:rPr>
          <w:rStyle w:val="BodytextCalibri115pt"/>
        </w:rPr>
        <w:t xml:space="preserve"> </w:t>
      </w:r>
      <w:r>
        <w:rPr>
          <w:rStyle w:val="Pagrindinistekstas1"/>
        </w:rPr>
        <w:t xml:space="preserve">suponuoja reikalavimą įstatymų leidėjui nustatyti tokį teisinį reguliavimą, kuris sudarytų prielaidas pakankamai individualizuoti asmens teisių ir laisvių ribojimus: ribojantis asmens teises ir laisves įstatymo nustatytas teisinis reguliavimas turi būti toks, </w:t>
      </w:r>
      <w:r>
        <w:rPr>
          <w:rStyle w:val="BodytextItalic0"/>
        </w:rPr>
        <w:t xml:space="preserve">kad būtu sudarytos prielaidos kiek </w:t>
      </w:r>
      <w:r w:rsidR="00DD4B92">
        <w:rPr>
          <w:rStyle w:val="BodytextItalic0"/>
        </w:rPr>
        <w:t>į</w:t>
      </w:r>
      <w:r>
        <w:rPr>
          <w:rStyle w:val="BodytextItalic0"/>
        </w:rPr>
        <w:t>manoma įvertinti individuali</w:t>
      </w:r>
      <w:r w:rsidR="00DD4B92">
        <w:rPr>
          <w:rStyle w:val="BodytextItalic0"/>
        </w:rPr>
        <w:t>ą</w:t>
      </w:r>
      <w:r>
        <w:rPr>
          <w:rStyle w:val="BodytextItalic1"/>
        </w:rPr>
        <w:t xml:space="preserve"> </w:t>
      </w:r>
      <w:r>
        <w:rPr>
          <w:rStyle w:val="BodytextItalic0"/>
        </w:rPr>
        <w:t>kiekvieno asmens padėti</w:t>
      </w:r>
      <w:r>
        <w:rPr>
          <w:rStyle w:val="BodytextItalic1"/>
        </w:rPr>
        <w:t xml:space="preserve"> </w:t>
      </w:r>
      <w:r>
        <w:rPr>
          <w:rStyle w:val="BodytextItalic"/>
        </w:rPr>
        <w:t>ir</w:t>
      </w:r>
      <w:r>
        <w:rPr>
          <w:rStyle w:val="BodytextCalibri115pt"/>
        </w:rPr>
        <w:t xml:space="preserve"> </w:t>
      </w:r>
      <w:r>
        <w:rPr>
          <w:rStyle w:val="Pagrindinistekstas1"/>
        </w:rPr>
        <w:t xml:space="preserve">atsižvelgiant į visas svarbias aplinkybes, </w:t>
      </w:r>
      <w:r>
        <w:rPr>
          <w:rStyle w:val="BodytextItalic0"/>
        </w:rPr>
        <w:t>atitinkamai</w:t>
      </w:r>
      <w:r>
        <w:rPr>
          <w:rStyle w:val="BodytextItalic1"/>
        </w:rPr>
        <w:t xml:space="preserve"> </w:t>
      </w:r>
      <w:r>
        <w:rPr>
          <w:rStyle w:val="BodytextItalic0"/>
        </w:rPr>
        <w:t xml:space="preserve">individualizuoti konkrečias tam asmeniui taikytinas ribojančias </w:t>
      </w:r>
      <w:r>
        <w:rPr>
          <w:rStyle w:val="BodytextItalic2"/>
        </w:rPr>
        <w:t xml:space="preserve">jo </w:t>
      </w:r>
      <w:r>
        <w:rPr>
          <w:rStyle w:val="BodytextItalic0"/>
        </w:rPr>
        <w:t>teises priemones.</w:t>
      </w:r>
      <w:r>
        <w:rPr>
          <w:rStyle w:val="BodytextItalic1"/>
        </w:rPr>
        <w:t xml:space="preserve"> </w:t>
      </w:r>
      <w:r>
        <w:rPr>
          <w:rStyle w:val="BodytextItalic3"/>
        </w:rPr>
        <w:t>(</w:t>
      </w:r>
      <w:r>
        <w:rPr>
          <w:rStyle w:val="Pagrindinistekstas1"/>
        </w:rPr>
        <w:t>Taip pat: Konstitucinio Teismo 2011 m. liepos 7 d., 2014 m. balandžio 14 d. nutarimai).</w:t>
      </w:r>
    </w:p>
    <w:p w:rsidR="00E26EE2" w:rsidRDefault="00CC162B">
      <w:pPr>
        <w:pStyle w:val="Pagrindinistekstas5"/>
        <w:shd w:val="clear" w:color="auto" w:fill="auto"/>
        <w:spacing w:before="0" w:after="240"/>
        <w:ind w:left="60" w:right="20" w:firstLine="800"/>
      </w:pPr>
      <w:r>
        <w:rPr>
          <w:rStyle w:val="Pagrindinistekstas1"/>
        </w:rPr>
        <w:t>Šiame kontekste žymėtina, kad BVK 83 str. 3 dalies nuostatos pažeidžia konstitucinėje doktrinoje įtvirtintą individualizavimo principą nes joks individualizavimas dėl BVK 83 str. 3 dalyje taikomų ribojimų ir draudimų neatsispindi. Ir tai neatitinka teisėtų lūkesčių pagal Konstituciją. BVK 83 str. 3 dalies norma yra taikoma neatsižvelgiant į jokias individualias nuteistojo savybes, į jokius individualius požymius bet bendrai ir abstrakčiai visiems nuteistiesiems.</w:t>
      </w:r>
    </w:p>
    <w:p w:rsidR="00E26EE2" w:rsidRDefault="00CC162B">
      <w:pPr>
        <w:pStyle w:val="Pagrindinistekstas5"/>
        <w:numPr>
          <w:ilvl w:val="0"/>
          <w:numId w:val="1"/>
        </w:numPr>
        <w:shd w:val="clear" w:color="auto" w:fill="auto"/>
        <w:tabs>
          <w:tab w:val="left" w:pos="785"/>
        </w:tabs>
        <w:spacing w:before="0" w:after="240"/>
        <w:ind w:left="60" w:right="20"/>
      </w:pPr>
      <w:r>
        <w:rPr>
          <w:rStyle w:val="BodytextCalibriBold"/>
        </w:rPr>
        <w:t xml:space="preserve">Dėl nuteistųjų motyvacijos ir demotyvacijos teisės aktus atitinkančiam elgesiui: </w:t>
      </w:r>
      <w:r>
        <w:rPr>
          <w:rStyle w:val="Pagrindinistekstas1"/>
        </w:rPr>
        <w:t>Teisingumo ministerija BVK 83 str. 3 dalyje nustatytą ribojimą taikyti lygtinį paleidimą nuteistiesiems sieja su pakartotinio nusikalstamumo rizika bei motyvuoja, kad toks lygtinio paleidimo taikymo ribojimas motyvuos teisės aktus atitinkančiam elgesiui ir skatins nenusikalsti. Su tokia teisingumo ministerijos pozicija nesutiktina pirmiausiai dėl to, jog tai yra tik subjektyvi, jokiais empiriniais tyrimais neparemta ir nepagrįsta nuomonė. Manytina, jog atvirkščiai : BVK 83 straipsnio 3 dalyje įtvirtintas niekuo nepagrįstas neindividualizuotas draudimas taikyti lygtinį paleidimą dar labiau demotyvuoja nuteistuosius siekti bausmės sušvelninimo, demonstruoti socialiai vertingą, teisės aktus atitinkantį elgesį, juo labiau, kad minimas draudimas, kaip minėta, žemina žmogiškąjį orumą Konvencijos 3 str. ir Konstitucijos 25 str. prasme. Juo labiau, kad bausmių vykdymo teisėje yra pripažįstama, kad būtent per paskatinimus yra lengviausia keisti teisės pažeidėjų elgesį o ne per papildomus bausminius priedus ar draudimus. Visuotinai yra žinoma jog, bausmių vykdymo sistema šiuo metu stipriai atsilieka nuo vidurkio Europos Sąjungoje. Sis atsilikimas yra siejamas ir su per griežtu teisinio reguliavimu šioje srityje. Todėl BVK 83 str. 3 dalyje numatytas draudimas neprisideda prie pažangios, progresyvios europietiškos bausmių vykdymo sistemos kūrimo.</w:t>
      </w:r>
    </w:p>
    <w:p w:rsidR="00E26EE2" w:rsidRDefault="00CC162B">
      <w:pPr>
        <w:pStyle w:val="Heading50"/>
        <w:keepNext/>
        <w:keepLines/>
        <w:numPr>
          <w:ilvl w:val="0"/>
          <w:numId w:val="1"/>
        </w:numPr>
        <w:shd w:val="clear" w:color="auto" w:fill="auto"/>
        <w:tabs>
          <w:tab w:val="left" w:pos="1032"/>
        </w:tabs>
        <w:spacing w:before="0"/>
        <w:ind w:left="60"/>
      </w:pPr>
      <w:bookmarkStart w:id="0" w:name="bookmark3"/>
      <w:r>
        <w:rPr>
          <w:rStyle w:val="Heading51"/>
          <w:b/>
          <w:bCs/>
        </w:rPr>
        <w:t>Dėl BVK 83 straipsnio 3 dalies prieštaravimo Konstitucijai, Konvencijai ir dvigubo nubaudimo "</w:t>
      </w:r>
      <w:bookmarkEnd w:id="0"/>
    </w:p>
    <w:p w:rsidR="00E26EE2" w:rsidRDefault="00CC162B">
      <w:pPr>
        <w:pStyle w:val="Pagrindinistekstas5"/>
        <w:shd w:val="clear" w:color="auto" w:fill="auto"/>
        <w:spacing w:before="0"/>
        <w:ind w:left="60" w:right="20"/>
      </w:pPr>
      <w:r>
        <w:rPr>
          <w:rStyle w:val="BodytextItalic3"/>
        </w:rPr>
        <w:t>non bis in idem "</w:t>
      </w:r>
      <w:r>
        <w:rPr>
          <w:rStyle w:val="Pagrindinistekstas1"/>
        </w:rPr>
        <w:t xml:space="preserve"> </w:t>
      </w:r>
      <w:r>
        <w:rPr>
          <w:rStyle w:val="BodytextCalibriBold"/>
        </w:rPr>
        <w:t xml:space="preserve">principui prieštaravimo: </w:t>
      </w:r>
      <w:r>
        <w:rPr>
          <w:rStyle w:val="Pagrindinistekstas1"/>
        </w:rPr>
        <w:t xml:space="preserve">dvigubą nubaudimą draudžia tiek pagrindinis šalies įstatymas </w:t>
      </w:r>
      <w:r>
        <w:rPr>
          <w:rStyle w:val="Pagrindinistekstas2"/>
        </w:rPr>
        <w:t xml:space="preserve">- </w:t>
      </w:r>
      <w:r>
        <w:rPr>
          <w:rStyle w:val="Pagrindinistekstas1"/>
        </w:rPr>
        <w:t xml:space="preserve">Konstitucijos 31 straipsnio 5 dalis, tiek ir Europos žmogaus teisių ir pagrindinių laisvių apsaugos konvencijos ( toliau </w:t>
      </w:r>
      <w:r>
        <w:rPr>
          <w:rStyle w:val="Pagrindinistekstas3"/>
        </w:rPr>
        <w:t xml:space="preserve">- </w:t>
      </w:r>
      <w:r>
        <w:rPr>
          <w:rStyle w:val="Pagrindinistekstas1"/>
        </w:rPr>
        <w:t>Konvencija ) 7 protokolo 4 straipsnis.</w:t>
      </w:r>
    </w:p>
    <w:p w:rsidR="00E26EE2" w:rsidRDefault="00CC162B" w:rsidP="00DD4B92">
      <w:pPr>
        <w:pStyle w:val="Pagrindinistekstas5"/>
        <w:shd w:val="clear" w:color="auto" w:fill="auto"/>
        <w:spacing w:before="0"/>
        <w:ind w:left="62" w:right="23" w:firstLine="522"/>
        <w:rPr>
          <w:rStyle w:val="Pagrindinistekstas1"/>
        </w:rPr>
      </w:pPr>
      <w:r>
        <w:rPr>
          <w:rStyle w:val="Pagrindinistekstas1"/>
        </w:rPr>
        <w:t xml:space="preserve">Europos Žmogaus Teisių Teismo Didžioji kolegija 2009 m. vasario 10 d. sprendime byloje S. Z. prieš Rusiją ( pareiškimo Nr. 14939/03 </w:t>
      </w:r>
      <w:r>
        <w:rPr>
          <w:rStyle w:val="Pagrindinistekstas3"/>
        </w:rPr>
        <w:t xml:space="preserve">) </w:t>
      </w:r>
      <w:r>
        <w:rPr>
          <w:rStyle w:val="Pagrindinistekstas1"/>
        </w:rPr>
        <w:t>suvienodino poziciją dėl tapataus pažeidimo aiškinimo Konvencijos 7 protokolo 4 straipsnio prasme, kurios šiuo metu ir laikomasi Teismo jurisprudencijoje ( žr., pvz., Teismo 2009 m. rugsėjo 16 d. sprendimą byloje Routsalainen prieš Suomiją, pareiškimo Nr. 13079/03 ). Naujausioje šio teismo praktikoje, aiškinant pažeidimo sąvoką, įtvirtintą Konvencijos 7 protokolo 4 straipsnio 1 dalyje, akcentuojamas</w:t>
      </w:r>
      <w:r w:rsidR="00DD4B92">
        <w:rPr>
          <w:rStyle w:val="Pagrindinistekstas1"/>
        </w:rPr>
        <w:t xml:space="preserve"> </w:t>
      </w:r>
      <w:r>
        <w:rPr>
          <w:rStyle w:val="Pagrindinistekstas1"/>
        </w:rPr>
        <w:t xml:space="preserve">materialusis pažeidimo aspektas, veikos teisiniam įvertinimui ( kvalifikavimui ) teikiant mažesnę reikšmę. </w:t>
      </w:r>
      <w:r>
        <w:rPr>
          <w:rStyle w:val="BodytextItalic3"/>
        </w:rPr>
        <w:t>Non bis i</w:t>
      </w:r>
      <w:r w:rsidR="0063067C">
        <w:rPr>
          <w:rStyle w:val="BodytextItalic3"/>
        </w:rPr>
        <w:t>n</w:t>
      </w:r>
      <w:r>
        <w:rPr>
          <w:rStyle w:val="BodytextItalic3"/>
        </w:rPr>
        <w:t xml:space="preserve"> idem</w:t>
      </w:r>
      <w:r>
        <w:rPr>
          <w:rStyle w:val="Pagrindinistekstas1"/>
        </w:rPr>
        <w:t xml:space="preserve"> principas pažeidžiamas tada, kai nustatoma, kad asmuo antrą kartą baudžiamas už identiškus arba iš esmės tokius pat teisiškai reikšmingus faktus ( tą patį poelgį ). Konstatuota, kad Konvencijos 7 protokolo 4 straipsnis turi būti suprantamas ir aiškinamas taip, kad principu </w:t>
      </w:r>
      <w:r>
        <w:rPr>
          <w:rStyle w:val="BodytextItalic3"/>
        </w:rPr>
        <w:t>non bis in idem</w:t>
      </w:r>
      <w:r>
        <w:rPr>
          <w:rStyle w:val="Pagrindinistekstas1"/>
        </w:rPr>
        <w:t xml:space="preserve"> būtų draudžiama persekioti ir </w:t>
      </w:r>
      <w:r>
        <w:rPr>
          <w:rStyle w:val="Pagrindinistekstas3"/>
        </w:rPr>
        <w:t xml:space="preserve">/ </w:t>
      </w:r>
      <w:r>
        <w:rPr>
          <w:rStyle w:val="Pagrindinistekstas1"/>
        </w:rPr>
        <w:t>arba bausti asmenį antrą kartą už pažeidimą, jeigu jis kyla iš identiškų arba iš esmės tokių pat faktų (įvykių), dėl kurių asmuo jau buvo nubaustas ( sprendimo 82 punktas ).</w:t>
      </w:r>
    </w:p>
    <w:p w:rsidR="00DD4B92" w:rsidRDefault="00DD4B92" w:rsidP="00DD4B92">
      <w:pPr>
        <w:pStyle w:val="Pagrindinistekstas5"/>
        <w:shd w:val="clear" w:color="auto" w:fill="auto"/>
        <w:spacing w:before="0"/>
        <w:ind w:left="40" w:right="20"/>
      </w:pPr>
    </w:p>
    <w:p w:rsidR="00E26EE2" w:rsidRDefault="00CC162B">
      <w:pPr>
        <w:pStyle w:val="Pagrindinistekstas5"/>
        <w:numPr>
          <w:ilvl w:val="0"/>
          <w:numId w:val="1"/>
        </w:numPr>
        <w:shd w:val="clear" w:color="auto" w:fill="auto"/>
        <w:tabs>
          <w:tab w:val="left" w:pos="1277"/>
        </w:tabs>
        <w:spacing w:before="0" w:after="240"/>
        <w:ind w:left="40" w:right="20"/>
      </w:pPr>
      <w:r>
        <w:rPr>
          <w:rStyle w:val="Pagrindinistekstas1"/>
        </w:rPr>
        <w:t>BVK 83 str. 3d. Įtvirtintas reguliavimas suponuoja išvada, jog asmuo be pagrindinės bausmės - laisvės atėmimo, baudžiamas dar ir antrą kartą papildomai tuom, kad jam netaikomas lygtinis paleidimas kaip visiems kitiems nuteistiesiems.</w:t>
      </w:r>
    </w:p>
    <w:p w:rsidR="00E26EE2" w:rsidRDefault="00CC162B">
      <w:pPr>
        <w:pStyle w:val="Pagrindinistekstas5"/>
        <w:numPr>
          <w:ilvl w:val="0"/>
          <w:numId w:val="1"/>
        </w:numPr>
        <w:shd w:val="clear" w:color="auto" w:fill="auto"/>
        <w:tabs>
          <w:tab w:val="left" w:pos="1277"/>
        </w:tabs>
        <w:spacing w:before="0" w:after="236"/>
        <w:ind w:left="40" w:right="20"/>
      </w:pPr>
      <w:r>
        <w:rPr>
          <w:rStyle w:val="BodytextBold"/>
        </w:rPr>
        <w:t xml:space="preserve">Konstitucinė doktrina </w:t>
      </w:r>
      <w:r>
        <w:rPr>
          <w:rStyle w:val="Pagrindinistekstas1"/>
        </w:rPr>
        <w:t xml:space="preserve">: Taikant teisę </w:t>
      </w:r>
      <w:r>
        <w:rPr>
          <w:rStyle w:val="BodytextItalic3"/>
        </w:rPr>
        <w:t>inter alia</w:t>
      </w:r>
      <w:r>
        <w:rPr>
          <w:rStyle w:val="Pagrindinistekstas1"/>
        </w:rPr>
        <w:t xml:space="preserve"> būtina paisyti tokių iš konstitucinio teisinės valstybės principo kylančių reikalavimų, kaip antai: teisę taikančios institucijos turi paisyti asmenų lygiateisiškumo reikalavimo; negalima dukart bausti už tą patį teisės pažeidimą ( non bis in idem ). ( Konstitucinio Teismo 2001 m. spalio 2 d., 2001 m. gegužės 7 d., 2004 m. gruodžio 13 d., 2005 m. lapkričio 10 d., 2006 m. sausio 16 d., 2008 m. sausio </w:t>
      </w:r>
      <w:r>
        <w:rPr>
          <w:rStyle w:val="Pagrindinistekstas4"/>
        </w:rPr>
        <w:t>21d.</w:t>
      </w:r>
      <w:r>
        <w:rPr>
          <w:rStyle w:val="Pagrindinistekstas1"/>
        </w:rPr>
        <w:t xml:space="preserve"> Nutarimai). Konstitucijos 31 str.5d. nuostatoje įtvirtintas konstitucinis principas </w:t>
      </w:r>
      <w:r>
        <w:rPr>
          <w:rStyle w:val="BodytextItalic3"/>
        </w:rPr>
        <w:t>non bis in idem</w:t>
      </w:r>
      <w:r>
        <w:rPr>
          <w:rStyle w:val="Pagrindinistekstas1"/>
        </w:rPr>
        <w:t xml:space="preserve"> reiškia draudimą bausti antrą kartą už tą patį nusikaltimą. Šis konstitucinis principas taikytinas ir kitų padarytų teisės pažeidimų atžvilgiu t.y. bet kokioje teisės šakoje bet kokios teisei priešingos veikos atžvilgiu ( Konstitucinio Teismo 2001 m. gegužės 7 d. spalio 2d. nutarimas ).</w:t>
      </w:r>
    </w:p>
    <w:p w:rsidR="00E26EE2" w:rsidRDefault="00CC162B">
      <w:pPr>
        <w:pStyle w:val="Pagrindinistekstas5"/>
        <w:numPr>
          <w:ilvl w:val="0"/>
          <w:numId w:val="1"/>
        </w:numPr>
        <w:shd w:val="clear" w:color="auto" w:fill="auto"/>
        <w:tabs>
          <w:tab w:val="left" w:pos="837"/>
        </w:tabs>
        <w:spacing w:before="0" w:line="278" w:lineRule="exact"/>
        <w:ind w:left="40" w:right="20"/>
      </w:pPr>
      <w:r>
        <w:rPr>
          <w:rStyle w:val="Pagrindinistekstas1"/>
        </w:rPr>
        <w:t>Taigi BVK 83 straipsnio 3 dalyje nustatytas teisinis reguliavimas tiesiogiai konfliktuoja tiek su Konvencija 7 protokolo 4 straipsniu, tiek su Konstitucijos 31 straipsnio 5 dalimi.</w:t>
      </w:r>
    </w:p>
    <w:p w:rsidR="00E26EE2" w:rsidRDefault="00CC162B">
      <w:pPr>
        <w:pStyle w:val="Pagrindinistekstas5"/>
        <w:shd w:val="clear" w:color="auto" w:fill="auto"/>
        <w:spacing w:before="0"/>
        <w:ind w:left="40" w:right="20" w:firstLine="720"/>
      </w:pPr>
      <w:r>
        <w:rPr>
          <w:rStyle w:val="Pagrindinistekstas1"/>
        </w:rPr>
        <w:t xml:space="preserve">Demokratinėje teisinėje valstybėje įstatymų leidėjas ir kiti teisės aktus rengiantys subjektai turi ne tik teisę bet kartu ir pareigą nustatyti tokį teisinį reguliavimą, kad siekiamus tikslus būtų galima pasiekti nesudarant prielaidų pažeisti Konstitucijos 31 str. 5d. bei Konvencijos 7 protokolo 4 straipsniu saugomą principą „ </w:t>
      </w:r>
      <w:r>
        <w:rPr>
          <w:rStyle w:val="BodytextItalic3"/>
        </w:rPr>
        <w:t>non bis in idem</w:t>
      </w:r>
      <w:r w:rsidR="0063067C">
        <w:rPr>
          <w:rStyle w:val="BodytextItalic3"/>
        </w:rPr>
        <w:t>“.</w:t>
      </w:r>
    </w:p>
    <w:p w:rsidR="00E26EE2" w:rsidRDefault="00CC162B">
      <w:pPr>
        <w:pStyle w:val="Pagrindinistekstas5"/>
        <w:shd w:val="clear" w:color="auto" w:fill="auto"/>
        <w:spacing w:before="0" w:after="124" w:line="293" w:lineRule="exact"/>
        <w:ind w:left="40" w:right="20" w:firstLine="720"/>
      </w:pPr>
      <w:r>
        <w:rPr>
          <w:rStyle w:val="Pagrindinistekstas1"/>
        </w:rPr>
        <w:t>Kadangi BVK 83 str. 3dalies nuostatos prieštarauja Konstituciniam teisėtumo principui nevaržyti žmogaus teisių labiau negu yra būtina, tai galimai pažeidžia ir pagrindines žmogaus teises ir laisves bei yra nukreiptas ne siekti pozityvių bausmių vykdymo tikslų bet nukreiptas į nuteistų asmenų orumo pažeminimą, priimtas viešojo administravimo subjektui piktnaudžiaujant valstybės suteiktais įgaliojimais.</w:t>
      </w:r>
    </w:p>
    <w:p w:rsidR="00E26EE2" w:rsidRDefault="00CC162B">
      <w:pPr>
        <w:pStyle w:val="Pagrindinistekstas5"/>
        <w:numPr>
          <w:ilvl w:val="0"/>
          <w:numId w:val="1"/>
        </w:numPr>
        <w:shd w:val="clear" w:color="auto" w:fill="auto"/>
        <w:tabs>
          <w:tab w:val="left" w:pos="1277"/>
        </w:tabs>
        <w:spacing w:before="0" w:after="174" w:line="288" w:lineRule="exact"/>
        <w:ind w:left="40" w:right="20"/>
      </w:pPr>
      <w:r>
        <w:rPr>
          <w:rStyle w:val="Pagrindinistekstas1"/>
        </w:rPr>
        <w:t>BVK 83 str. 3 dalyje nustatytas teisinis reguliavimas prieštarauja svarbiausioms ir esminėms šiuolaikinės visuomenės vertybėms - pagrindinėms žmogaus teisėms, taip pat pagrindiniame šalies įstatyme - Konstitucijoje bei Konvencijoje įtvirtintoms vertybėms ir siekiamiems tikslams.</w:t>
      </w:r>
    </w:p>
    <w:p w:rsidR="00E26EE2" w:rsidRDefault="00CC162B">
      <w:pPr>
        <w:pStyle w:val="Heading40"/>
        <w:keepNext/>
        <w:keepLines/>
        <w:shd w:val="clear" w:color="auto" w:fill="auto"/>
        <w:spacing w:before="0" w:after="275" w:line="220" w:lineRule="exact"/>
        <w:ind w:right="20"/>
      </w:pPr>
      <w:bookmarkStart w:id="1" w:name="bookmark4"/>
      <w:r>
        <w:rPr>
          <w:rStyle w:val="Heading41"/>
          <w:b/>
          <w:bCs/>
        </w:rPr>
        <w:t>Šia peticija prašoma:</w:t>
      </w:r>
      <w:bookmarkEnd w:id="1"/>
    </w:p>
    <w:p w:rsidR="00E26EE2" w:rsidRDefault="00CC162B">
      <w:pPr>
        <w:pStyle w:val="Pagrindinistekstas5"/>
        <w:shd w:val="clear" w:color="auto" w:fill="auto"/>
        <w:spacing w:before="0" w:after="583"/>
        <w:ind w:left="40" w:right="20" w:firstLine="520"/>
      </w:pPr>
      <w:r>
        <w:rPr>
          <w:rStyle w:val="Pagrindinistekstas1"/>
        </w:rPr>
        <w:t>imtis priemonių pagal kompetenciją, kad būtų inicijuojamas Lietuvos Respublikos bausmių vykdymo kodekso pakeitimas pakeičiant arba panaikinant šio kodekso 83 straipsnio 3 dalį ir panaikinant draudimą taikyti lygtinį paleidimą iš laisvės atėmimo vietų įstaigos asmenims, atliekantiems bausmę už tyčinius nusikaltimus, padarytus laikino sulaikymo, suėmimo vykdymo, arešto arba laisvės atėmimo bausmės atlikimo metu.</w:t>
      </w:r>
      <w:bookmarkStart w:id="2" w:name="_GoBack"/>
      <w:bookmarkEnd w:id="2"/>
    </w:p>
    <w:sectPr w:rsidR="00E26EE2" w:rsidSect="006839F4">
      <w:type w:val="continuous"/>
      <w:pgSz w:w="11909" w:h="16838"/>
      <w:pgMar w:top="1134" w:right="851" w:bottom="1134" w:left="1701" w:header="0" w:footer="3" w:gutter="221"/>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565D" w:rsidRDefault="00E8565D">
      <w:r>
        <w:separator/>
      </w:r>
    </w:p>
  </w:endnote>
  <w:endnote w:type="continuationSeparator" w:id="0">
    <w:p w:rsidR="00E8565D" w:rsidRDefault="00E856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onstantia">
    <w:panose1 w:val="02030602050306030303"/>
    <w:charset w:val="BA"/>
    <w:family w:val="roman"/>
    <w:pitch w:val="variable"/>
    <w:sig w:usb0="A00002EF" w:usb1="4000204B" w:usb2="00000000" w:usb3="00000000" w:csb0="0000019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565D" w:rsidRDefault="00E8565D"/>
  </w:footnote>
  <w:footnote w:type="continuationSeparator" w:id="0">
    <w:p w:rsidR="00E8565D" w:rsidRDefault="00E8565D"/>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9054DA"/>
    <w:multiLevelType w:val="multilevel"/>
    <w:tmpl w:val="E734364A"/>
    <w:lvl w:ilvl="0">
      <w:start w:val="5"/>
      <w:numFmt w:val="decimal"/>
      <w:lvlText w:val="%1)"/>
      <w:lvlJc w:val="left"/>
      <w:rPr>
        <w:rFonts w:ascii="Calibri" w:eastAsia="Calibri" w:hAnsi="Calibri" w:cs="Calibri"/>
        <w:b w:val="0"/>
        <w:bCs w:val="0"/>
        <w:i/>
        <w:iCs/>
        <w:smallCaps w:val="0"/>
        <w:strike w:val="0"/>
        <w:color w:val="000000"/>
        <w:spacing w:val="0"/>
        <w:w w:val="100"/>
        <w:position w:val="0"/>
        <w:sz w:val="22"/>
        <w:szCs w:val="22"/>
        <w:u w:val="none"/>
        <w:lang w:val="lt-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746341FD"/>
    <w:multiLevelType w:val="multilevel"/>
    <w:tmpl w:val="6DFA6E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t-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efaultTabStop w:val="1296"/>
  <w:hyphenationZone w:val="396"/>
  <w:evenAndOddHeaders/>
  <w:drawingGridHorizontalSpacing w:val="181"/>
  <w:drawingGridVerticalSpacing w:val="181"/>
  <w:characterSpacingControl w:val="compressPunctuation"/>
  <w:savePreviewPicture/>
  <w:footnotePr>
    <w:footnote w:id="-1"/>
    <w:footnote w:id="0"/>
  </w:footnotePr>
  <w:endnotePr>
    <w:endnote w:id="-1"/>
    <w:endnote w:id="0"/>
  </w:endnotePr>
  <w:compat>
    <w:doNotExpandShiftReturn/>
    <w:compatSetting w:name="compatibilityMode" w:uri="http://schemas.microsoft.com/office/word" w:val="12"/>
  </w:compat>
  <w:rsids>
    <w:rsidRoot w:val="00E26EE2"/>
    <w:rsid w:val="002B5EF4"/>
    <w:rsid w:val="0063067C"/>
    <w:rsid w:val="006839F4"/>
    <w:rsid w:val="00A052C8"/>
    <w:rsid w:val="00CC162B"/>
    <w:rsid w:val="00DD4B92"/>
    <w:rsid w:val="00E26EE2"/>
    <w:rsid w:val="00E8565D"/>
    <w:rsid w:val="00F7394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1CCD67-6216-4D42-8F8C-96D831296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urier New" w:eastAsia="Courier New" w:hAnsi="Courier New" w:cs="Courier New"/>
        <w:sz w:val="24"/>
        <w:szCs w:val="24"/>
        <w:lang w:val="lt-LT" w:eastAsia="lt-LT"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rPr>
      <w:color w:val="00000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Hipersaitas">
    <w:name w:val="Hyperlink"/>
    <w:basedOn w:val="Numatytasispastraiposriftas"/>
    <w:rPr>
      <w:color w:val="0066CC"/>
      <w:u w:val="single"/>
    </w:rPr>
  </w:style>
  <w:style w:type="character" w:customStyle="1" w:styleId="Bodytext2">
    <w:name w:val="Body text (2)_"/>
    <w:basedOn w:val="Numatytasispastraiposriftas"/>
    <w:link w:val="Bodytext20"/>
    <w:rPr>
      <w:rFonts w:ascii="Times New Roman" w:eastAsia="Times New Roman" w:hAnsi="Times New Roman" w:cs="Times New Roman"/>
      <w:b/>
      <w:bCs/>
      <w:i w:val="0"/>
      <w:iCs w:val="0"/>
      <w:smallCaps w:val="0"/>
      <w:strike w:val="0"/>
      <w:sz w:val="17"/>
      <w:szCs w:val="17"/>
      <w:u w:val="none"/>
    </w:rPr>
  </w:style>
  <w:style w:type="character" w:customStyle="1" w:styleId="Bodytext21">
    <w:name w:val="Body text (2)"/>
    <w:basedOn w:val="Bodytext2"/>
    <w:rPr>
      <w:rFonts w:ascii="Times New Roman" w:eastAsia="Times New Roman" w:hAnsi="Times New Roman" w:cs="Times New Roman"/>
      <w:b/>
      <w:bCs/>
      <w:i w:val="0"/>
      <w:iCs w:val="0"/>
      <w:smallCaps w:val="0"/>
      <w:strike w:val="0"/>
      <w:color w:val="000000"/>
      <w:spacing w:val="0"/>
      <w:w w:val="100"/>
      <w:position w:val="0"/>
      <w:sz w:val="17"/>
      <w:szCs w:val="17"/>
      <w:u w:val="none"/>
      <w:lang w:val="lt-LT"/>
    </w:rPr>
  </w:style>
  <w:style w:type="character" w:customStyle="1" w:styleId="Heading3">
    <w:name w:val="Heading #3_"/>
    <w:basedOn w:val="Numatytasispastraiposriftas"/>
    <w:link w:val="Heading30"/>
    <w:rPr>
      <w:rFonts w:ascii="Calibri" w:eastAsia="Calibri" w:hAnsi="Calibri" w:cs="Calibri"/>
      <w:b/>
      <w:bCs/>
      <w:i w:val="0"/>
      <w:iCs w:val="0"/>
      <w:smallCaps w:val="0"/>
      <w:strike w:val="0"/>
      <w:sz w:val="27"/>
      <w:szCs w:val="27"/>
      <w:u w:val="none"/>
    </w:rPr>
  </w:style>
  <w:style w:type="character" w:customStyle="1" w:styleId="Heading31">
    <w:name w:val="Heading #3"/>
    <w:basedOn w:val="Heading3"/>
    <w:rPr>
      <w:rFonts w:ascii="Calibri" w:eastAsia="Calibri" w:hAnsi="Calibri" w:cs="Calibri"/>
      <w:b/>
      <w:bCs/>
      <w:i w:val="0"/>
      <w:iCs w:val="0"/>
      <w:smallCaps w:val="0"/>
      <w:strike w:val="0"/>
      <w:color w:val="000000"/>
      <w:spacing w:val="0"/>
      <w:w w:val="100"/>
      <w:position w:val="0"/>
      <w:sz w:val="27"/>
      <w:szCs w:val="27"/>
      <w:u w:val="none"/>
      <w:lang w:val="lt-LT"/>
    </w:rPr>
  </w:style>
  <w:style w:type="character" w:customStyle="1" w:styleId="Bodytext3">
    <w:name w:val="Body text (3)_"/>
    <w:basedOn w:val="Numatytasispastraiposriftas"/>
    <w:link w:val="Bodytext30"/>
    <w:rPr>
      <w:rFonts w:ascii="Calibri" w:eastAsia="Calibri" w:hAnsi="Calibri" w:cs="Calibri"/>
      <w:b w:val="0"/>
      <w:bCs w:val="0"/>
      <w:i w:val="0"/>
      <w:iCs w:val="0"/>
      <w:smallCaps w:val="0"/>
      <w:strike w:val="0"/>
      <w:sz w:val="22"/>
      <w:szCs w:val="22"/>
      <w:u w:val="none"/>
    </w:rPr>
  </w:style>
  <w:style w:type="character" w:customStyle="1" w:styleId="Bodytext31">
    <w:name w:val="Body text (3)"/>
    <w:basedOn w:val="Bodytext3"/>
    <w:rPr>
      <w:rFonts w:ascii="Calibri" w:eastAsia="Calibri" w:hAnsi="Calibri" w:cs="Calibri"/>
      <w:b w:val="0"/>
      <w:bCs w:val="0"/>
      <w:i w:val="0"/>
      <w:iCs w:val="0"/>
      <w:smallCaps w:val="0"/>
      <w:strike w:val="0"/>
      <w:color w:val="000000"/>
      <w:spacing w:val="0"/>
      <w:w w:val="100"/>
      <w:position w:val="0"/>
      <w:sz w:val="22"/>
      <w:szCs w:val="22"/>
      <w:u w:val="none"/>
      <w:lang w:val="lt-LT"/>
    </w:rPr>
  </w:style>
  <w:style w:type="character" w:customStyle="1" w:styleId="Bodytext3Exact">
    <w:name w:val="Body text (3) Exact"/>
    <w:basedOn w:val="Numatytasispastraiposriftas"/>
    <w:rPr>
      <w:rFonts w:ascii="Calibri" w:eastAsia="Calibri" w:hAnsi="Calibri" w:cs="Calibri"/>
      <w:b w:val="0"/>
      <w:bCs w:val="0"/>
      <w:i w:val="0"/>
      <w:iCs w:val="0"/>
      <w:smallCaps w:val="0"/>
      <w:strike w:val="0"/>
      <w:spacing w:val="3"/>
      <w:sz w:val="20"/>
      <w:szCs w:val="20"/>
      <w:u w:val="none"/>
    </w:rPr>
  </w:style>
  <w:style w:type="character" w:customStyle="1" w:styleId="Bodytext3Exact0">
    <w:name w:val="Body text (3) Exact"/>
    <w:basedOn w:val="Bodytext3"/>
    <w:rPr>
      <w:rFonts w:ascii="Calibri" w:eastAsia="Calibri" w:hAnsi="Calibri" w:cs="Calibri"/>
      <w:b w:val="0"/>
      <w:bCs w:val="0"/>
      <w:i w:val="0"/>
      <w:iCs w:val="0"/>
      <w:smallCaps w:val="0"/>
      <w:strike w:val="0"/>
      <w:color w:val="000000"/>
      <w:spacing w:val="3"/>
      <w:w w:val="100"/>
      <w:position w:val="0"/>
      <w:sz w:val="20"/>
      <w:szCs w:val="20"/>
      <w:u w:val="none"/>
      <w:lang w:val="lt-LT"/>
    </w:rPr>
  </w:style>
  <w:style w:type="character" w:customStyle="1" w:styleId="Bodytext3Spacing1pt">
    <w:name w:val="Body text (3) + Spacing 1 pt"/>
    <w:basedOn w:val="Bodytext3"/>
    <w:rPr>
      <w:rFonts w:ascii="Calibri" w:eastAsia="Calibri" w:hAnsi="Calibri" w:cs="Calibri"/>
      <w:b w:val="0"/>
      <w:bCs w:val="0"/>
      <w:i w:val="0"/>
      <w:iCs w:val="0"/>
      <w:smallCaps w:val="0"/>
      <w:strike w:val="0"/>
      <w:color w:val="000000"/>
      <w:spacing w:val="30"/>
      <w:w w:val="100"/>
      <w:position w:val="0"/>
      <w:sz w:val="22"/>
      <w:szCs w:val="22"/>
      <w:u w:val="none"/>
      <w:lang w:val="lt-LT"/>
    </w:rPr>
  </w:style>
  <w:style w:type="character" w:customStyle="1" w:styleId="Bodytext32">
    <w:name w:val="Body text (3)"/>
    <w:basedOn w:val="Bodytext3"/>
    <w:rPr>
      <w:rFonts w:ascii="Calibri" w:eastAsia="Calibri" w:hAnsi="Calibri" w:cs="Calibri"/>
      <w:b w:val="0"/>
      <w:bCs w:val="0"/>
      <w:i w:val="0"/>
      <w:iCs w:val="0"/>
      <w:smallCaps w:val="0"/>
      <w:strike w:val="0"/>
      <w:color w:val="000000"/>
      <w:spacing w:val="0"/>
      <w:w w:val="100"/>
      <w:position w:val="0"/>
      <w:sz w:val="22"/>
      <w:szCs w:val="22"/>
      <w:u w:val="none"/>
      <w:lang w:val="lt-LT"/>
    </w:rPr>
  </w:style>
  <w:style w:type="character" w:customStyle="1" w:styleId="Heading1">
    <w:name w:val="Heading #1_"/>
    <w:basedOn w:val="Numatytasispastraiposriftas"/>
    <w:link w:val="Heading10"/>
    <w:rPr>
      <w:rFonts w:ascii="Constantia" w:eastAsia="Constantia" w:hAnsi="Constantia" w:cs="Constantia"/>
      <w:b w:val="0"/>
      <w:bCs w:val="0"/>
      <w:i w:val="0"/>
      <w:iCs w:val="0"/>
      <w:smallCaps w:val="0"/>
      <w:strike w:val="0"/>
      <w:spacing w:val="-20"/>
      <w:sz w:val="30"/>
      <w:szCs w:val="30"/>
      <w:u w:val="none"/>
    </w:rPr>
  </w:style>
  <w:style w:type="character" w:customStyle="1" w:styleId="Heading1255ptBoldSpacing0pt">
    <w:name w:val="Heading #1 + 25;5 pt;Bold;Spacing 0 pt"/>
    <w:basedOn w:val="Heading1"/>
    <w:rPr>
      <w:rFonts w:ascii="Constantia" w:eastAsia="Constantia" w:hAnsi="Constantia" w:cs="Constantia"/>
      <w:b/>
      <w:bCs/>
      <w:i w:val="0"/>
      <w:iCs w:val="0"/>
      <w:smallCaps w:val="0"/>
      <w:strike w:val="0"/>
      <w:color w:val="000000"/>
      <w:spacing w:val="0"/>
      <w:w w:val="100"/>
      <w:position w:val="0"/>
      <w:sz w:val="51"/>
      <w:szCs w:val="51"/>
      <w:u w:val="single"/>
      <w:lang w:val="lt-LT"/>
    </w:rPr>
  </w:style>
  <w:style w:type="character" w:customStyle="1" w:styleId="Heading11">
    <w:name w:val="Heading #1"/>
    <w:basedOn w:val="Heading1"/>
    <w:rPr>
      <w:rFonts w:ascii="Constantia" w:eastAsia="Constantia" w:hAnsi="Constantia" w:cs="Constantia"/>
      <w:b w:val="0"/>
      <w:bCs w:val="0"/>
      <w:i w:val="0"/>
      <w:iCs w:val="0"/>
      <w:smallCaps w:val="0"/>
      <w:strike w:val="0"/>
      <w:color w:val="000000"/>
      <w:spacing w:val="-20"/>
      <w:w w:val="100"/>
      <w:position w:val="0"/>
      <w:sz w:val="30"/>
      <w:szCs w:val="30"/>
      <w:u w:val="single"/>
      <w:lang w:val="lt-LT"/>
    </w:rPr>
  </w:style>
  <w:style w:type="character" w:customStyle="1" w:styleId="Heading12">
    <w:name w:val="Heading #1"/>
    <w:basedOn w:val="Heading1"/>
    <w:rPr>
      <w:rFonts w:ascii="Constantia" w:eastAsia="Constantia" w:hAnsi="Constantia" w:cs="Constantia"/>
      <w:b w:val="0"/>
      <w:bCs w:val="0"/>
      <w:i w:val="0"/>
      <w:iCs w:val="0"/>
      <w:smallCaps w:val="0"/>
      <w:strike w:val="0"/>
      <w:color w:val="000000"/>
      <w:spacing w:val="-20"/>
      <w:w w:val="100"/>
      <w:position w:val="0"/>
      <w:sz w:val="30"/>
      <w:szCs w:val="30"/>
      <w:u w:val="none"/>
    </w:rPr>
  </w:style>
  <w:style w:type="character" w:customStyle="1" w:styleId="Heading118ptSpacing0pt">
    <w:name w:val="Heading #1 + 18 pt;Spacing 0 pt"/>
    <w:basedOn w:val="Heading1"/>
    <w:rPr>
      <w:rFonts w:ascii="Constantia" w:eastAsia="Constantia" w:hAnsi="Constantia" w:cs="Constantia"/>
      <w:b w:val="0"/>
      <w:bCs w:val="0"/>
      <w:i w:val="0"/>
      <w:iCs w:val="0"/>
      <w:smallCaps w:val="0"/>
      <w:strike/>
      <w:color w:val="000000"/>
      <w:spacing w:val="-10"/>
      <w:w w:val="100"/>
      <w:position w:val="0"/>
      <w:sz w:val="36"/>
      <w:szCs w:val="36"/>
      <w:u w:val="none"/>
      <w:lang w:val="lt-LT"/>
    </w:rPr>
  </w:style>
  <w:style w:type="character" w:customStyle="1" w:styleId="Heading2">
    <w:name w:val="Heading #2_"/>
    <w:basedOn w:val="Numatytasispastraiposriftas"/>
    <w:link w:val="Heading20"/>
    <w:rPr>
      <w:rFonts w:ascii="Constantia" w:eastAsia="Constantia" w:hAnsi="Constantia" w:cs="Constantia"/>
      <w:b/>
      <w:bCs/>
      <w:i w:val="0"/>
      <w:iCs w:val="0"/>
      <w:smallCaps w:val="0"/>
      <w:strike w:val="0"/>
      <w:spacing w:val="70"/>
      <w:sz w:val="27"/>
      <w:szCs w:val="27"/>
      <w:u w:val="none"/>
    </w:rPr>
  </w:style>
  <w:style w:type="character" w:customStyle="1" w:styleId="Heading21">
    <w:name w:val="Heading #2"/>
    <w:basedOn w:val="Heading2"/>
    <w:rPr>
      <w:rFonts w:ascii="Constantia" w:eastAsia="Constantia" w:hAnsi="Constantia" w:cs="Constantia"/>
      <w:b/>
      <w:bCs/>
      <w:i w:val="0"/>
      <w:iCs w:val="0"/>
      <w:smallCaps w:val="0"/>
      <w:strike w:val="0"/>
      <w:color w:val="000000"/>
      <w:spacing w:val="70"/>
      <w:w w:val="100"/>
      <w:position w:val="0"/>
      <w:sz w:val="27"/>
      <w:szCs w:val="27"/>
      <w:u w:val="none"/>
      <w:lang w:val="lt-LT"/>
    </w:rPr>
  </w:style>
  <w:style w:type="character" w:customStyle="1" w:styleId="Bodytext33">
    <w:name w:val="Body text (3)"/>
    <w:basedOn w:val="Bodytext3"/>
    <w:rPr>
      <w:rFonts w:ascii="Calibri" w:eastAsia="Calibri" w:hAnsi="Calibri" w:cs="Calibri"/>
      <w:b w:val="0"/>
      <w:bCs w:val="0"/>
      <w:i w:val="0"/>
      <w:iCs w:val="0"/>
      <w:smallCaps w:val="0"/>
      <w:strike w:val="0"/>
      <w:color w:val="000000"/>
      <w:spacing w:val="0"/>
      <w:w w:val="100"/>
      <w:position w:val="0"/>
      <w:sz w:val="22"/>
      <w:szCs w:val="22"/>
      <w:u w:val="single"/>
      <w:lang w:val="lt-LT"/>
    </w:rPr>
  </w:style>
  <w:style w:type="character" w:customStyle="1" w:styleId="Bodytext34">
    <w:name w:val="Body text (3)"/>
    <w:basedOn w:val="Bodytext3"/>
    <w:rPr>
      <w:rFonts w:ascii="Calibri" w:eastAsia="Calibri" w:hAnsi="Calibri" w:cs="Calibri"/>
      <w:b w:val="0"/>
      <w:bCs w:val="0"/>
      <w:i w:val="0"/>
      <w:iCs w:val="0"/>
      <w:smallCaps w:val="0"/>
      <w:strike w:val="0"/>
      <w:color w:val="000000"/>
      <w:spacing w:val="0"/>
      <w:w w:val="100"/>
      <w:position w:val="0"/>
      <w:sz w:val="22"/>
      <w:szCs w:val="22"/>
      <w:u w:val="none"/>
    </w:rPr>
  </w:style>
  <w:style w:type="character" w:customStyle="1" w:styleId="Bodytext4">
    <w:name w:val="Body text (4)_"/>
    <w:basedOn w:val="Numatytasispastraiposriftas"/>
    <w:link w:val="Bodytext40"/>
    <w:rPr>
      <w:rFonts w:ascii="Calibri" w:eastAsia="Calibri" w:hAnsi="Calibri" w:cs="Calibri"/>
      <w:b w:val="0"/>
      <w:bCs w:val="0"/>
      <w:i w:val="0"/>
      <w:iCs w:val="0"/>
      <w:smallCaps w:val="0"/>
      <w:strike w:val="0"/>
      <w:sz w:val="61"/>
      <w:szCs w:val="61"/>
      <w:u w:val="none"/>
    </w:rPr>
  </w:style>
  <w:style w:type="character" w:customStyle="1" w:styleId="Bodytext41">
    <w:name w:val="Body text (4)"/>
    <w:basedOn w:val="Bodytext4"/>
    <w:rPr>
      <w:rFonts w:ascii="Calibri" w:eastAsia="Calibri" w:hAnsi="Calibri" w:cs="Calibri"/>
      <w:b w:val="0"/>
      <w:bCs w:val="0"/>
      <w:i w:val="0"/>
      <w:iCs w:val="0"/>
      <w:smallCaps w:val="0"/>
      <w:strike w:val="0"/>
      <w:color w:val="000000"/>
      <w:spacing w:val="0"/>
      <w:w w:val="100"/>
      <w:position w:val="0"/>
      <w:sz w:val="61"/>
      <w:szCs w:val="61"/>
      <w:u w:val="none"/>
    </w:rPr>
  </w:style>
  <w:style w:type="character" w:customStyle="1" w:styleId="Bodytext3Italic">
    <w:name w:val="Body text (3) + Italic"/>
    <w:basedOn w:val="Bodytext3"/>
    <w:rPr>
      <w:rFonts w:ascii="Calibri" w:eastAsia="Calibri" w:hAnsi="Calibri" w:cs="Calibri"/>
      <w:b w:val="0"/>
      <w:bCs w:val="0"/>
      <w:i/>
      <w:iCs/>
      <w:smallCaps w:val="0"/>
      <w:strike w:val="0"/>
      <w:color w:val="000000"/>
      <w:spacing w:val="0"/>
      <w:w w:val="100"/>
      <w:position w:val="0"/>
      <w:sz w:val="22"/>
      <w:szCs w:val="22"/>
      <w:u w:val="none"/>
      <w:lang w:val="lt-LT"/>
    </w:rPr>
  </w:style>
  <w:style w:type="character" w:customStyle="1" w:styleId="Bodytext5">
    <w:name w:val="Body text (5)_"/>
    <w:basedOn w:val="Numatytasispastraiposriftas"/>
    <w:link w:val="Bodytext50"/>
    <w:rPr>
      <w:rFonts w:ascii="Calibri" w:eastAsia="Calibri" w:hAnsi="Calibri" w:cs="Calibri"/>
      <w:b/>
      <w:bCs/>
      <w:i w:val="0"/>
      <w:iCs w:val="0"/>
      <w:smallCaps w:val="0"/>
      <w:strike w:val="0"/>
      <w:sz w:val="22"/>
      <w:szCs w:val="22"/>
      <w:u w:val="none"/>
    </w:rPr>
  </w:style>
  <w:style w:type="character" w:customStyle="1" w:styleId="Bodytext5NotBold">
    <w:name w:val="Body text (5) + Not Bold"/>
    <w:basedOn w:val="Bodytext5"/>
    <w:rPr>
      <w:rFonts w:ascii="Calibri" w:eastAsia="Calibri" w:hAnsi="Calibri" w:cs="Calibri"/>
      <w:b/>
      <w:bCs/>
      <w:i w:val="0"/>
      <w:iCs w:val="0"/>
      <w:smallCaps w:val="0"/>
      <w:strike w:val="0"/>
      <w:color w:val="000000"/>
      <w:spacing w:val="0"/>
      <w:w w:val="100"/>
      <w:position w:val="0"/>
      <w:sz w:val="22"/>
      <w:szCs w:val="22"/>
      <w:u w:val="none"/>
      <w:lang w:val="lt-LT"/>
    </w:rPr>
  </w:style>
  <w:style w:type="character" w:customStyle="1" w:styleId="Bodytext51">
    <w:name w:val="Body text (5)"/>
    <w:basedOn w:val="Bodytext5"/>
    <w:rPr>
      <w:rFonts w:ascii="Calibri" w:eastAsia="Calibri" w:hAnsi="Calibri" w:cs="Calibri"/>
      <w:b/>
      <w:bCs/>
      <w:i w:val="0"/>
      <w:iCs w:val="0"/>
      <w:smallCaps w:val="0"/>
      <w:strike w:val="0"/>
      <w:color w:val="000000"/>
      <w:spacing w:val="0"/>
      <w:w w:val="100"/>
      <w:position w:val="0"/>
      <w:sz w:val="22"/>
      <w:szCs w:val="22"/>
      <w:u w:val="none"/>
      <w:lang w:val="lt-LT"/>
    </w:rPr>
  </w:style>
  <w:style w:type="character" w:customStyle="1" w:styleId="Bodytext">
    <w:name w:val="Body text_"/>
    <w:basedOn w:val="Numatytasispastraiposriftas"/>
    <w:link w:val="Pagrindinistekstas5"/>
    <w:rPr>
      <w:rFonts w:ascii="Times New Roman" w:eastAsia="Times New Roman" w:hAnsi="Times New Roman" w:cs="Times New Roman"/>
      <w:b w:val="0"/>
      <w:bCs w:val="0"/>
      <w:i w:val="0"/>
      <w:iCs w:val="0"/>
      <w:smallCaps w:val="0"/>
      <w:strike w:val="0"/>
      <w:sz w:val="22"/>
      <w:szCs w:val="22"/>
      <w:u w:val="none"/>
    </w:rPr>
  </w:style>
  <w:style w:type="character" w:customStyle="1" w:styleId="Pagrindinistekstas1">
    <w:name w:val="Pagrindinis tekstas1"/>
    <w:basedOn w:val="Bodytex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t-LT"/>
    </w:rPr>
  </w:style>
  <w:style w:type="character" w:customStyle="1" w:styleId="BodytextCalibriBold">
    <w:name w:val="Body text + Calibri;Bold"/>
    <w:basedOn w:val="Bodytext"/>
    <w:rPr>
      <w:rFonts w:ascii="Calibri" w:eastAsia="Calibri" w:hAnsi="Calibri" w:cs="Calibri"/>
      <w:b/>
      <w:bCs/>
      <w:i w:val="0"/>
      <w:iCs w:val="0"/>
      <w:smallCaps w:val="0"/>
      <w:strike w:val="0"/>
      <w:color w:val="000000"/>
      <w:spacing w:val="0"/>
      <w:w w:val="100"/>
      <w:position w:val="0"/>
      <w:sz w:val="22"/>
      <w:szCs w:val="22"/>
      <w:u w:val="none"/>
      <w:lang w:val="lt-LT"/>
    </w:rPr>
  </w:style>
  <w:style w:type="character" w:customStyle="1" w:styleId="BodytextItalic">
    <w:name w:val="Body text + Italic"/>
    <w:basedOn w:val="Bodytext"/>
    <w:rPr>
      <w:rFonts w:ascii="Times New Roman" w:eastAsia="Times New Roman" w:hAnsi="Times New Roman" w:cs="Times New Roman"/>
      <w:b w:val="0"/>
      <w:bCs w:val="0"/>
      <w:i/>
      <w:iCs/>
      <w:smallCaps w:val="0"/>
      <w:strike w:val="0"/>
      <w:color w:val="000000"/>
      <w:spacing w:val="0"/>
      <w:w w:val="100"/>
      <w:position w:val="0"/>
      <w:sz w:val="22"/>
      <w:szCs w:val="22"/>
      <w:u w:val="none"/>
      <w:lang w:val="lt-LT"/>
    </w:rPr>
  </w:style>
  <w:style w:type="character" w:customStyle="1" w:styleId="BodytextCalibri115pt">
    <w:name w:val="Body text + Calibri;11;5 pt"/>
    <w:basedOn w:val="Bodytext"/>
    <w:rPr>
      <w:rFonts w:ascii="Calibri" w:eastAsia="Calibri" w:hAnsi="Calibri" w:cs="Calibri"/>
      <w:b w:val="0"/>
      <w:bCs w:val="0"/>
      <w:i w:val="0"/>
      <w:iCs w:val="0"/>
      <w:smallCaps w:val="0"/>
      <w:strike w:val="0"/>
      <w:color w:val="000000"/>
      <w:spacing w:val="0"/>
      <w:w w:val="100"/>
      <w:position w:val="0"/>
      <w:sz w:val="23"/>
      <w:szCs w:val="23"/>
      <w:u w:val="none"/>
    </w:rPr>
  </w:style>
  <w:style w:type="character" w:customStyle="1" w:styleId="BodytextItalic0">
    <w:name w:val="Body text + Italic"/>
    <w:basedOn w:val="Bodytext"/>
    <w:rPr>
      <w:rFonts w:ascii="Times New Roman" w:eastAsia="Times New Roman" w:hAnsi="Times New Roman" w:cs="Times New Roman"/>
      <w:b w:val="0"/>
      <w:bCs w:val="0"/>
      <w:i/>
      <w:iCs/>
      <w:smallCaps w:val="0"/>
      <w:strike w:val="0"/>
      <w:color w:val="000000"/>
      <w:spacing w:val="0"/>
      <w:w w:val="100"/>
      <w:position w:val="0"/>
      <w:sz w:val="22"/>
      <w:szCs w:val="22"/>
      <w:u w:val="single"/>
      <w:lang w:val="lt-LT"/>
    </w:rPr>
  </w:style>
  <w:style w:type="character" w:customStyle="1" w:styleId="BodytextItalic1">
    <w:name w:val="Body text + Italic"/>
    <w:basedOn w:val="Bodytext"/>
    <w:rPr>
      <w:rFonts w:ascii="Times New Roman" w:eastAsia="Times New Roman" w:hAnsi="Times New Roman" w:cs="Times New Roman"/>
      <w:b w:val="0"/>
      <w:bCs w:val="0"/>
      <w:i/>
      <w:iCs/>
      <w:smallCaps w:val="0"/>
      <w:strike w:val="0"/>
      <w:color w:val="000000"/>
      <w:spacing w:val="0"/>
      <w:w w:val="100"/>
      <w:position w:val="0"/>
      <w:sz w:val="22"/>
      <w:szCs w:val="22"/>
      <w:u w:val="none"/>
    </w:rPr>
  </w:style>
  <w:style w:type="character" w:customStyle="1" w:styleId="BodytextItalic2">
    <w:name w:val="Body text + Italic"/>
    <w:basedOn w:val="Bodytext"/>
    <w:rPr>
      <w:rFonts w:ascii="Times New Roman" w:eastAsia="Times New Roman" w:hAnsi="Times New Roman" w:cs="Times New Roman"/>
      <w:b w:val="0"/>
      <w:bCs w:val="0"/>
      <w:i/>
      <w:iCs/>
      <w:smallCaps w:val="0"/>
      <w:strike w:val="0"/>
      <w:color w:val="000000"/>
      <w:spacing w:val="0"/>
      <w:w w:val="100"/>
      <w:position w:val="0"/>
      <w:sz w:val="22"/>
      <w:szCs w:val="22"/>
      <w:u w:val="single"/>
      <w:lang w:val="lt-LT"/>
    </w:rPr>
  </w:style>
  <w:style w:type="character" w:customStyle="1" w:styleId="BodytextItalic3">
    <w:name w:val="Body text + Italic"/>
    <w:basedOn w:val="Bodytext"/>
    <w:rPr>
      <w:rFonts w:ascii="Times New Roman" w:eastAsia="Times New Roman" w:hAnsi="Times New Roman" w:cs="Times New Roman"/>
      <w:b w:val="0"/>
      <w:bCs w:val="0"/>
      <w:i/>
      <w:iCs/>
      <w:smallCaps w:val="0"/>
      <w:strike w:val="0"/>
      <w:color w:val="000000"/>
      <w:spacing w:val="0"/>
      <w:w w:val="100"/>
      <w:position w:val="0"/>
      <w:sz w:val="22"/>
      <w:szCs w:val="22"/>
      <w:u w:val="none"/>
      <w:lang w:val="lt-LT"/>
    </w:rPr>
  </w:style>
  <w:style w:type="character" w:customStyle="1" w:styleId="BodytextCalibri">
    <w:name w:val="Body text + Calibri"/>
    <w:basedOn w:val="Bodytext"/>
    <w:rPr>
      <w:rFonts w:ascii="Calibri" w:eastAsia="Calibri" w:hAnsi="Calibri" w:cs="Calibri"/>
      <w:b w:val="0"/>
      <w:bCs w:val="0"/>
      <w:i w:val="0"/>
      <w:iCs w:val="0"/>
      <w:smallCaps w:val="0"/>
      <w:strike w:val="0"/>
      <w:color w:val="000000"/>
      <w:spacing w:val="0"/>
      <w:w w:val="100"/>
      <w:position w:val="0"/>
      <w:sz w:val="22"/>
      <w:szCs w:val="22"/>
      <w:u w:val="none"/>
      <w:lang w:val="lt-LT"/>
    </w:rPr>
  </w:style>
  <w:style w:type="character" w:customStyle="1" w:styleId="Heading5">
    <w:name w:val="Heading #5_"/>
    <w:basedOn w:val="Numatytasispastraiposriftas"/>
    <w:link w:val="Heading50"/>
    <w:rPr>
      <w:rFonts w:ascii="Calibri" w:eastAsia="Calibri" w:hAnsi="Calibri" w:cs="Calibri"/>
      <w:b/>
      <w:bCs/>
      <w:i w:val="0"/>
      <w:iCs w:val="0"/>
      <w:smallCaps w:val="0"/>
      <w:strike w:val="0"/>
      <w:sz w:val="22"/>
      <w:szCs w:val="22"/>
      <w:u w:val="none"/>
    </w:rPr>
  </w:style>
  <w:style w:type="character" w:customStyle="1" w:styleId="Heading51">
    <w:name w:val="Heading #5"/>
    <w:basedOn w:val="Heading5"/>
    <w:rPr>
      <w:rFonts w:ascii="Calibri" w:eastAsia="Calibri" w:hAnsi="Calibri" w:cs="Calibri"/>
      <w:b/>
      <w:bCs/>
      <w:i w:val="0"/>
      <w:iCs w:val="0"/>
      <w:smallCaps w:val="0"/>
      <w:strike w:val="0"/>
      <w:color w:val="000000"/>
      <w:spacing w:val="0"/>
      <w:w w:val="100"/>
      <w:position w:val="0"/>
      <w:sz w:val="22"/>
      <w:szCs w:val="22"/>
      <w:u w:val="none"/>
      <w:lang w:val="lt-LT"/>
    </w:rPr>
  </w:style>
  <w:style w:type="character" w:customStyle="1" w:styleId="Pagrindinistekstas2">
    <w:name w:val="Pagrindinis tekstas2"/>
    <w:basedOn w:val="Bodytex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t-LT"/>
    </w:rPr>
  </w:style>
  <w:style w:type="character" w:customStyle="1" w:styleId="Pagrindinistekstas3">
    <w:name w:val="Pagrindinis tekstas3"/>
    <w:basedOn w:val="Bodytex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t-LT"/>
    </w:rPr>
  </w:style>
  <w:style w:type="character" w:customStyle="1" w:styleId="BodytextBold">
    <w:name w:val="Body text + Bold"/>
    <w:basedOn w:val="Bodytext"/>
    <w:rPr>
      <w:rFonts w:ascii="Times New Roman" w:eastAsia="Times New Roman" w:hAnsi="Times New Roman" w:cs="Times New Roman"/>
      <w:b/>
      <w:bCs/>
      <w:i w:val="0"/>
      <w:iCs w:val="0"/>
      <w:smallCaps w:val="0"/>
      <w:strike w:val="0"/>
      <w:color w:val="000000"/>
      <w:spacing w:val="0"/>
      <w:w w:val="100"/>
      <w:position w:val="0"/>
      <w:sz w:val="22"/>
      <w:szCs w:val="22"/>
      <w:u w:val="none"/>
      <w:lang w:val="lt-LT"/>
    </w:rPr>
  </w:style>
  <w:style w:type="character" w:customStyle="1" w:styleId="Pagrindinistekstas4">
    <w:name w:val="Pagrindinis tekstas4"/>
    <w:basedOn w:val="Bodytex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lt-LT"/>
    </w:rPr>
  </w:style>
  <w:style w:type="character" w:customStyle="1" w:styleId="Heading4">
    <w:name w:val="Heading #4_"/>
    <w:basedOn w:val="Numatytasispastraiposriftas"/>
    <w:link w:val="Heading40"/>
    <w:rPr>
      <w:rFonts w:ascii="Calibri" w:eastAsia="Calibri" w:hAnsi="Calibri" w:cs="Calibri"/>
      <w:b/>
      <w:bCs/>
      <w:i w:val="0"/>
      <w:iCs w:val="0"/>
      <w:smallCaps w:val="0"/>
      <w:strike w:val="0"/>
      <w:sz w:val="22"/>
      <w:szCs w:val="22"/>
      <w:u w:val="none"/>
    </w:rPr>
  </w:style>
  <w:style w:type="character" w:customStyle="1" w:styleId="Heading41">
    <w:name w:val="Heading #4"/>
    <w:basedOn w:val="Heading4"/>
    <w:rPr>
      <w:rFonts w:ascii="Calibri" w:eastAsia="Calibri" w:hAnsi="Calibri" w:cs="Calibri"/>
      <w:b/>
      <w:bCs/>
      <w:i w:val="0"/>
      <w:iCs w:val="0"/>
      <w:smallCaps w:val="0"/>
      <w:strike w:val="0"/>
      <w:color w:val="000000"/>
      <w:spacing w:val="0"/>
      <w:w w:val="100"/>
      <w:position w:val="0"/>
      <w:sz w:val="22"/>
      <w:szCs w:val="22"/>
      <w:u w:val="none"/>
      <w:lang w:val="lt-LT"/>
    </w:rPr>
  </w:style>
  <w:style w:type="character" w:customStyle="1" w:styleId="Bodytext6">
    <w:name w:val="Body text (6)_"/>
    <w:basedOn w:val="Numatytasispastraiposriftas"/>
    <w:link w:val="Bodytext60"/>
    <w:rPr>
      <w:rFonts w:ascii="Times New Roman" w:eastAsia="Times New Roman" w:hAnsi="Times New Roman" w:cs="Times New Roman"/>
      <w:b/>
      <w:bCs/>
      <w:i w:val="0"/>
      <w:iCs w:val="0"/>
      <w:smallCaps w:val="0"/>
      <w:strike w:val="0"/>
      <w:sz w:val="22"/>
      <w:szCs w:val="22"/>
      <w:u w:val="none"/>
    </w:rPr>
  </w:style>
  <w:style w:type="character" w:customStyle="1" w:styleId="Bodytext61">
    <w:name w:val="Body text (6)"/>
    <w:basedOn w:val="Bodytext6"/>
    <w:rPr>
      <w:rFonts w:ascii="Times New Roman" w:eastAsia="Times New Roman" w:hAnsi="Times New Roman" w:cs="Times New Roman"/>
      <w:b/>
      <w:bCs/>
      <w:i w:val="0"/>
      <w:iCs w:val="0"/>
      <w:smallCaps w:val="0"/>
      <w:strike w:val="0"/>
      <w:color w:val="000000"/>
      <w:spacing w:val="0"/>
      <w:w w:val="100"/>
      <w:position w:val="0"/>
      <w:sz w:val="22"/>
      <w:szCs w:val="22"/>
      <w:u w:val="none"/>
      <w:lang w:val="lt-LT"/>
    </w:rPr>
  </w:style>
  <w:style w:type="paragraph" w:customStyle="1" w:styleId="Bodytext20">
    <w:name w:val="Body text (2)"/>
    <w:basedOn w:val="prastasis"/>
    <w:link w:val="Bodytext2"/>
    <w:pPr>
      <w:shd w:val="clear" w:color="auto" w:fill="FFFFFF"/>
      <w:spacing w:line="206" w:lineRule="exact"/>
    </w:pPr>
    <w:rPr>
      <w:rFonts w:ascii="Times New Roman" w:eastAsia="Times New Roman" w:hAnsi="Times New Roman" w:cs="Times New Roman"/>
      <w:b/>
      <w:bCs/>
      <w:sz w:val="17"/>
      <w:szCs w:val="17"/>
    </w:rPr>
  </w:style>
  <w:style w:type="paragraph" w:customStyle="1" w:styleId="Heading30">
    <w:name w:val="Heading #3"/>
    <w:basedOn w:val="prastasis"/>
    <w:link w:val="Heading3"/>
    <w:pPr>
      <w:shd w:val="clear" w:color="auto" w:fill="FFFFFF"/>
      <w:spacing w:after="240" w:line="0" w:lineRule="atLeast"/>
      <w:outlineLvl w:val="2"/>
    </w:pPr>
    <w:rPr>
      <w:rFonts w:ascii="Calibri" w:eastAsia="Calibri" w:hAnsi="Calibri" w:cs="Calibri"/>
      <w:b/>
      <w:bCs/>
      <w:sz w:val="27"/>
      <w:szCs w:val="27"/>
    </w:rPr>
  </w:style>
  <w:style w:type="paragraph" w:customStyle="1" w:styleId="Bodytext30">
    <w:name w:val="Body text (3)"/>
    <w:basedOn w:val="prastasis"/>
    <w:link w:val="Bodytext3"/>
    <w:pPr>
      <w:shd w:val="clear" w:color="auto" w:fill="FFFFFF"/>
      <w:spacing w:before="240" w:line="0" w:lineRule="atLeast"/>
    </w:pPr>
    <w:rPr>
      <w:rFonts w:ascii="Calibri" w:eastAsia="Calibri" w:hAnsi="Calibri" w:cs="Calibri"/>
      <w:sz w:val="22"/>
      <w:szCs w:val="22"/>
    </w:rPr>
  </w:style>
  <w:style w:type="paragraph" w:customStyle="1" w:styleId="Heading10">
    <w:name w:val="Heading #1"/>
    <w:basedOn w:val="prastasis"/>
    <w:link w:val="Heading1"/>
    <w:pPr>
      <w:shd w:val="clear" w:color="auto" w:fill="FFFFFF"/>
      <w:spacing w:after="120" w:line="672" w:lineRule="exact"/>
      <w:ind w:firstLine="2140"/>
      <w:outlineLvl w:val="0"/>
    </w:pPr>
    <w:rPr>
      <w:rFonts w:ascii="Constantia" w:eastAsia="Constantia" w:hAnsi="Constantia" w:cs="Constantia"/>
      <w:spacing w:val="-20"/>
      <w:sz w:val="30"/>
      <w:szCs w:val="30"/>
    </w:rPr>
  </w:style>
  <w:style w:type="paragraph" w:customStyle="1" w:styleId="Heading20">
    <w:name w:val="Heading #2"/>
    <w:basedOn w:val="prastasis"/>
    <w:link w:val="Heading2"/>
    <w:pPr>
      <w:shd w:val="clear" w:color="auto" w:fill="FFFFFF"/>
      <w:spacing w:before="120" w:line="307" w:lineRule="exact"/>
      <w:jc w:val="center"/>
      <w:outlineLvl w:val="1"/>
    </w:pPr>
    <w:rPr>
      <w:rFonts w:ascii="Constantia" w:eastAsia="Constantia" w:hAnsi="Constantia" w:cs="Constantia"/>
      <w:b/>
      <w:bCs/>
      <w:spacing w:val="70"/>
      <w:sz w:val="27"/>
      <w:szCs w:val="27"/>
    </w:rPr>
  </w:style>
  <w:style w:type="paragraph" w:customStyle="1" w:styleId="Bodytext40">
    <w:name w:val="Body text (4)"/>
    <w:basedOn w:val="prastasis"/>
    <w:link w:val="Bodytext4"/>
    <w:pPr>
      <w:shd w:val="clear" w:color="auto" w:fill="FFFFFF"/>
      <w:spacing w:before="780" w:line="0" w:lineRule="atLeast"/>
    </w:pPr>
    <w:rPr>
      <w:rFonts w:ascii="Calibri" w:eastAsia="Calibri" w:hAnsi="Calibri" w:cs="Calibri"/>
      <w:sz w:val="61"/>
      <w:szCs w:val="61"/>
    </w:rPr>
  </w:style>
  <w:style w:type="paragraph" w:customStyle="1" w:styleId="Bodytext50">
    <w:name w:val="Body text (5)"/>
    <w:basedOn w:val="prastasis"/>
    <w:link w:val="Bodytext5"/>
    <w:pPr>
      <w:shd w:val="clear" w:color="auto" w:fill="FFFFFF"/>
      <w:spacing w:before="120" w:line="288" w:lineRule="exact"/>
      <w:jc w:val="both"/>
    </w:pPr>
    <w:rPr>
      <w:rFonts w:ascii="Calibri" w:eastAsia="Calibri" w:hAnsi="Calibri" w:cs="Calibri"/>
      <w:b/>
      <w:bCs/>
      <w:sz w:val="22"/>
      <w:szCs w:val="22"/>
    </w:rPr>
  </w:style>
  <w:style w:type="paragraph" w:customStyle="1" w:styleId="Pagrindinistekstas5">
    <w:name w:val="Pagrindinis tekstas5"/>
    <w:basedOn w:val="prastasis"/>
    <w:link w:val="Bodytext"/>
    <w:pPr>
      <w:shd w:val="clear" w:color="auto" w:fill="FFFFFF"/>
      <w:spacing w:before="120" w:line="274" w:lineRule="exact"/>
      <w:jc w:val="both"/>
    </w:pPr>
    <w:rPr>
      <w:rFonts w:ascii="Times New Roman" w:eastAsia="Times New Roman" w:hAnsi="Times New Roman" w:cs="Times New Roman"/>
      <w:sz w:val="22"/>
      <w:szCs w:val="22"/>
    </w:rPr>
  </w:style>
  <w:style w:type="paragraph" w:customStyle="1" w:styleId="Heading50">
    <w:name w:val="Heading #5"/>
    <w:basedOn w:val="prastasis"/>
    <w:link w:val="Heading5"/>
    <w:pPr>
      <w:shd w:val="clear" w:color="auto" w:fill="FFFFFF"/>
      <w:spacing w:before="240" w:line="274" w:lineRule="exact"/>
      <w:jc w:val="both"/>
      <w:outlineLvl w:val="4"/>
    </w:pPr>
    <w:rPr>
      <w:rFonts w:ascii="Calibri" w:eastAsia="Calibri" w:hAnsi="Calibri" w:cs="Calibri"/>
      <w:b/>
      <w:bCs/>
      <w:sz w:val="22"/>
      <w:szCs w:val="22"/>
    </w:rPr>
  </w:style>
  <w:style w:type="paragraph" w:customStyle="1" w:styleId="Heading40">
    <w:name w:val="Heading #4"/>
    <w:basedOn w:val="prastasis"/>
    <w:link w:val="Heading4"/>
    <w:pPr>
      <w:shd w:val="clear" w:color="auto" w:fill="FFFFFF"/>
      <w:spacing w:before="120" w:after="360" w:line="0" w:lineRule="atLeast"/>
      <w:jc w:val="center"/>
      <w:outlineLvl w:val="3"/>
    </w:pPr>
    <w:rPr>
      <w:rFonts w:ascii="Calibri" w:eastAsia="Calibri" w:hAnsi="Calibri" w:cs="Calibri"/>
      <w:b/>
      <w:bCs/>
      <w:sz w:val="22"/>
      <w:szCs w:val="22"/>
    </w:rPr>
  </w:style>
  <w:style w:type="paragraph" w:customStyle="1" w:styleId="Bodytext60">
    <w:name w:val="Body text (6)"/>
    <w:basedOn w:val="prastasis"/>
    <w:link w:val="Bodytext6"/>
    <w:pPr>
      <w:shd w:val="clear" w:color="auto" w:fill="FFFFFF"/>
      <w:spacing w:before="540" w:line="0" w:lineRule="atLeast"/>
      <w:jc w:val="both"/>
    </w:pPr>
    <w:rPr>
      <w:rFonts w:ascii="Times New Roman" w:eastAsia="Times New Roman" w:hAnsi="Times New Roman" w:cs="Times New Roman"/>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12" Type="http://schemas.openxmlformats.org/officeDocument/2006/relationships/customXml" Target="../customXml/item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as" ma:contentTypeID="0x010100147D90CBC16D234CA619BBDEA3061AC4" ma:contentTypeVersion="1" ma:contentTypeDescription="Kurkite naują dokumentą." ma:contentTypeScope="" ma:versionID="a6d6312ad059faab99d9e01f97183c19">
  <xsd:schema xmlns:xsd="http://www.w3.org/2001/XMLSchema" xmlns:xs="http://www.w3.org/2001/XMLSchema" xmlns:p="http://schemas.microsoft.com/office/2006/metadata/properties" xmlns:ns2="28130d43-1b56-4a10-ad88-2cd38123f4c1" targetNamespace="http://schemas.microsoft.com/office/2006/metadata/properties" ma:root="true" ma:fieldsID="28535331f7f19f408e5e49ec73000621" ns2:_="">
    <xsd:import namespace="28130d43-1b56-4a10-ad88-2cd38123f4c1"/>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130d43-1b56-4a10-ad88-2cd38123f4c1" elementFormDefault="qualified">
    <xsd:import namespace="http://schemas.microsoft.com/office/2006/documentManagement/types"/>
    <xsd:import namespace="http://schemas.microsoft.com/office/infopath/2007/PartnerControls"/>
    <xsd:element name="_dlc_DocId" ma:index="8" nillable="true" ma:displayName="Dokumento ID reikšmė" ma:description="Dokumento ID reikšmė, priskirta šiam elementui." ma:internalName="_dlc_DocId" ma:readOnly="true">
      <xsd:simpleType>
        <xsd:restriction base="dms:Text"/>
      </xsd:simpleType>
    </xsd:element>
    <xsd:element name="_dlc_DocIdUrl" ma:index="9" nillable="true" ma:displayName="Dokumento ID" ma:description="Nuolatinis saitas į šį dokumentą."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28130d43-1b56-4a10-ad88-2cd38123f4c1">Z6YWEJNPDQQR-896559167-371</_dlc_DocId>
    <_dlc_DocIdUrl xmlns="28130d43-1b56-4a10-ad88-2cd38123f4c1">
      <Url>https://intranetas.lrs.lt/29/_layouts/15/DocIdRedir.aspx?ID=Z6YWEJNPDQQR-896559167-371</Url>
      <Description>Z6YWEJNPDQQR-896559167-371</Description>
    </_dlc_DocIdUrl>
  </documentManagement>
</p:properties>
</file>

<file path=customXml/itemProps1.xml><?xml version="1.0" encoding="utf-8"?>
<ds:datastoreItem xmlns:ds="http://schemas.openxmlformats.org/officeDocument/2006/customXml" ds:itemID="{FE6C5989-44A9-4447-9CD3-3864EECA851E}"/>
</file>

<file path=customXml/itemProps2.xml><?xml version="1.0" encoding="utf-8"?>
<ds:datastoreItem xmlns:ds="http://schemas.openxmlformats.org/officeDocument/2006/customXml" ds:itemID="{2D045023-B2D7-4A90-97F6-139DFA39FBEB}"/>
</file>

<file path=customXml/itemProps3.xml><?xml version="1.0" encoding="utf-8"?>
<ds:datastoreItem xmlns:ds="http://schemas.openxmlformats.org/officeDocument/2006/customXml" ds:itemID="{FD12B66C-5A34-4AD2-BAF8-730B2EBDD332}"/>
</file>

<file path=customXml/itemProps4.xml><?xml version="1.0" encoding="utf-8"?>
<ds:datastoreItem xmlns:ds="http://schemas.openxmlformats.org/officeDocument/2006/customXml" ds:itemID="{6145495E-1805-4378-B940-9C39ED99E587}"/>
</file>

<file path=docProps/app.xml><?xml version="1.0" encoding="utf-8"?>
<Properties xmlns="http://schemas.openxmlformats.org/officeDocument/2006/extended-properties" xmlns:vt="http://schemas.openxmlformats.org/officeDocument/2006/docPropsVTypes">
  <Template>Normal.dotm</Template>
  <TotalTime>1</TotalTime>
  <Pages>4</Pages>
  <Words>8436</Words>
  <Characters>4809</Characters>
  <Application>Microsoft Office Word</Application>
  <DocSecurity>0</DocSecurity>
  <Lines>40</Lines>
  <Paragraphs>26</Paragraphs>
  <ScaleCrop>false</ScaleCrop>
  <HeadingPairs>
    <vt:vector size="4" baseType="variant">
      <vt:variant>
        <vt:lpstr>Pavadinimas</vt:lpstr>
      </vt:variant>
      <vt:variant>
        <vt:i4>1</vt:i4>
      </vt:variant>
      <vt:variant>
        <vt:lpstr>Antraštės</vt:lpstr>
      </vt:variant>
      <vt:variant>
        <vt:i4>2</vt:i4>
      </vt:variant>
    </vt:vector>
  </HeadingPairs>
  <TitlesOfParts>
    <vt:vector size="3" baseType="lpstr">
      <vt:lpstr/>
      <vt:lpstr>        LIETUVOS RESPUBLIKOS SEIMO PETICIJŲ KOMISIJAI</vt:lpstr>
      <vt:lpstr>    PETICIJA</vt:lpstr>
    </vt:vector>
  </TitlesOfParts>
  <Company/>
  <LinksUpToDate>false</LinksUpToDate>
  <CharactersWithSpaces>13219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GRICIŪTĖ Rasa</dc:creator>
  <cp:lastModifiedBy>GRICIŪTĖ Rasa</cp:lastModifiedBy>
  <cp:revision>3</cp:revision>
  <dcterms:created xsi:type="dcterms:W3CDTF">2023-10-26T13:39:00Z</dcterms:created>
  <dcterms:modified xsi:type="dcterms:W3CDTF">2023-10-26T13:40:00Z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70a2107d-039b-4f02-96b1-3be6b91e023e</vt:lpwstr>
  </property>
  <property fmtid="{D5CDD505-2E9C-101B-9397-08002B2CF9AE}" pid="3" name="ContentTypeId">
    <vt:lpwstr>0x010100147D90CBC16D234CA619BBDEA3061AC4</vt:lpwstr>
  </property>
</Properties>
</file>