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C752F" w14:textId="77777777" w:rsidR="00693732" w:rsidRPr="00F37C72" w:rsidRDefault="00693732" w:rsidP="00693732">
      <w:pPr>
        <w:spacing w:after="0" w:line="240" w:lineRule="auto"/>
        <w:jc w:val="center"/>
        <w:rPr>
          <w:rFonts w:ascii="Times New Roman" w:eastAsia="Calibri" w:hAnsi="Times New Roman" w:cs="Times New Roman"/>
          <w:sz w:val="24"/>
          <w:szCs w:val="24"/>
        </w:rPr>
      </w:pPr>
      <w:bookmarkStart w:id="0" w:name="_GoBack"/>
      <w:bookmarkEnd w:id="0"/>
      <w:r w:rsidRPr="00F37C72">
        <w:rPr>
          <w:rFonts w:ascii="Times New Roman" w:eastAsia="Calibri" w:hAnsi="Times New Roman" w:cs="Times New Roman"/>
          <w:noProof/>
          <w:sz w:val="24"/>
          <w:szCs w:val="24"/>
          <w:lang w:eastAsia="lt-LT"/>
        </w:rPr>
        <w:drawing>
          <wp:inline distT="0" distB="0" distL="0" distR="0" wp14:anchorId="5AF8FEB9" wp14:editId="1D50D740">
            <wp:extent cx="527685" cy="615315"/>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685" cy="615315"/>
                    </a:xfrm>
                    <a:prstGeom prst="rect">
                      <a:avLst/>
                    </a:prstGeom>
                    <a:noFill/>
                    <a:ln>
                      <a:noFill/>
                    </a:ln>
                  </pic:spPr>
                </pic:pic>
              </a:graphicData>
            </a:graphic>
          </wp:inline>
        </w:drawing>
      </w:r>
    </w:p>
    <w:p w14:paraId="3A8843F9" w14:textId="77777777" w:rsidR="00693732" w:rsidRPr="00F37C72" w:rsidRDefault="00693732" w:rsidP="00693732">
      <w:pPr>
        <w:spacing w:after="0" w:line="240" w:lineRule="auto"/>
        <w:jc w:val="center"/>
        <w:rPr>
          <w:rFonts w:ascii="Times New Roman" w:eastAsia="Calibri" w:hAnsi="Times New Roman" w:cs="Times New Roman"/>
          <w:sz w:val="24"/>
          <w:szCs w:val="24"/>
        </w:rPr>
      </w:pPr>
    </w:p>
    <w:p w14:paraId="18A46E44" w14:textId="77777777" w:rsidR="00693732" w:rsidRPr="00F37C72" w:rsidRDefault="00693732" w:rsidP="00693732">
      <w:pPr>
        <w:spacing w:after="0" w:line="240" w:lineRule="auto"/>
        <w:jc w:val="center"/>
        <w:rPr>
          <w:rFonts w:ascii="Times New Roman" w:eastAsia="Times New Roman" w:hAnsi="Times New Roman" w:cs="Times New Roman"/>
          <w:b/>
          <w:sz w:val="24"/>
          <w:szCs w:val="24"/>
        </w:rPr>
      </w:pPr>
      <w:r w:rsidRPr="00F37C72">
        <w:rPr>
          <w:rFonts w:ascii="Times New Roman" w:eastAsia="Times New Roman" w:hAnsi="Times New Roman" w:cs="Times New Roman"/>
          <w:b/>
          <w:sz w:val="24"/>
          <w:szCs w:val="24"/>
        </w:rPr>
        <w:t>LIETUVOS RESPUBLIKOS SEIMO KANCELIARIJOS</w:t>
      </w:r>
    </w:p>
    <w:p w14:paraId="7726F320" w14:textId="77777777" w:rsidR="00693732" w:rsidRPr="00F37C72" w:rsidRDefault="00693732" w:rsidP="00693732">
      <w:pPr>
        <w:spacing w:after="0" w:line="240" w:lineRule="auto"/>
        <w:jc w:val="center"/>
        <w:rPr>
          <w:rFonts w:ascii="Times New Roman" w:eastAsia="Times New Roman" w:hAnsi="Times New Roman" w:cs="Times New Roman"/>
          <w:b/>
          <w:spacing w:val="4"/>
          <w:sz w:val="24"/>
          <w:szCs w:val="24"/>
        </w:rPr>
      </w:pPr>
      <w:r w:rsidRPr="00F37C72">
        <w:rPr>
          <w:rFonts w:ascii="Times New Roman" w:eastAsia="Times New Roman" w:hAnsi="Times New Roman" w:cs="Times New Roman"/>
          <w:b/>
          <w:spacing w:val="4"/>
          <w:sz w:val="24"/>
          <w:szCs w:val="24"/>
        </w:rPr>
        <w:t>TEISĖS DEPARTAMENTAS</w:t>
      </w:r>
    </w:p>
    <w:p w14:paraId="2C4A1D52" w14:textId="77777777" w:rsidR="00693732" w:rsidRPr="00F37C72" w:rsidRDefault="00693732" w:rsidP="00693732">
      <w:pPr>
        <w:spacing w:after="0" w:line="240" w:lineRule="auto"/>
        <w:ind w:right="11"/>
        <w:jc w:val="center"/>
        <w:rPr>
          <w:rFonts w:ascii="Times New Roman" w:eastAsia="Times New Roman" w:hAnsi="Times New Roman" w:cs="Times New Roman"/>
          <w:b/>
          <w:spacing w:val="4"/>
          <w:sz w:val="24"/>
          <w:szCs w:val="24"/>
        </w:rPr>
      </w:pPr>
    </w:p>
    <w:p w14:paraId="32538EA8" w14:textId="77777777" w:rsidR="00693732" w:rsidRPr="00F37C72" w:rsidRDefault="00693732" w:rsidP="00693732">
      <w:pPr>
        <w:spacing w:after="0" w:line="240" w:lineRule="auto"/>
        <w:ind w:right="11"/>
        <w:jc w:val="center"/>
        <w:rPr>
          <w:rFonts w:ascii="Times New Roman" w:eastAsia="Times New Roman" w:hAnsi="Times New Roman" w:cs="Times New Roman"/>
          <w:sz w:val="24"/>
          <w:szCs w:val="24"/>
        </w:rPr>
      </w:pPr>
      <w:r w:rsidRPr="00F37C72">
        <w:rPr>
          <w:rFonts w:ascii="Times New Roman" w:eastAsia="Times New Roman" w:hAnsi="Times New Roman" w:cs="Times New Roman"/>
          <w:sz w:val="24"/>
          <w:szCs w:val="24"/>
        </w:rPr>
        <w:t>Biudžetinė įstaiga  Gedimino pr. 53,  01109 Vilnius    Tel. (0 5)  209 6169    El. p. td@lrs.lt</w:t>
      </w:r>
    </w:p>
    <w:p w14:paraId="4A94A1E4" w14:textId="77777777" w:rsidR="00693732" w:rsidRPr="00F37C72" w:rsidRDefault="00693732" w:rsidP="00693732">
      <w:pPr>
        <w:spacing w:after="0" w:line="240" w:lineRule="auto"/>
        <w:jc w:val="center"/>
        <w:rPr>
          <w:rFonts w:ascii="Times New Roman" w:eastAsia="Times New Roman" w:hAnsi="Times New Roman" w:cs="Times New Roman"/>
          <w:sz w:val="24"/>
          <w:szCs w:val="24"/>
        </w:rPr>
      </w:pPr>
      <w:r w:rsidRPr="00F37C72">
        <w:rPr>
          <w:rFonts w:ascii="Times New Roman" w:eastAsia="Times New Roman" w:hAnsi="Times New Roman" w:cs="Times New Roman"/>
          <w:sz w:val="24"/>
          <w:szCs w:val="24"/>
        </w:rPr>
        <w:t>Duomenys kaupiami ir saugomi  Juridinių asmenų registre  Kodas 188605295</w:t>
      </w:r>
    </w:p>
    <w:p w14:paraId="43138005" w14:textId="77777777" w:rsidR="00693732" w:rsidRPr="00F37C72" w:rsidRDefault="00693732" w:rsidP="00693732">
      <w:pPr>
        <w:spacing w:after="0" w:line="240" w:lineRule="auto"/>
        <w:jc w:val="both"/>
        <w:rPr>
          <w:rFonts w:ascii="Times New Roman" w:eastAsia="Times New Roman" w:hAnsi="Times New Roman" w:cs="Times New Roman"/>
          <w:sz w:val="24"/>
          <w:szCs w:val="24"/>
        </w:rPr>
      </w:pPr>
      <w:r w:rsidRPr="00F37C72">
        <w:rPr>
          <w:rFonts w:ascii="Times New Roman" w:eastAsia="Times New Roman" w:hAnsi="Times New Roman" w:cs="Times New Roman"/>
          <w:sz w:val="24"/>
          <w:szCs w:val="24"/>
        </w:rPr>
        <w:t>________________________________________________________________________________</w:t>
      </w:r>
    </w:p>
    <w:p w14:paraId="5E2311A3" w14:textId="77777777" w:rsidR="00693732" w:rsidRPr="00F37C72" w:rsidRDefault="00693732" w:rsidP="00693732">
      <w:pPr>
        <w:spacing w:after="0" w:line="240" w:lineRule="auto"/>
        <w:jc w:val="both"/>
        <w:rPr>
          <w:rFonts w:ascii="Times New Roman" w:eastAsia="Times New Roman" w:hAnsi="Times New Roman" w:cs="Times New Roman"/>
          <w:sz w:val="24"/>
          <w:szCs w:val="24"/>
        </w:rPr>
      </w:pPr>
    </w:p>
    <w:p w14:paraId="0268818C" w14:textId="77777777" w:rsidR="00693732" w:rsidRPr="00F37C72" w:rsidRDefault="00693732" w:rsidP="00693732">
      <w:pPr>
        <w:spacing w:after="0" w:line="240" w:lineRule="auto"/>
        <w:jc w:val="both"/>
        <w:rPr>
          <w:rFonts w:ascii="Times New Roman" w:eastAsia="Calibri" w:hAnsi="Times New Roman" w:cs="Times New Roman"/>
          <w:sz w:val="24"/>
          <w:szCs w:val="24"/>
        </w:rPr>
        <w:sectPr w:rsidR="00693732" w:rsidRPr="00F37C72" w:rsidSect="003F3282">
          <w:headerReference w:type="default" r:id="rId7"/>
          <w:headerReference w:type="first" r:id="rId8"/>
          <w:type w:val="continuous"/>
          <w:pgSz w:w="11906" w:h="16838"/>
          <w:pgMar w:top="1134" w:right="567" w:bottom="1134" w:left="1701" w:header="567" w:footer="567" w:gutter="0"/>
          <w:cols w:space="1296"/>
          <w:titlePg/>
          <w:docGrid w:linePitch="360"/>
        </w:sectPr>
      </w:pPr>
    </w:p>
    <w:p w14:paraId="7E3E777A" w14:textId="77777777" w:rsidR="00693732" w:rsidRPr="00F37C72" w:rsidRDefault="00693732" w:rsidP="00693732">
      <w:pPr>
        <w:spacing w:after="0" w:line="360" w:lineRule="auto"/>
        <w:jc w:val="both"/>
        <w:rPr>
          <w:rFonts w:ascii="Times New Roman" w:eastAsia="Calibri" w:hAnsi="Times New Roman" w:cs="Times New Roman"/>
          <w:sz w:val="24"/>
          <w:szCs w:val="24"/>
        </w:rPr>
      </w:pPr>
    </w:p>
    <w:p w14:paraId="3D7A7630" w14:textId="0EE3AF78" w:rsidR="00693732" w:rsidRPr="00F37C72" w:rsidRDefault="00857099" w:rsidP="00693732">
      <w:pPr>
        <w:spacing w:after="0" w:line="360" w:lineRule="auto"/>
        <w:textAlignment w:val="baseline"/>
        <w:rPr>
          <w:rFonts w:ascii="Times New Roman" w:eastAsia="Times New Roman" w:hAnsi="Times New Roman" w:cs="Times New Roman"/>
          <w:sz w:val="24"/>
          <w:szCs w:val="24"/>
          <w:lang w:eastAsia="lt-LT"/>
        </w:rPr>
      </w:pPr>
      <w:r w:rsidRPr="00F37C72">
        <w:rPr>
          <w:rFonts w:ascii="Times New Roman" w:eastAsia="Times New Roman" w:hAnsi="Times New Roman" w:cs="Times New Roman"/>
          <w:sz w:val="24"/>
          <w:szCs w:val="24"/>
          <w:lang w:eastAsia="lt-LT"/>
        </w:rPr>
        <w:t>Lietuvos Respublikos Seimo</w:t>
      </w:r>
      <w:r w:rsidRPr="00F37C72">
        <w:rPr>
          <w:rFonts w:ascii="Times New Roman" w:eastAsia="Times New Roman" w:hAnsi="Times New Roman" w:cs="Times New Roman"/>
          <w:sz w:val="24"/>
          <w:szCs w:val="24"/>
          <w:lang w:eastAsia="lt-LT"/>
        </w:rPr>
        <w:tab/>
      </w:r>
      <w:r w:rsidRPr="00F37C72">
        <w:rPr>
          <w:rFonts w:ascii="Times New Roman" w:eastAsia="Times New Roman" w:hAnsi="Times New Roman" w:cs="Times New Roman"/>
          <w:sz w:val="24"/>
          <w:szCs w:val="24"/>
          <w:lang w:eastAsia="lt-LT"/>
        </w:rPr>
        <w:tab/>
        <w:t xml:space="preserve">               </w:t>
      </w:r>
      <w:r w:rsidR="00602CE7">
        <w:rPr>
          <w:rFonts w:ascii="Times New Roman" w:eastAsia="Times New Roman" w:hAnsi="Times New Roman" w:cs="Times New Roman"/>
          <w:sz w:val="24"/>
          <w:szCs w:val="24"/>
          <w:lang w:eastAsia="lt-LT"/>
        </w:rPr>
        <w:t>2026-04-30</w:t>
      </w:r>
      <w:r w:rsidR="00693732" w:rsidRPr="00F37C72">
        <w:rPr>
          <w:rFonts w:ascii="Times New Roman" w:eastAsia="Times New Roman" w:hAnsi="Times New Roman" w:cs="Times New Roman"/>
          <w:sz w:val="24"/>
          <w:szCs w:val="24"/>
          <w:lang w:eastAsia="lt-LT"/>
        </w:rPr>
        <w:t xml:space="preserve"> Nr. V-2026-</w:t>
      </w:r>
    </w:p>
    <w:p w14:paraId="1E14EB60" w14:textId="3F7FE15C" w:rsidR="00693732" w:rsidRPr="00F37C72" w:rsidRDefault="00857099" w:rsidP="00693732">
      <w:pPr>
        <w:spacing w:after="0" w:line="360" w:lineRule="auto"/>
        <w:textAlignment w:val="baseline"/>
        <w:rPr>
          <w:rFonts w:ascii="Times New Roman" w:eastAsia="Times New Roman" w:hAnsi="Times New Roman" w:cs="Times New Roman"/>
          <w:sz w:val="24"/>
          <w:szCs w:val="24"/>
          <w:lang w:eastAsia="lt-LT"/>
        </w:rPr>
      </w:pPr>
      <w:r w:rsidRPr="00F37C72">
        <w:rPr>
          <w:rFonts w:ascii="Times New Roman" w:eastAsia="Times New Roman" w:hAnsi="Times New Roman" w:cs="Times New Roman"/>
          <w:sz w:val="24"/>
          <w:szCs w:val="24"/>
          <w:lang w:eastAsia="lt-LT"/>
        </w:rPr>
        <w:t>Peticijų komisijai</w:t>
      </w:r>
      <w:r w:rsidRPr="00F37C72">
        <w:rPr>
          <w:rFonts w:ascii="Times New Roman" w:eastAsia="Times New Roman" w:hAnsi="Times New Roman" w:cs="Times New Roman"/>
          <w:sz w:val="24"/>
          <w:szCs w:val="24"/>
          <w:lang w:eastAsia="lt-LT"/>
        </w:rPr>
        <w:tab/>
      </w:r>
      <w:r w:rsidRPr="00F37C72">
        <w:rPr>
          <w:rFonts w:ascii="Times New Roman" w:eastAsia="Times New Roman" w:hAnsi="Times New Roman" w:cs="Times New Roman"/>
          <w:sz w:val="24"/>
          <w:szCs w:val="24"/>
          <w:lang w:eastAsia="lt-LT"/>
        </w:rPr>
        <w:tab/>
      </w:r>
      <w:r w:rsidRPr="00F37C72">
        <w:rPr>
          <w:rFonts w:ascii="Times New Roman" w:eastAsia="Times New Roman" w:hAnsi="Times New Roman" w:cs="Times New Roman"/>
          <w:sz w:val="24"/>
          <w:szCs w:val="24"/>
          <w:lang w:eastAsia="lt-LT"/>
        </w:rPr>
        <w:tab/>
        <w:t xml:space="preserve">               </w:t>
      </w:r>
      <w:r w:rsidR="00693732" w:rsidRPr="00F37C72">
        <w:rPr>
          <w:rFonts w:ascii="Times New Roman" w:eastAsia="Times New Roman" w:hAnsi="Times New Roman" w:cs="Times New Roman"/>
          <w:sz w:val="24"/>
          <w:szCs w:val="24"/>
          <w:lang w:eastAsia="lt-LT"/>
        </w:rPr>
        <w:t>Į 2026-04-20 Nr. V-2026-7265</w:t>
      </w:r>
    </w:p>
    <w:p w14:paraId="239696D9" w14:textId="77777777" w:rsidR="00693732" w:rsidRPr="00F37C72" w:rsidRDefault="00693732" w:rsidP="00693732">
      <w:pPr>
        <w:spacing w:after="0" w:line="360" w:lineRule="auto"/>
        <w:textAlignment w:val="baseline"/>
        <w:rPr>
          <w:rFonts w:ascii="Times New Roman" w:eastAsia="Times New Roman" w:hAnsi="Times New Roman" w:cs="Times New Roman"/>
          <w:b/>
          <w:bCs/>
          <w:sz w:val="24"/>
          <w:szCs w:val="24"/>
          <w:lang w:eastAsia="lt-LT"/>
        </w:rPr>
      </w:pPr>
    </w:p>
    <w:p w14:paraId="6325B58F" w14:textId="77777777" w:rsidR="00693732" w:rsidRPr="00F37C72" w:rsidRDefault="00693732" w:rsidP="00693732">
      <w:pPr>
        <w:spacing w:after="0" w:line="360" w:lineRule="auto"/>
        <w:rPr>
          <w:rFonts w:ascii="Times New Roman" w:eastAsia="Calibri" w:hAnsi="Times New Roman" w:cs="Times New Roman"/>
          <w:b/>
          <w:sz w:val="24"/>
          <w:szCs w:val="24"/>
        </w:rPr>
      </w:pPr>
      <w:r w:rsidRPr="00F37C72">
        <w:rPr>
          <w:rFonts w:ascii="Times New Roman" w:eastAsia="Calibri" w:hAnsi="Times New Roman" w:cs="Times New Roman"/>
          <w:b/>
          <w:sz w:val="24"/>
          <w:szCs w:val="24"/>
        </w:rPr>
        <w:t>DĖL NUOMONĖS PATEIKIMO</w:t>
      </w:r>
    </w:p>
    <w:p w14:paraId="38B307AA" w14:textId="77777777" w:rsidR="00693732" w:rsidRPr="00F37C72" w:rsidRDefault="00693732" w:rsidP="00693732">
      <w:pPr>
        <w:spacing w:after="0" w:line="360" w:lineRule="auto"/>
        <w:jc w:val="both"/>
        <w:textAlignment w:val="baseline"/>
        <w:rPr>
          <w:rFonts w:ascii="Times New Roman" w:eastAsia="Times New Roman" w:hAnsi="Times New Roman" w:cs="Times New Roman"/>
          <w:sz w:val="24"/>
          <w:szCs w:val="24"/>
          <w:lang w:eastAsia="lt-LT"/>
        </w:rPr>
      </w:pPr>
    </w:p>
    <w:p w14:paraId="4739E0FF" w14:textId="499F97FC" w:rsidR="00451101" w:rsidRPr="00F37C72" w:rsidRDefault="00693732" w:rsidP="00132E2B">
      <w:pPr>
        <w:spacing w:after="0" w:line="360" w:lineRule="auto"/>
        <w:ind w:firstLine="720"/>
        <w:jc w:val="both"/>
        <w:rPr>
          <w:rFonts w:ascii="Times New Roman" w:eastAsia="Calibri" w:hAnsi="Times New Roman" w:cs="Times New Roman"/>
          <w:sz w:val="24"/>
          <w:szCs w:val="24"/>
        </w:rPr>
      </w:pPr>
      <w:r w:rsidRPr="00F37C72">
        <w:rPr>
          <w:rFonts w:ascii="Times New Roman" w:eastAsia="Calibri" w:hAnsi="Times New Roman" w:cs="Times New Roman"/>
          <w:sz w:val="24"/>
          <w:szCs w:val="24"/>
        </w:rPr>
        <w:t xml:space="preserve">Teisės departamente, vadovaujantis Lietuvos Respublikos peticijų konstitucinio įstatymo 4 straipsnio 5 dalies 2 punktu, gautas Lietuvos Respublikos Seimo peticijų komisijos raštas, prašant pateikti nuomonę dėl Virginijos </w:t>
      </w:r>
      <w:proofErr w:type="spellStart"/>
      <w:r w:rsidRPr="00F37C72">
        <w:rPr>
          <w:rFonts w:ascii="Times New Roman" w:eastAsia="Calibri" w:hAnsi="Times New Roman" w:cs="Times New Roman"/>
          <w:sz w:val="24"/>
          <w:szCs w:val="24"/>
        </w:rPr>
        <w:t>Jurg</w:t>
      </w:r>
      <w:r w:rsidR="00FD179F" w:rsidRPr="00F37C72">
        <w:rPr>
          <w:rFonts w:ascii="Times New Roman" w:eastAsia="Calibri" w:hAnsi="Times New Roman" w:cs="Times New Roman"/>
          <w:sz w:val="24"/>
          <w:szCs w:val="24"/>
        </w:rPr>
        <w:t>ilevičienės</w:t>
      </w:r>
      <w:proofErr w:type="spellEnd"/>
      <w:r w:rsidR="00FD179F" w:rsidRPr="00F37C72">
        <w:rPr>
          <w:rFonts w:ascii="Times New Roman" w:eastAsia="Calibri" w:hAnsi="Times New Roman" w:cs="Times New Roman"/>
          <w:sz w:val="24"/>
          <w:szCs w:val="24"/>
        </w:rPr>
        <w:t xml:space="preserve">, Virginijaus </w:t>
      </w:r>
      <w:proofErr w:type="spellStart"/>
      <w:r w:rsidR="00FD179F" w:rsidRPr="00F37C72">
        <w:rPr>
          <w:rFonts w:ascii="Times New Roman" w:eastAsia="Calibri" w:hAnsi="Times New Roman" w:cs="Times New Roman"/>
          <w:sz w:val="24"/>
          <w:szCs w:val="24"/>
        </w:rPr>
        <w:t>Partau</w:t>
      </w:r>
      <w:r w:rsidRPr="00F37C72">
        <w:rPr>
          <w:rFonts w:ascii="Times New Roman" w:eastAsia="Calibri" w:hAnsi="Times New Roman" w:cs="Times New Roman"/>
          <w:sz w:val="24"/>
          <w:szCs w:val="24"/>
        </w:rPr>
        <w:t>ko</w:t>
      </w:r>
      <w:proofErr w:type="spellEnd"/>
      <w:r w:rsidRPr="00F37C72">
        <w:rPr>
          <w:rFonts w:ascii="Times New Roman" w:eastAsia="Calibri" w:hAnsi="Times New Roman" w:cs="Times New Roman"/>
          <w:sz w:val="24"/>
          <w:szCs w:val="24"/>
        </w:rPr>
        <w:t xml:space="preserve"> ir Rimanto Astrausko (toliau – Pareiškėjai) peticijos. Ja siūloma papildyti Lietuvos Respublikos administracinių nusižengimų kodekso (toliau – ANK) 628 straipsnio 1 dalį ir nustatyti, kad </w:t>
      </w:r>
      <w:r w:rsidR="007D47EE" w:rsidRPr="00F37C72">
        <w:rPr>
          <w:rFonts w:ascii="Times New Roman" w:eastAsia="Calibri" w:hAnsi="Times New Roman" w:cs="Times New Roman"/>
          <w:sz w:val="24"/>
          <w:szCs w:val="24"/>
        </w:rPr>
        <w:t>„</w:t>
      </w:r>
      <w:r w:rsidRPr="00F37C72">
        <w:rPr>
          <w:rFonts w:ascii="Times New Roman" w:eastAsia="Calibri" w:hAnsi="Times New Roman" w:cs="Times New Roman"/>
          <w:sz w:val="24"/>
          <w:szCs w:val="24"/>
        </w:rPr>
        <w:t xml:space="preserve">apylinkių teismai administracinių nusižengimų bylas </w:t>
      </w:r>
      <w:r w:rsidRPr="00F37C72">
        <w:rPr>
          <w:rFonts w:ascii="Times New Roman" w:eastAsia="Calibri" w:hAnsi="Times New Roman" w:cs="Times New Roman"/>
          <w:i/>
          <w:sz w:val="24"/>
          <w:szCs w:val="24"/>
        </w:rPr>
        <w:t>nagrinėja teismo rūmuose paga</w:t>
      </w:r>
      <w:r w:rsidR="007D47EE" w:rsidRPr="00F37C72">
        <w:rPr>
          <w:rFonts w:ascii="Times New Roman" w:eastAsia="Calibri" w:hAnsi="Times New Roman" w:cs="Times New Roman"/>
          <w:i/>
          <w:sz w:val="24"/>
          <w:szCs w:val="24"/>
        </w:rPr>
        <w:t>l nusižengimo padarymo vietą</w:t>
      </w:r>
      <w:r w:rsidR="007D47EE" w:rsidRPr="00F37C72">
        <w:rPr>
          <w:rFonts w:ascii="Times New Roman" w:eastAsia="Calibri" w:hAnsi="Times New Roman" w:cs="Times New Roman"/>
          <w:sz w:val="24"/>
          <w:szCs w:val="24"/>
        </w:rPr>
        <w:t xml:space="preserve">, o kai administracinėn atsakomybėn traukiamas asmuo yra nepilnametis – pagal nepilnamečio gyvenamąją vietą“. Pareiškėjai pažymi, kad pagal šiuo metu ANK 628 straipsnio 1 dalyje nustatytą reguliavimą, kad „apylinkių teismai administracinių nusižengimų bylas </w:t>
      </w:r>
      <w:r w:rsidR="007D47EE" w:rsidRPr="00F37C72">
        <w:rPr>
          <w:rFonts w:ascii="Times New Roman" w:eastAsia="Calibri" w:hAnsi="Times New Roman" w:cs="Times New Roman"/>
          <w:i/>
          <w:sz w:val="24"/>
          <w:szCs w:val="24"/>
        </w:rPr>
        <w:t>nagrinėja pagal nusižengimo padarymo vietą</w:t>
      </w:r>
      <w:r w:rsidR="007D47EE" w:rsidRPr="00F37C72">
        <w:rPr>
          <w:rFonts w:ascii="Times New Roman" w:eastAsia="Calibri" w:hAnsi="Times New Roman" w:cs="Times New Roman"/>
          <w:sz w:val="24"/>
          <w:szCs w:val="24"/>
        </w:rPr>
        <w:t xml:space="preserve">, o kai administracinėn atsakomybėn traukiamas asmuo yra nepilnametis – pagal nepilnamečio gyvenamąją vietą“, administracinio nusižengimo byla gali būti nagrinėjama bet kuriuose apylinkės teismą sudarančiuose </w:t>
      </w:r>
      <w:r w:rsidR="00453D77">
        <w:rPr>
          <w:rFonts w:ascii="Times New Roman" w:eastAsia="Calibri" w:hAnsi="Times New Roman" w:cs="Times New Roman"/>
          <w:sz w:val="24"/>
          <w:szCs w:val="24"/>
        </w:rPr>
        <w:t xml:space="preserve">teismo </w:t>
      </w:r>
      <w:r w:rsidR="007D47EE" w:rsidRPr="00F37C72">
        <w:rPr>
          <w:rFonts w:ascii="Times New Roman" w:eastAsia="Calibri" w:hAnsi="Times New Roman" w:cs="Times New Roman"/>
          <w:sz w:val="24"/>
          <w:szCs w:val="24"/>
        </w:rPr>
        <w:t>rūmuose. Pasak Pareiškėjų, teismai piktnaudžiauja netiksliu teisiniu reguliavimu, nagrinėja administracinių nusižengimų bylas ne tuose teismo rūmuose, kuriuose pagal bylos aplinkybes turėtų būti nagrinėjama byla, taip sukurdami proceso dalyviams papildomų išlaidų</w:t>
      </w:r>
      <w:r w:rsidR="00B160DD" w:rsidRPr="00F37C72">
        <w:rPr>
          <w:rFonts w:ascii="Times New Roman" w:eastAsia="Calibri" w:hAnsi="Times New Roman" w:cs="Times New Roman"/>
          <w:sz w:val="24"/>
          <w:szCs w:val="24"/>
        </w:rPr>
        <w:t>, o siūlomais pakeitimais tokių nepalankių proceso dal</w:t>
      </w:r>
      <w:r w:rsidR="00451101" w:rsidRPr="00F37C72">
        <w:rPr>
          <w:rFonts w:ascii="Times New Roman" w:eastAsia="Calibri" w:hAnsi="Times New Roman" w:cs="Times New Roman"/>
          <w:sz w:val="24"/>
          <w:szCs w:val="24"/>
        </w:rPr>
        <w:t>yviams situacijų būtų išvengta.</w:t>
      </w:r>
    </w:p>
    <w:p w14:paraId="1279611E" w14:textId="77777777" w:rsidR="00132E2B" w:rsidRPr="00F37C72" w:rsidRDefault="00A54E21" w:rsidP="00132E2B">
      <w:pPr>
        <w:spacing w:after="0" w:line="360" w:lineRule="auto"/>
        <w:ind w:firstLine="720"/>
        <w:jc w:val="both"/>
        <w:rPr>
          <w:rFonts w:ascii="Times New Roman" w:eastAsia="Calibri" w:hAnsi="Times New Roman" w:cs="Times New Roman"/>
          <w:sz w:val="24"/>
          <w:szCs w:val="24"/>
        </w:rPr>
      </w:pPr>
      <w:r w:rsidRPr="00F37C72">
        <w:rPr>
          <w:rFonts w:ascii="Times New Roman" w:eastAsia="Calibri" w:hAnsi="Times New Roman" w:cs="Times New Roman"/>
          <w:sz w:val="24"/>
          <w:szCs w:val="24"/>
        </w:rPr>
        <w:t>Pareiškėjų siūlymas papildyti ANK 628 straipsnio 1 dalį taisykle, kad „apylinkių teismai administracinių nusižengimų bylas nagrinėja teismo rūmuose pagal nusižengimo padarymo vietą</w:t>
      </w:r>
      <w:r w:rsidR="00451101" w:rsidRPr="00F37C72">
        <w:rPr>
          <w:rFonts w:ascii="Times New Roman" w:eastAsia="Calibri" w:hAnsi="Times New Roman" w:cs="Times New Roman"/>
          <w:sz w:val="24"/>
          <w:szCs w:val="24"/>
        </w:rPr>
        <w:t xml:space="preserve"> &lt;...&gt;</w:t>
      </w:r>
      <w:r w:rsidRPr="00F37C72">
        <w:rPr>
          <w:rFonts w:ascii="Times New Roman" w:eastAsia="Calibri" w:hAnsi="Times New Roman" w:cs="Times New Roman"/>
          <w:sz w:val="24"/>
          <w:szCs w:val="24"/>
        </w:rPr>
        <w:t xml:space="preserve">“ yra nepagrįstas. Savo nuomonę grindžiame šiais argumentais. </w:t>
      </w:r>
    </w:p>
    <w:p w14:paraId="558F8481" w14:textId="6242B139" w:rsidR="00132E2B" w:rsidRPr="00F37C72" w:rsidRDefault="00132E2B" w:rsidP="00E75B29">
      <w:pPr>
        <w:spacing w:after="0" w:line="360" w:lineRule="auto"/>
        <w:ind w:firstLine="720"/>
        <w:jc w:val="both"/>
        <w:rPr>
          <w:rFonts w:ascii="Times New Roman" w:eastAsia="Calibri" w:hAnsi="Times New Roman" w:cs="Times New Roman"/>
          <w:sz w:val="24"/>
          <w:szCs w:val="24"/>
        </w:rPr>
      </w:pPr>
      <w:r w:rsidRPr="00F37C72">
        <w:rPr>
          <w:rFonts w:ascii="Times New Roman" w:eastAsia="Calibri" w:hAnsi="Times New Roman" w:cs="Times New Roman"/>
          <w:sz w:val="24"/>
          <w:szCs w:val="24"/>
        </w:rPr>
        <w:t>2016</w:t>
      </w:r>
      <w:r w:rsidR="00451101" w:rsidRPr="00F37C72">
        <w:rPr>
          <w:rFonts w:ascii="Times New Roman" w:eastAsia="Calibri" w:hAnsi="Times New Roman" w:cs="Times New Roman"/>
          <w:sz w:val="24"/>
          <w:szCs w:val="24"/>
        </w:rPr>
        <w:t xml:space="preserve"> m. birželio 23 d. buvo priimti</w:t>
      </w:r>
      <w:r w:rsidRPr="00F37C72">
        <w:rPr>
          <w:rFonts w:ascii="Times New Roman" w:eastAsia="Calibri" w:hAnsi="Times New Roman" w:cs="Times New Roman"/>
          <w:sz w:val="24"/>
          <w:szCs w:val="24"/>
        </w:rPr>
        <w:t xml:space="preserve"> Lietuvos Respublikos teismų įstatymo Nr. I-480 12, 14, 28, 34, 36, 41, 45, 55</w:t>
      </w:r>
      <w:r w:rsidRPr="00F37C72">
        <w:rPr>
          <w:rFonts w:ascii="Times New Roman" w:eastAsia="Calibri" w:hAnsi="Times New Roman" w:cs="Times New Roman"/>
          <w:sz w:val="24"/>
          <w:szCs w:val="24"/>
          <w:vertAlign w:val="superscript"/>
        </w:rPr>
        <w:t>1</w:t>
      </w:r>
      <w:r w:rsidRPr="00F37C72">
        <w:rPr>
          <w:rFonts w:ascii="Times New Roman" w:eastAsia="Calibri" w:hAnsi="Times New Roman" w:cs="Times New Roman"/>
          <w:sz w:val="24"/>
          <w:szCs w:val="24"/>
        </w:rPr>
        <w:t xml:space="preserve">, 56, 63, 65, 70, 80, </w:t>
      </w:r>
      <w:r w:rsidR="00451101" w:rsidRPr="00F37C72">
        <w:rPr>
          <w:rFonts w:ascii="Times New Roman" w:eastAsia="Calibri" w:hAnsi="Times New Roman" w:cs="Times New Roman"/>
          <w:sz w:val="24"/>
          <w:szCs w:val="24"/>
        </w:rPr>
        <w:t>101, 107, 114, 120 straipsnių, t</w:t>
      </w:r>
      <w:r w:rsidRPr="00F37C72">
        <w:rPr>
          <w:rFonts w:ascii="Times New Roman" w:eastAsia="Calibri" w:hAnsi="Times New Roman" w:cs="Times New Roman"/>
          <w:sz w:val="24"/>
          <w:szCs w:val="24"/>
        </w:rPr>
        <w:t xml:space="preserve">rečiojo skirsnio </w:t>
      </w:r>
      <w:r w:rsidRPr="00F37C72">
        <w:rPr>
          <w:rFonts w:ascii="Times New Roman" w:eastAsia="Calibri" w:hAnsi="Times New Roman" w:cs="Times New Roman"/>
          <w:sz w:val="24"/>
          <w:szCs w:val="24"/>
        </w:rPr>
        <w:lastRenderedPageBreak/>
        <w:t>pavadinimo pakeitimo ir įstatymo papildymo 114</w:t>
      </w:r>
      <w:r w:rsidRPr="00F37C72">
        <w:rPr>
          <w:rFonts w:ascii="Times New Roman" w:eastAsia="Calibri" w:hAnsi="Times New Roman" w:cs="Times New Roman"/>
          <w:sz w:val="24"/>
          <w:szCs w:val="24"/>
          <w:vertAlign w:val="superscript"/>
        </w:rPr>
        <w:t xml:space="preserve">1 </w:t>
      </w:r>
      <w:r w:rsidRPr="00F37C72">
        <w:rPr>
          <w:rFonts w:ascii="Times New Roman" w:eastAsia="Calibri" w:hAnsi="Times New Roman" w:cs="Times New Roman"/>
          <w:sz w:val="24"/>
          <w:szCs w:val="24"/>
        </w:rPr>
        <w:t>straip</w:t>
      </w:r>
      <w:r w:rsidR="00451101" w:rsidRPr="00F37C72">
        <w:rPr>
          <w:rFonts w:ascii="Times New Roman" w:eastAsia="Calibri" w:hAnsi="Times New Roman" w:cs="Times New Roman"/>
          <w:sz w:val="24"/>
          <w:szCs w:val="24"/>
        </w:rPr>
        <w:t>sniu įstatymas Nr. XII-2475 ir Lietuvos Respublikos a</w:t>
      </w:r>
      <w:r w:rsidRPr="00F37C72">
        <w:rPr>
          <w:rFonts w:ascii="Times New Roman" w:eastAsia="Calibri" w:hAnsi="Times New Roman" w:cs="Times New Roman"/>
          <w:sz w:val="24"/>
          <w:szCs w:val="24"/>
        </w:rPr>
        <w:t>pylinkių teismų įsteigimo įstatymo Nr. I-2375 pakei</w:t>
      </w:r>
      <w:r w:rsidR="00525ABC">
        <w:rPr>
          <w:rFonts w:ascii="Times New Roman" w:eastAsia="Calibri" w:hAnsi="Times New Roman" w:cs="Times New Roman"/>
          <w:sz w:val="24"/>
          <w:szCs w:val="24"/>
        </w:rPr>
        <w:t>timo įstatymas Nr. XII-2476</w:t>
      </w:r>
      <w:r w:rsidR="00A32CA2" w:rsidRPr="00F37C72">
        <w:rPr>
          <w:rFonts w:ascii="Times New Roman" w:eastAsia="Calibri" w:hAnsi="Times New Roman" w:cs="Times New Roman"/>
          <w:sz w:val="24"/>
          <w:szCs w:val="24"/>
        </w:rPr>
        <w:t>, įsigalioję 2018 </w:t>
      </w:r>
      <w:r w:rsidRPr="00F37C72">
        <w:rPr>
          <w:rFonts w:ascii="Times New Roman" w:eastAsia="Calibri" w:hAnsi="Times New Roman" w:cs="Times New Roman"/>
          <w:sz w:val="24"/>
          <w:szCs w:val="24"/>
        </w:rPr>
        <w:t>m. sausio 1 d., kurių nuostatos, be kita ko, sudarė galimybę Lietuvos teismų sistemoje apylinkės teismams turėti savo teritorinius padalinius – teismų rūmus. Tokia sistema galioja jau daugiau nei aštuonerius metus. Prie šių įstatymų projektų pridėtame aiškinamajame rašte buvo nurodyta, kad tokiais pakeitimais</w:t>
      </w:r>
      <w:r w:rsidR="00E6484E" w:rsidRPr="00F37C72">
        <w:rPr>
          <w:rFonts w:ascii="Times New Roman" w:eastAsia="Calibri" w:hAnsi="Times New Roman" w:cs="Times New Roman"/>
          <w:sz w:val="24"/>
          <w:szCs w:val="24"/>
        </w:rPr>
        <w:t>, be kita ko,</w:t>
      </w:r>
      <w:r w:rsidRPr="00F37C72">
        <w:rPr>
          <w:rFonts w:ascii="Times New Roman" w:eastAsia="Calibri" w:hAnsi="Times New Roman" w:cs="Times New Roman"/>
          <w:sz w:val="24"/>
          <w:szCs w:val="24"/>
        </w:rPr>
        <w:t xml:space="preserve"> siekta </w:t>
      </w:r>
      <w:r w:rsidRPr="00F37C72">
        <w:rPr>
          <w:rFonts w:ascii="Times New Roman" w:hAnsi="Times New Roman" w:cs="Times New Roman"/>
          <w:sz w:val="24"/>
          <w:szCs w:val="24"/>
        </w:rPr>
        <w:t xml:space="preserve">didinti bylų nagrinėjimo </w:t>
      </w:r>
      <w:r w:rsidR="00525ABC">
        <w:rPr>
          <w:rFonts w:ascii="Times New Roman" w:hAnsi="Times New Roman" w:cs="Times New Roman"/>
          <w:sz w:val="24"/>
          <w:szCs w:val="24"/>
        </w:rPr>
        <w:t xml:space="preserve">teismuose </w:t>
      </w:r>
      <w:r w:rsidRPr="00F37C72">
        <w:rPr>
          <w:rFonts w:ascii="Times New Roman" w:hAnsi="Times New Roman" w:cs="Times New Roman"/>
          <w:sz w:val="24"/>
          <w:szCs w:val="24"/>
        </w:rPr>
        <w:t>operatyvumą, suvienodinant teisėjų ir teismų darbuotojų darbo krūvį bei sąlygas; palengvinti asmenų teisės</w:t>
      </w:r>
      <w:r w:rsidR="00800553" w:rsidRPr="00F37C72">
        <w:rPr>
          <w:rFonts w:ascii="Times New Roman" w:hAnsi="Times New Roman" w:cs="Times New Roman"/>
          <w:sz w:val="24"/>
          <w:szCs w:val="24"/>
        </w:rPr>
        <w:t xml:space="preserve"> kreiptis į teismą įgyvendinimą</w:t>
      </w:r>
      <w:r w:rsidRPr="00F37C72">
        <w:rPr>
          <w:rFonts w:ascii="Times New Roman" w:hAnsi="Times New Roman" w:cs="Times New Roman"/>
          <w:sz w:val="24"/>
          <w:szCs w:val="24"/>
        </w:rPr>
        <w:t>;</w:t>
      </w:r>
      <w:r w:rsidRPr="00F37C72">
        <w:rPr>
          <w:rFonts w:ascii="Times New Roman" w:eastAsia="Calibri" w:hAnsi="Times New Roman" w:cs="Times New Roman"/>
          <w:sz w:val="24"/>
          <w:szCs w:val="24"/>
        </w:rPr>
        <w:t xml:space="preserve"> </w:t>
      </w:r>
      <w:r w:rsidRPr="00F37C72">
        <w:rPr>
          <w:rFonts w:ascii="Times New Roman" w:hAnsi="Times New Roman" w:cs="Times New Roman"/>
          <w:sz w:val="24"/>
          <w:szCs w:val="24"/>
        </w:rPr>
        <w:t>efektyviau panaudoti teismų žmogiškuosius ir materialinius išteklius, koncentruojant teismų administravimui skiriamus išteklius; plėsti teisėjų specializacijos galimybes, didinant viename t</w:t>
      </w:r>
      <w:r w:rsidR="00E6484E" w:rsidRPr="00F37C72">
        <w:rPr>
          <w:rFonts w:ascii="Times New Roman" w:hAnsi="Times New Roman" w:cs="Times New Roman"/>
          <w:sz w:val="24"/>
          <w:szCs w:val="24"/>
        </w:rPr>
        <w:t xml:space="preserve">eisme dirbančių teisėjų skaičių ir kt. </w:t>
      </w:r>
    </w:p>
    <w:p w14:paraId="7DDB2313" w14:textId="77777777" w:rsidR="00E6484E" w:rsidRPr="00F37C72" w:rsidRDefault="00B507B3" w:rsidP="007D47EE">
      <w:pPr>
        <w:spacing w:after="0" w:line="360" w:lineRule="auto"/>
        <w:ind w:firstLine="720"/>
        <w:jc w:val="both"/>
        <w:rPr>
          <w:rFonts w:ascii="Times New Roman" w:eastAsia="Calibri" w:hAnsi="Times New Roman" w:cs="Times New Roman"/>
          <w:sz w:val="24"/>
          <w:szCs w:val="24"/>
        </w:rPr>
      </w:pPr>
      <w:r w:rsidRPr="00F37C72">
        <w:rPr>
          <w:rFonts w:ascii="Times New Roman" w:eastAsia="Calibri" w:hAnsi="Times New Roman" w:cs="Times New Roman"/>
          <w:sz w:val="24"/>
          <w:szCs w:val="24"/>
        </w:rPr>
        <w:t xml:space="preserve">Pagal Teismų įstatymo 14 straipsnio 2 dalį apylinkės teismas gali būti sudarytas iš teritorinių padalinių – apylinkės teismo rūmų. Apylinkės teismo rūmų skaičių, veiklos </w:t>
      </w:r>
      <w:r w:rsidR="003F3282" w:rsidRPr="00F37C72">
        <w:rPr>
          <w:rFonts w:ascii="Times New Roman" w:eastAsia="Calibri" w:hAnsi="Times New Roman" w:cs="Times New Roman"/>
          <w:sz w:val="24"/>
          <w:szCs w:val="24"/>
        </w:rPr>
        <w:t xml:space="preserve">teritorijas ir apylinkės teismo rūmus, kuriuose yra teismo buveinė, nustato įstatymas. Pagal Teismų įstatymo 36 straipsnio 11 dalį, kai teismas sudarytas iš teismo rūmų, bylų paskirstymo teisėjams ir teisėjų kolegijų sudarymo taisyklės taip pat turi užtikrinti, kad bylos būtų skiriamos tų teismo rūmų, kurie nustatomi </w:t>
      </w:r>
      <w:proofErr w:type="spellStart"/>
      <w:r w:rsidR="003F3282" w:rsidRPr="00F37C72">
        <w:rPr>
          <w:rFonts w:ascii="Times New Roman" w:eastAsia="Calibri" w:hAnsi="Times New Roman" w:cs="Times New Roman"/>
          <w:i/>
          <w:sz w:val="24"/>
          <w:szCs w:val="24"/>
        </w:rPr>
        <w:t>mutatis</w:t>
      </w:r>
      <w:proofErr w:type="spellEnd"/>
      <w:r w:rsidR="003F3282" w:rsidRPr="00F37C72">
        <w:rPr>
          <w:rFonts w:ascii="Times New Roman" w:eastAsia="Calibri" w:hAnsi="Times New Roman" w:cs="Times New Roman"/>
          <w:i/>
          <w:sz w:val="24"/>
          <w:szCs w:val="24"/>
        </w:rPr>
        <w:t xml:space="preserve"> </w:t>
      </w:r>
      <w:proofErr w:type="spellStart"/>
      <w:r w:rsidR="003F3282" w:rsidRPr="00F37C72">
        <w:rPr>
          <w:rFonts w:ascii="Times New Roman" w:eastAsia="Calibri" w:hAnsi="Times New Roman" w:cs="Times New Roman"/>
          <w:i/>
          <w:sz w:val="24"/>
          <w:szCs w:val="24"/>
        </w:rPr>
        <w:t>mutandis</w:t>
      </w:r>
      <w:proofErr w:type="spellEnd"/>
      <w:r w:rsidR="003F3282" w:rsidRPr="00F37C72">
        <w:rPr>
          <w:rFonts w:ascii="Times New Roman" w:eastAsia="Calibri" w:hAnsi="Times New Roman" w:cs="Times New Roman"/>
          <w:sz w:val="24"/>
          <w:szCs w:val="24"/>
        </w:rPr>
        <w:t xml:space="preserve"> taikant įstatymuose numatytas teritorinio teismingumo taisykles, teisėjams, išskyrus atvejus, kai byla nagrinėjama rašytinio proceso tvarka arba kai bylą </w:t>
      </w:r>
      <w:r w:rsidR="003F3282" w:rsidRPr="00F37C72">
        <w:rPr>
          <w:rFonts w:ascii="Times New Roman" w:eastAsia="Calibri" w:hAnsi="Times New Roman" w:cs="Times New Roman"/>
          <w:i/>
          <w:sz w:val="24"/>
          <w:szCs w:val="24"/>
        </w:rPr>
        <w:t xml:space="preserve">operatyviau </w:t>
      </w:r>
      <w:r w:rsidR="00327DFC" w:rsidRPr="00F37C72">
        <w:rPr>
          <w:rFonts w:ascii="Times New Roman" w:eastAsia="Calibri" w:hAnsi="Times New Roman" w:cs="Times New Roman"/>
          <w:i/>
          <w:sz w:val="24"/>
          <w:szCs w:val="24"/>
        </w:rPr>
        <w:t>ir ekonomiškiau</w:t>
      </w:r>
      <w:r w:rsidR="00327DFC" w:rsidRPr="00F37C72">
        <w:rPr>
          <w:rFonts w:ascii="Times New Roman" w:eastAsia="Calibri" w:hAnsi="Times New Roman" w:cs="Times New Roman"/>
          <w:sz w:val="24"/>
          <w:szCs w:val="24"/>
        </w:rPr>
        <w:t xml:space="preserve"> išnagrinės kitų teismo rūmų tei</w:t>
      </w:r>
      <w:r w:rsidR="00A32CA2" w:rsidRPr="00F37C72">
        <w:rPr>
          <w:rFonts w:ascii="Times New Roman" w:eastAsia="Calibri" w:hAnsi="Times New Roman" w:cs="Times New Roman"/>
          <w:sz w:val="24"/>
          <w:szCs w:val="24"/>
        </w:rPr>
        <w:t>sėjai. Pagal Teismų įstatymo 36 </w:t>
      </w:r>
      <w:r w:rsidR="00327DFC" w:rsidRPr="00F37C72">
        <w:rPr>
          <w:rFonts w:ascii="Times New Roman" w:eastAsia="Calibri" w:hAnsi="Times New Roman" w:cs="Times New Roman"/>
          <w:sz w:val="24"/>
          <w:szCs w:val="24"/>
        </w:rPr>
        <w:t xml:space="preserve">straipsnio 10 dalį, bylos teisėjams paskirstomos ir teisėjų kolegijos sudaromos naudojantis kompiuterine programa, sukurta vadovaujantis </w:t>
      </w:r>
      <w:r w:rsidR="00132E2B" w:rsidRPr="00F37C72">
        <w:rPr>
          <w:rFonts w:ascii="Times New Roman" w:eastAsia="Calibri" w:hAnsi="Times New Roman" w:cs="Times New Roman"/>
          <w:sz w:val="24"/>
          <w:szCs w:val="24"/>
        </w:rPr>
        <w:t>Teisėjų tarybos patvirtintomis Bylų paskirstymo teisėjams ir teisėjų kolegijų sudarymo taisyklėmis.</w:t>
      </w:r>
    </w:p>
    <w:p w14:paraId="651DBB26" w14:textId="01313292" w:rsidR="00AD0255" w:rsidRPr="00F37C72" w:rsidRDefault="00F15201" w:rsidP="00AD0255">
      <w:pPr>
        <w:spacing w:after="0" w:line="360" w:lineRule="auto"/>
        <w:ind w:firstLine="720"/>
        <w:jc w:val="both"/>
        <w:rPr>
          <w:rFonts w:ascii="Times New Roman" w:eastAsia="Calibri" w:hAnsi="Times New Roman" w:cs="Times New Roman"/>
          <w:sz w:val="24"/>
          <w:szCs w:val="24"/>
        </w:rPr>
      </w:pPr>
      <w:r w:rsidRPr="00F37C72">
        <w:rPr>
          <w:rFonts w:ascii="Times New Roman" w:eastAsia="Calibri" w:hAnsi="Times New Roman" w:cs="Times New Roman"/>
          <w:sz w:val="24"/>
          <w:szCs w:val="24"/>
        </w:rPr>
        <w:t>Pagal Teisėjų tarybos 2025 m. rugpjūčio 29 d. nutarimu patvirtinto Bylų paskirstymo teisėjams ir teisėjų kolegijų sudarymo taisyklių aprašo (toliau - Aprašas) nuostatas, pirminius duomeni</w:t>
      </w:r>
      <w:r w:rsidR="00800553" w:rsidRPr="00F37C72">
        <w:rPr>
          <w:rFonts w:ascii="Times New Roman" w:eastAsia="Calibri" w:hAnsi="Times New Roman" w:cs="Times New Roman"/>
          <w:sz w:val="24"/>
          <w:szCs w:val="24"/>
        </w:rPr>
        <w:t>s į Lietuvos teismų informacinę sistemą</w:t>
      </w:r>
      <w:r w:rsidRPr="00F37C72">
        <w:rPr>
          <w:rFonts w:ascii="Times New Roman" w:eastAsia="Calibri" w:hAnsi="Times New Roman" w:cs="Times New Roman"/>
          <w:sz w:val="24"/>
          <w:szCs w:val="24"/>
        </w:rPr>
        <w:t xml:space="preserve"> (LITEKO) įvedantis asmuo ir (ar) bylas skirstantis asmuo, pagal atitinkamo teismo, o kai teismas sudarytas iš teismo rūmų, – teismo rūmų, kompetenciją ir specifiką, atsižvelgdamas į LITEKO esančius duomenis dėl galimo viešųjų ir privačių interesų konflikto, prieš </w:t>
      </w:r>
      <w:r w:rsidR="00525ABC">
        <w:rPr>
          <w:rFonts w:ascii="Times New Roman" w:eastAsia="Calibri" w:hAnsi="Times New Roman" w:cs="Times New Roman"/>
          <w:sz w:val="24"/>
          <w:szCs w:val="24"/>
        </w:rPr>
        <w:t>Bylų skirstymo m</w:t>
      </w:r>
      <w:r w:rsidRPr="00F37C72">
        <w:rPr>
          <w:rFonts w:ascii="Times New Roman" w:eastAsia="Calibri" w:hAnsi="Times New Roman" w:cs="Times New Roman"/>
          <w:sz w:val="24"/>
          <w:szCs w:val="24"/>
        </w:rPr>
        <w:t>odulio pagalba skirdamas bylą, nurodydamas teisinį pagrindą, į LITEKO įveda, peržiūri ir pakeičia Aprašo 11.1–11.11 nurodytus duomenis, iš jų – ir duomenis apie teisėjams nustatytą specializaciją, taip pat duomenis apie teisme, o kai teismas sudarytas iš teismo rūmų – teismo rūmuose taikomų per atitinkamą laikotarpį galimą paskirti maksimalų bylų kiekį, išreiškiamą per bylų sudėtingumo balų sumą, tenkančią vienam teisėjui, preliminarų bylos priskyrimą teismo rūmams.</w:t>
      </w:r>
      <w:r w:rsidR="00AD0255" w:rsidRPr="00F37C72">
        <w:rPr>
          <w:rFonts w:ascii="Times New Roman" w:eastAsia="Calibri" w:hAnsi="Times New Roman" w:cs="Times New Roman"/>
          <w:sz w:val="24"/>
          <w:szCs w:val="24"/>
        </w:rPr>
        <w:t xml:space="preserve"> Teisėjo (pranešėjo) parinkimą bylai pagal atitinkamo teismo, o kai teismas sudarytas iš teismo rūmų, – teismo rūmų, kompetenciją ir specifiką automatiniu būdu, atlieka Bylų skirstymo modulis, visuomet įvertindam</w:t>
      </w:r>
      <w:r w:rsidR="00F37C72" w:rsidRPr="00F37C72">
        <w:rPr>
          <w:rFonts w:ascii="Times New Roman" w:eastAsia="Calibri" w:hAnsi="Times New Roman" w:cs="Times New Roman"/>
          <w:sz w:val="24"/>
          <w:szCs w:val="24"/>
        </w:rPr>
        <w:t xml:space="preserve">as ir atsižvelgdamas į minėtas </w:t>
      </w:r>
      <w:r w:rsidR="00AD0255" w:rsidRPr="00F37C72">
        <w:rPr>
          <w:rFonts w:ascii="Times New Roman" w:eastAsia="Calibri" w:hAnsi="Times New Roman" w:cs="Times New Roman"/>
          <w:sz w:val="24"/>
          <w:szCs w:val="24"/>
        </w:rPr>
        <w:t xml:space="preserve">Aprašo 11 punkte išdėstytas aplinkybes. </w:t>
      </w:r>
      <w:r w:rsidR="00AD0255" w:rsidRPr="00F37C72">
        <w:rPr>
          <w:rFonts w:ascii="Times New Roman" w:hAnsi="Times New Roman" w:cs="Times New Roman"/>
          <w:sz w:val="24"/>
          <w:szCs w:val="24"/>
        </w:rPr>
        <w:t xml:space="preserve">Kai teismas sudarytas iš teismo </w:t>
      </w:r>
      <w:r w:rsidR="00AD0255" w:rsidRPr="00F37C72">
        <w:rPr>
          <w:rFonts w:ascii="Times New Roman" w:hAnsi="Times New Roman" w:cs="Times New Roman"/>
          <w:sz w:val="24"/>
          <w:szCs w:val="24"/>
        </w:rPr>
        <w:lastRenderedPageBreak/>
        <w:t xml:space="preserve">rūmų, bylas skirstantis asmuo, teismo pirmininko, jo pavaduotojo ar kito įgalioto teisėjo sprendimu, gali parinkti iš sąrašo teismo rūmus, kurių teisėjams gali būti skiriama byla nagrinėti, ir </w:t>
      </w:r>
      <w:r w:rsidR="00525ABC">
        <w:rPr>
          <w:rFonts w:ascii="Times New Roman" w:eastAsia="Calibri" w:hAnsi="Times New Roman" w:cs="Times New Roman"/>
          <w:sz w:val="24"/>
          <w:szCs w:val="24"/>
        </w:rPr>
        <w:t>Bylų skirstymo modul</w:t>
      </w:r>
      <w:r w:rsidR="00AD0255" w:rsidRPr="00F37C72">
        <w:rPr>
          <w:rFonts w:ascii="Times New Roman" w:hAnsi="Times New Roman" w:cs="Times New Roman"/>
          <w:sz w:val="24"/>
          <w:szCs w:val="24"/>
        </w:rPr>
        <w:t>is atlieka teisėjo (teisėjo prane</w:t>
      </w:r>
      <w:r w:rsidR="00525ABC">
        <w:rPr>
          <w:rFonts w:ascii="Times New Roman" w:hAnsi="Times New Roman" w:cs="Times New Roman"/>
          <w:sz w:val="24"/>
          <w:szCs w:val="24"/>
        </w:rPr>
        <w:t xml:space="preserve">šėjo) parinkimą Aprašo 16 ir 17 </w:t>
      </w:r>
      <w:r w:rsidR="00AD0255" w:rsidRPr="00F37C72">
        <w:rPr>
          <w:rFonts w:ascii="Times New Roman" w:hAnsi="Times New Roman" w:cs="Times New Roman"/>
          <w:sz w:val="24"/>
          <w:szCs w:val="24"/>
        </w:rPr>
        <w:t xml:space="preserve">punktuose numatyta tvarka. Sprendimas dėl bylos skyrimo kitų teismo rūmų teisėjams priimamas, be kita ko, atsižvelgiant į </w:t>
      </w:r>
      <w:r w:rsidR="00525ABC">
        <w:rPr>
          <w:rFonts w:ascii="Times New Roman" w:eastAsia="Calibri" w:hAnsi="Times New Roman" w:cs="Times New Roman"/>
          <w:sz w:val="24"/>
          <w:szCs w:val="24"/>
        </w:rPr>
        <w:t>Bylų skirstymo modulio</w:t>
      </w:r>
      <w:r w:rsidR="00AD0255" w:rsidRPr="00F37C72">
        <w:rPr>
          <w:rFonts w:ascii="Times New Roman" w:hAnsi="Times New Roman" w:cs="Times New Roman"/>
          <w:sz w:val="24"/>
          <w:szCs w:val="24"/>
        </w:rPr>
        <w:t xml:space="preserve"> suformuotą statistinę skirstymo ataskaitą, kurią galima suformuoti teismuose, sudarytuose iš teismo rūmų, siekiant palyginti atskiruose teismo rūmuose gautų bylų kiekį ir pobūdį (</w:t>
      </w:r>
      <w:r w:rsidR="00525ABC">
        <w:rPr>
          <w:rFonts w:ascii="Times New Roman" w:hAnsi="Times New Roman" w:cs="Times New Roman"/>
          <w:sz w:val="24"/>
          <w:szCs w:val="24"/>
        </w:rPr>
        <w:t xml:space="preserve">Aprašo </w:t>
      </w:r>
      <w:r w:rsidR="00AD0255" w:rsidRPr="00F37C72">
        <w:rPr>
          <w:rFonts w:ascii="Times New Roman" w:hAnsi="Times New Roman" w:cs="Times New Roman"/>
          <w:sz w:val="24"/>
          <w:szCs w:val="24"/>
        </w:rPr>
        <w:t>11, 19, 20 punktai).</w:t>
      </w:r>
    </w:p>
    <w:p w14:paraId="7F2DC1BA" w14:textId="4A9F50D3" w:rsidR="00132E2B" w:rsidRPr="00F37C72" w:rsidRDefault="00E6484E" w:rsidP="00AD0255">
      <w:pPr>
        <w:spacing w:after="0" w:line="360" w:lineRule="auto"/>
        <w:ind w:firstLine="720"/>
        <w:jc w:val="both"/>
        <w:rPr>
          <w:rFonts w:ascii="Times New Roman" w:eastAsia="Calibri" w:hAnsi="Times New Roman" w:cs="Times New Roman"/>
          <w:sz w:val="24"/>
          <w:szCs w:val="24"/>
        </w:rPr>
      </w:pPr>
      <w:r w:rsidRPr="00F37C72">
        <w:rPr>
          <w:rFonts w:ascii="Times New Roman" w:eastAsia="Calibri" w:hAnsi="Times New Roman" w:cs="Times New Roman"/>
          <w:sz w:val="24"/>
          <w:szCs w:val="24"/>
        </w:rPr>
        <w:t xml:space="preserve">Taigi, teisinis reglamentavimas, susijęs su bylų priskyrimu atitinkamų apylinkės teismų teismo rūmams, užtikrina didesnį </w:t>
      </w:r>
      <w:r w:rsidR="00F37C72" w:rsidRPr="00F37C72">
        <w:rPr>
          <w:rFonts w:ascii="Times New Roman" w:eastAsia="Calibri" w:hAnsi="Times New Roman" w:cs="Times New Roman"/>
          <w:sz w:val="24"/>
          <w:szCs w:val="24"/>
        </w:rPr>
        <w:t xml:space="preserve">bylų </w:t>
      </w:r>
      <w:r w:rsidR="00AD0255" w:rsidRPr="00F37C72">
        <w:rPr>
          <w:rFonts w:ascii="Times New Roman" w:eastAsia="Calibri" w:hAnsi="Times New Roman" w:cs="Times New Roman"/>
          <w:sz w:val="24"/>
          <w:szCs w:val="24"/>
        </w:rPr>
        <w:t xml:space="preserve">skirstymo proceso skaidrumą, teisėjų nešališkumą ir </w:t>
      </w:r>
      <w:r w:rsidRPr="00F37C72">
        <w:rPr>
          <w:rFonts w:ascii="Times New Roman" w:eastAsia="Calibri" w:hAnsi="Times New Roman" w:cs="Times New Roman"/>
          <w:sz w:val="24"/>
          <w:szCs w:val="24"/>
        </w:rPr>
        <w:t>teismų nepriklausomumą,</w:t>
      </w:r>
      <w:r w:rsidR="00AD0255" w:rsidRPr="00F37C72">
        <w:rPr>
          <w:rFonts w:ascii="Times New Roman" w:eastAsia="Calibri" w:hAnsi="Times New Roman" w:cs="Times New Roman"/>
          <w:sz w:val="24"/>
          <w:szCs w:val="24"/>
        </w:rPr>
        <w:t xml:space="preserve"> taip pat</w:t>
      </w:r>
      <w:r w:rsidRPr="00F37C72">
        <w:rPr>
          <w:rFonts w:ascii="Times New Roman" w:eastAsia="Calibri" w:hAnsi="Times New Roman" w:cs="Times New Roman"/>
          <w:sz w:val="24"/>
          <w:szCs w:val="24"/>
        </w:rPr>
        <w:t xml:space="preserve"> teisėjų specializacij</w:t>
      </w:r>
      <w:r w:rsidR="0002150A" w:rsidRPr="00F37C72">
        <w:rPr>
          <w:rFonts w:ascii="Times New Roman" w:eastAsia="Calibri" w:hAnsi="Times New Roman" w:cs="Times New Roman"/>
          <w:sz w:val="24"/>
          <w:szCs w:val="24"/>
        </w:rPr>
        <w:t xml:space="preserve">as, darbo krūvio paskirstymą, bylos dalyvių teisės į operatyvų jų bylos išnagrinėjimą per kuo trumpiausią laiką – teismo proceso operatyvumo ir ekonomiškumo principų įgyvendinimą. </w:t>
      </w:r>
    </w:p>
    <w:p w14:paraId="196DFA01" w14:textId="530E1BF0" w:rsidR="00A54E21" w:rsidRPr="00F37C72" w:rsidRDefault="00EF706E" w:rsidP="007D47EE">
      <w:pPr>
        <w:spacing w:after="0" w:line="360" w:lineRule="auto"/>
        <w:ind w:firstLine="720"/>
        <w:jc w:val="both"/>
        <w:rPr>
          <w:rStyle w:val="app-text--selectable"/>
          <w:rFonts w:ascii="Times New Roman" w:hAnsi="Times New Roman" w:cs="Times New Roman"/>
          <w:sz w:val="24"/>
          <w:szCs w:val="24"/>
        </w:rPr>
      </w:pPr>
      <w:r w:rsidRPr="00F37C72">
        <w:rPr>
          <w:rFonts w:ascii="Times New Roman" w:eastAsia="Calibri" w:hAnsi="Times New Roman" w:cs="Times New Roman"/>
          <w:sz w:val="24"/>
          <w:szCs w:val="24"/>
        </w:rPr>
        <w:t>Pagal ANK 628 straipsnio 1 dalį, apylinkių teismai administracinių nusižengimų bylas nagrinėja pagal nusižengimo padarymo vietą, o kai administracinėn atsakomybėn traukiamas asmuo yra nepilnametis – paga</w:t>
      </w:r>
      <w:r w:rsidR="007451AA" w:rsidRPr="00F37C72">
        <w:rPr>
          <w:rFonts w:ascii="Times New Roman" w:eastAsia="Calibri" w:hAnsi="Times New Roman" w:cs="Times New Roman"/>
          <w:sz w:val="24"/>
          <w:szCs w:val="24"/>
        </w:rPr>
        <w:t>l nepilnamečio gyvenamąją vietą</w:t>
      </w:r>
      <w:r w:rsidR="00A32CA2" w:rsidRPr="00F37C72">
        <w:rPr>
          <w:rFonts w:ascii="Times New Roman" w:eastAsia="Calibri" w:hAnsi="Times New Roman" w:cs="Times New Roman"/>
          <w:sz w:val="24"/>
          <w:szCs w:val="24"/>
        </w:rPr>
        <w:t>. Taigi, ANK 628 straipsnio 1 </w:t>
      </w:r>
      <w:r w:rsidRPr="00F37C72">
        <w:rPr>
          <w:rFonts w:ascii="Times New Roman" w:eastAsia="Calibri" w:hAnsi="Times New Roman" w:cs="Times New Roman"/>
          <w:sz w:val="24"/>
          <w:szCs w:val="24"/>
        </w:rPr>
        <w:t>dalies nuostata įtvirtina teritorinio teismingumo taisyklę. Minėt</w:t>
      </w:r>
      <w:r w:rsidR="00A32CA2" w:rsidRPr="00F37C72">
        <w:rPr>
          <w:rFonts w:ascii="Times New Roman" w:eastAsia="Calibri" w:hAnsi="Times New Roman" w:cs="Times New Roman"/>
          <w:sz w:val="24"/>
          <w:szCs w:val="24"/>
        </w:rPr>
        <w:t>a, kad pagal Teismų įstatymo 36 </w:t>
      </w:r>
      <w:r w:rsidRPr="00F37C72">
        <w:rPr>
          <w:rFonts w:ascii="Times New Roman" w:eastAsia="Calibri" w:hAnsi="Times New Roman" w:cs="Times New Roman"/>
          <w:sz w:val="24"/>
          <w:szCs w:val="24"/>
        </w:rPr>
        <w:t xml:space="preserve">straipsnio 11 dalį, kai teismas sudarytas iš teismo rūmų, </w:t>
      </w:r>
      <w:r w:rsidRPr="00F37C72">
        <w:rPr>
          <w:rFonts w:ascii="Times New Roman" w:eastAsia="Calibri" w:hAnsi="Times New Roman" w:cs="Times New Roman"/>
          <w:i/>
          <w:sz w:val="24"/>
          <w:szCs w:val="24"/>
        </w:rPr>
        <w:t xml:space="preserve">bylų paskirstymo teisėjams ir teisėjų kolegijų sudarymo taisyklės </w:t>
      </w:r>
      <w:r w:rsidRPr="00F37C72">
        <w:rPr>
          <w:rFonts w:ascii="Times New Roman" w:eastAsia="Calibri" w:hAnsi="Times New Roman" w:cs="Times New Roman"/>
          <w:sz w:val="24"/>
          <w:szCs w:val="24"/>
        </w:rPr>
        <w:t xml:space="preserve">taip pat turi užtikrinti, kad bylos būtų skiriamos tų teismo rūmų, kurie nustatomi </w:t>
      </w:r>
      <w:proofErr w:type="spellStart"/>
      <w:r w:rsidRPr="00F37C72">
        <w:rPr>
          <w:rFonts w:ascii="Times New Roman" w:eastAsia="Calibri" w:hAnsi="Times New Roman" w:cs="Times New Roman"/>
          <w:i/>
          <w:sz w:val="24"/>
          <w:szCs w:val="24"/>
        </w:rPr>
        <w:t>mutatis</w:t>
      </w:r>
      <w:proofErr w:type="spellEnd"/>
      <w:r w:rsidRPr="00F37C72">
        <w:rPr>
          <w:rFonts w:ascii="Times New Roman" w:eastAsia="Calibri" w:hAnsi="Times New Roman" w:cs="Times New Roman"/>
          <w:i/>
          <w:sz w:val="24"/>
          <w:szCs w:val="24"/>
        </w:rPr>
        <w:t xml:space="preserve"> </w:t>
      </w:r>
      <w:proofErr w:type="spellStart"/>
      <w:r w:rsidRPr="00F37C72">
        <w:rPr>
          <w:rFonts w:ascii="Times New Roman" w:eastAsia="Calibri" w:hAnsi="Times New Roman" w:cs="Times New Roman"/>
          <w:i/>
          <w:sz w:val="24"/>
          <w:szCs w:val="24"/>
        </w:rPr>
        <w:t>mutandis</w:t>
      </w:r>
      <w:proofErr w:type="spellEnd"/>
      <w:r w:rsidRPr="00F37C72">
        <w:rPr>
          <w:rFonts w:ascii="Times New Roman" w:eastAsia="Calibri" w:hAnsi="Times New Roman" w:cs="Times New Roman"/>
          <w:sz w:val="24"/>
          <w:szCs w:val="24"/>
        </w:rPr>
        <w:t xml:space="preserve"> taikant įstatymuose numatytas teritorinio teismingumo taisykles, teisėjams, išskyrus atvejus, kai byla nagrinėjama rašytinio proceso tvarka arba kai bylą </w:t>
      </w:r>
      <w:r w:rsidRPr="00F37C72">
        <w:rPr>
          <w:rFonts w:ascii="Times New Roman" w:eastAsia="Calibri" w:hAnsi="Times New Roman" w:cs="Times New Roman"/>
          <w:i/>
          <w:sz w:val="24"/>
          <w:szCs w:val="24"/>
        </w:rPr>
        <w:t>operatyviau ir ekonomiškiau</w:t>
      </w:r>
      <w:r w:rsidRPr="00F37C72">
        <w:rPr>
          <w:rFonts w:ascii="Times New Roman" w:eastAsia="Calibri" w:hAnsi="Times New Roman" w:cs="Times New Roman"/>
          <w:sz w:val="24"/>
          <w:szCs w:val="24"/>
        </w:rPr>
        <w:t xml:space="preserve"> išnagrinės kitų teismo rūmų teisėjai. Pagal </w:t>
      </w:r>
      <w:r w:rsidR="00A84A1D" w:rsidRPr="00F37C72">
        <w:rPr>
          <w:rFonts w:ascii="Times New Roman" w:eastAsia="Calibri" w:hAnsi="Times New Roman" w:cs="Times New Roman"/>
          <w:sz w:val="24"/>
          <w:szCs w:val="24"/>
        </w:rPr>
        <w:t>Aprašo 11.9 punktą</w:t>
      </w:r>
      <w:r w:rsidRPr="00F37C72">
        <w:rPr>
          <w:rFonts w:ascii="Times New Roman" w:eastAsia="Calibri" w:hAnsi="Times New Roman" w:cs="Times New Roman"/>
          <w:sz w:val="24"/>
          <w:szCs w:val="24"/>
        </w:rPr>
        <w:t xml:space="preserve">, į LITEKO įvedamas </w:t>
      </w:r>
      <w:r w:rsidR="00F83A72" w:rsidRPr="00F37C72">
        <w:rPr>
          <w:rFonts w:ascii="Times New Roman" w:eastAsia="Calibri" w:hAnsi="Times New Roman" w:cs="Times New Roman"/>
          <w:sz w:val="24"/>
          <w:szCs w:val="24"/>
        </w:rPr>
        <w:t xml:space="preserve">tik </w:t>
      </w:r>
      <w:r w:rsidRPr="00F37C72">
        <w:rPr>
          <w:rFonts w:ascii="Times New Roman" w:eastAsia="Calibri" w:hAnsi="Times New Roman" w:cs="Times New Roman"/>
          <w:sz w:val="24"/>
          <w:szCs w:val="24"/>
        </w:rPr>
        <w:t>preliminarus bylos priskyrimas atitinkamiems teismo rūmams, tačiau atsižvelgiant į aukščiau minėtus faktorius, teismo rūmai, kuriuose bus nagrinėjama byla, gali būti</w:t>
      </w:r>
      <w:r w:rsidR="00F83A72" w:rsidRPr="00F37C72">
        <w:rPr>
          <w:rFonts w:ascii="Times New Roman" w:eastAsia="Calibri" w:hAnsi="Times New Roman" w:cs="Times New Roman"/>
          <w:sz w:val="24"/>
          <w:szCs w:val="24"/>
        </w:rPr>
        <w:t>, vadovaujantis proceso operatyvumo ir ekonomiškumo principais,</w:t>
      </w:r>
      <w:r w:rsidRPr="00F37C72">
        <w:rPr>
          <w:rFonts w:ascii="Times New Roman" w:eastAsia="Calibri" w:hAnsi="Times New Roman" w:cs="Times New Roman"/>
          <w:sz w:val="24"/>
          <w:szCs w:val="24"/>
        </w:rPr>
        <w:t xml:space="preserve"> keičiami. Atkreiptinas dėmesys į tai, kad </w:t>
      </w:r>
      <w:r w:rsidR="00F83A72" w:rsidRPr="00F37C72">
        <w:rPr>
          <w:rFonts w:ascii="Times New Roman" w:eastAsia="Calibri" w:hAnsi="Times New Roman" w:cs="Times New Roman"/>
          <w:sz w:val="24"/>
          <w:szCs w:val="24"/>
        </w:rPr>
        <w:t xml:space="preserve">ir </w:t>
      </w:r>
      <w:r w:rsidRPr="00F37C72">
        <w:rPr>
          <w:rFonts w:ascii="Times New Roman" w:eastAsia="Calibri" w:hAnsi="Times New Roman" w:cs="Times New Roman"/>
          <w:sz w:val="24"/>
          <w:szCs w:val="24"/>
        </w:rPr>
        <w:t>p</w:t>
      </w:r>
      <w:r w:rsidR="00132E2B" w:rsidRPr="00F37C72">
        <w:rPr>
          <w:rFonts w:ascii="Times New Roman" w:eastAsia="Calibri" w:hAnsi="Times New Roman" w:cs="Times New Roman"/>
          <w:sz w:val="24"/>
          <w:szCs w:val="24"/>
        </w:rPr>
        <w:t>agal ANK 566 straipsnio 1 dalį, t</w:t>
      </w:r>
      <w:r w:rsidR="00132E2B" w:rsidRPr="00F37C72">
        <w:rPr>
          <w:rStyle w:val="app-text--selectable"/>
          <w:rFonts w:ascii="Times New Roman" w:hAnsi="Times New Roman" w:cs="Times New Roman"/>
          <w:sz w:val="24"/>
          <w:szCs w:val="24"/>
        </w:rPr>
        <w:t>iriant administracinius nusižengimus ir nagrinėjant administracinių n</w:t>
      </w:r>
      <w:r w:rsidRPr="00F37C72">
        <w:rPr>
          <w:rStyle w:val="app-text--selectable"/>
          <w:rFonts w:ascii="Times New Roman" w:hAnsi="Times New Roman" w:cs="Times New Roman"/>
          <w:sz w:val="24"/>
          <w:szCs w:val="24"/>
        </w:rPr>
        <w:t xml:space="preserve">usižengimų bylas, vadovaujamasi, be kita ko, </w:t>
      </w:r>
      <w:r w:rsidRPr="00F37C72">
        <w:rPr>
          <w:rStyle w:val="app-text--selectable"/>
          <w:rFonts w:ascii="Times New Roman" w:hAnsi="Times New Roman" w:cs="Times New Roman"/>
          <w:i/>
          <w:sz w:val="24"/>
          <w:szCs w:val="24"/>
        </w:rPr>
        <w:t>operatyvumo</w:t>
      </w:r>
      <w:r w:rsidR="00132E2B" w:rsidRPr="00F37C72">
        <w:rPr>
          <w:rStyle w:val="app-text--selectable"/>
          <w:rFonts w:ascii="Times New Roman" w:hAnsi="Times New Roman" w:cs="Times New Roman"/>
          <w:i/>
          <w:iCs/>
          <w:sz w:val="24"/>
          <w:szCs w:val="24"/>
        </w:rPr>
        <w:t xml:space="preserve"> </w:t>
      </w:r>
      <w:r w:rsidRPr="00F37C72">
        <w:rPr>
          <w:rStyle w:val="app-text--selectable"/>
          <w:rFonts w:ascii="Times New Roman" w:hAnsi="Times New Roman" w:cs="Times New Roman"/>
          <w:sz w:val="24"/>
          <w:szCs w:val="24"/>
        </w:rPr>
        <w:t>principu.</w:t>
      </w:r>
    </w:p>
    <w:p w14:paraId="2B1CAE8A" w14:textId="77777777" w:rsidR="007D47EE" w:rsidRPr="00F37C72" w:rsidRDefault="00F83A72" w:rsidP="000746D4">
      <w:pPr>
        <w:spacing w:after="0" w:line="360" w:lineRule="auto"/>
        <w:ind w:firstLine="851"/>
        <w:jc w:val="both"/>
        <w:rPr>
          <w:rFonts w:ascii="Times New Roman" w:hAnsi="Times New Roman" w:cs="Times New Roman"/>
          <w:sz w:val="24"/>
          <w:szCs w:val="24"/>
        </w:rPr>
      </w:pPr>
      <w:r w:rsidRPr="00F37C72">
        <w:rPr>
          <w:rStyle w:val="app-text--selectable"/>
          <w:rFonts w:ascii="Times New Roman" w:hAnsi="Times New Roman" w:cs="Times New Roman"/>
          <w:sz w:val="24"/>
          <w:szCs w:val="24"/>
        </w:rPr>
        <w:t>Atsižvelgiant į tai, kas išdėstyta,</w:t>
      </w:r>
      <w:r w:rsidR="002E3A1D" w:rsidRPr="00F37C72">
        <w:rPr>
          <w:rStyle w:val="app-text--selectable"/>
          <w:rFonts w:ascii="Times New Roman" w:hAnsi="Times New Roman" w:cs="Times New Roman"/>
          <w:sz w:val="24"/>
          <w:szCs w:val="24"/>
        </w:rPr>
        <w:t xml:space="preserve"> teikiame nuomonę,</w:t>
      </w:r>
      <w:r w:rsidRPr="00F37C72">
        <w:rPr>
          <w:rStyle w:val="app-text--selectable"/>
          <w:rFonts w:ascii="Times New Roman" w:hAnsi="Times New Roman" w:cs="Times New Roman"/>
          <w:sz w:val="24"/>
          <w:szCs w:val="24"/>
        </w:rPr>
        <w:t xml:space="preserve"> kad </w:t>
      </w:r>
      <w:r w:rsidR="002E3A1D" w:rsidRPr="00F37C72">
        <w:rPr>
          <w:rStyle w:val="app-text--selectable"/>
          <w:rFonts w:ascii="Times New Roman" w:hAnsi="Times New Roman" w:cs="Times New Roman"/>
          <w:sz w:val="24"/>
          <w:szCs w:val="24"/>
        </w:rPr>
        <w:t xml:space="preserve">Pareiškėjų peticijoje išreiškiamas siūlymas įtvirtinti ANK 628 straipsnio 1 dalyje nuostatą, kad </w:t>
      </w:r>
      <w:r w:rsidR="007451AA" w:rsidRPr="00F37C72">
        <w:rPr>
          <w:rStyle w:val="app-text--selectable"/>
          <w:rFonts w:ascii="Times New Roman" w:hAnsi="Times New Roman" w:cs="Times New Roman"/>
          <w:sz w:val="24"/>
          <w:szCs w:val="24"/>
        </w:rPr>
        <w:t>„</w:t>
      </w:r>
      <w:r w:rsidR="002E3A1D" w:rsidRPr="00F37C72">
        <w:rPr>
          <w:rFonts w:ascii="Times New Roman" w:eastAsia="Calibri" w:hAnsi="Times New Roman" w:cs="Times New Roman"/>
          <w:sz w:val="24"/>
          <w:szCs w:val="24"/>
        </w:rPr>
        <w:t xml:space="preserve">apylinkių teismai administracinių nusižengimų bylas </w:t>
      </w:r>
      <w:r w:rsidR="002E3A1D" w:rsidRPr="00F37C72">
        <w:rPr>
          <w:rFonts w:ascii="Times New Roman" w:eastAsia="Calibri" w:hAnsi="Times New Roman" w:cs="Times New Roman"/>
          <w:i/>
          <w:sz w:val="24"/>
          <w:szCs w:val="24"/>
        </w:rPr>
        <w:t>nagrinėja teismo rūmuose pagal nusižengimo padarymo vietą</w:t>
      </w:r>
      <w:r w:rsidR="002E3A1D" w:rsidRPr="00F37C72">
        <w:rPr>
          <w:rFonts w:ascii="Times New Roman" w:eastAsia="Calibri" w:hAnsi="Times New Roman" w:cs="Times New Roman"/>
          <w:sz w:val="24"/>
          <w:szCs w:val="24"/>
        </w:rPr>
        <w:t xml:space="preserve"> &lt;...&gt;</w:t>
      </w:r>
      <w:r w:rsidR="007451AA" w:rsidRPr="00F37C72">
        <w:rPr>
          <w:rFonts w:ascii="Times New Roman" w:eastAsia="Calibri" w:hAnsi="Times New Roman" w:cs="Times New Roman"/>
          <w:sz w:val="24"/>
          <w:szCs w:val="24"/>
        </w:rPr>
        <w:t>“</w:t>
      </w:r>
      <w:r w:rsidR="002E3A1D" w:rsidRPr="00F37C72">
        <w:rPr>
          <w:rFonts w:ascii="Times New Roman" w:eastAsia="Calibri" w:hAnsi="Times New Roman" w:cs="Times New Roman"/>
          <w:sz w:val="24"/>
          <w:szCs w:val="24"/>
        </w:rPr>
        <w:t xml:space="preserve"> neužtikrintų administracinių nusižengimų bylų nagrinėjimo operatyvumo ir ekonomiškumo</w:t>
      </w:r>
      <w:r w:rsidR="000746D4" w:rsidRPr="00F37C72">
        <w:rPr>
          <w:rFonts w:ascii="Times New Roman" w:eastAsia="Calibri" w:hAnsi="Times New Roman" w:cs="Times New Roman"/>
          <w:sz w:val="24"/>
          <w:szCs w:val="24"/>
        </w:rPr>
        <w:t xml:space="preserve">, silpnintų teismų nepriklausomumo, teisės į teisingą teismą garantijas. </w:t>
      </w:r>
      <w:r w:rsidR="002E3A1D" w:rsidRPr="00F37C72">
        <w:rPr>
          <w:rFonts w:ascii="Times New Roman" w:hAnsi="Times New Roman" w:cs="Times New Roman"/>
          <w:sz w:val="24"/>
          <w:szCs w:val="24"/>
        </w:rPr>
        <w:t xml:space="preserve">Pareiškėjų peticijoje nurodomi argumentai nepagrindžia ANK 628 straipsnio 1 dalies pildymo Pareiškėjų nurodoma nuostata būtinumo; papildomai pažymėtina, </w:t>
      </w:r>
      <w:r w:rsidR="000746D4" w:rsidRPr="00F37C72">
        <w:rPr>
          <w:rFonts w:ascii="Times New Roman" w:hAnsi="Times New Roman" w:cs="Times New Roman"/>
          <w:sz w:val="24"/>
          <w:szCs w:val="24"/>
        </w:rPr>
        <w:t xml:space="preserve">kad pagal </w:t>
      </w:r>
      <w:r w:rsidR="00EF706E" w:rsidRPr="00F37C72">
        <w:rPr>
          <w:rFonts w:ascii="Times New Roman" w:eastAsia="Calibri" w:hAnsi="Times New Roman" w:cs="Times New Roman"/>
          <w:sz w:val="24"/>
          <w:szCs w:val="24"/>
        </w:rPr>
        <w:t xml:space="preserve">ANK 630 straipsnio 2 dalį, bylos nagrinėjimas žodinio proceso tvarka ir administracinio nusižengimo teisenoje dalyvaujančių asmenų &lt;...&gt; dalyvavimas teismo posėdyje gali būti užtikrinamas naudojant informacines ir </w:t>
      </w:r>
      <w:r w:rsidR="00EF706E" w:rsidRPr="00F37C72">
        <w:rPr>
          <w:rFonts w:ascii="Times New Roman" w:eastAsia="Calibri" w:hAnsi="Times New Roman" w:cs="Times New Roman"/>
          <w:sz w:val="24"/>
          <w:szCs w:val="24"/>
        </w:rPr>
        <w:lastRenderedPageBreak/>
        <w:t>el</w:t>
      </w:r>
      <w:r w:rsidR="000746D4" w:rsidRPr="00F37C72">
        <w:rPr>
          <w:rFonts w:ascii="Times New Roman" w:eastAsia="Calibri" w:hAnsi="Times New Roman" w:cs="Times New Roman"/>
          <w:sz w:val="24"/>
          <w:szCs w:val="24"/>
        </w:rPr>
        <w:t xml:space="preserve">ektronines ryšių technologijas, taigi, kitaip, nei Pareiškėjai </w:t>
      </w:r>
      <w:r w:rsidR="00A32CA2" w:rsidRPr="00F37C72">
        <w:rPr>
          <w:rFonts w:ascii="Times New Roman" w:eastAsia="Calibri" w:hAnsi="Times New Roman" w:cs="Times New Roman"/>
          <w:sz w:val="24"/>
          <w:szCs w:val="24"/>
        </w:rPr>
        <w:t>teigia savo peticijoje, ANK 628 </w:t>
      </w:r>
      <w:r w:rsidR="000746D4" w:rsidRPr="00F37C72">
        <w:rPr>
          <w:rFonts w:ascii="Times New Roman" w:eastAsia="Calibri" w:hAnsi="Times New Roman" w:cs="Times New Roman"/>
          <w:sz w:val="24"/>
          <w:szCs w:val="24"/>
        </w:rPr>
        <w:t xml:space="preserve">straipsnio 1 dalyje nustatytas teisinis reguliavimas savaime nesuponuoja administracinio proceso dalyvių papildomų išlaidų turėjimo dėl administracinio nusižengimo bylos nagrinėjimo </w:t>
      </w:r>
      <w:r w:rsidR="007451AA" w:rsidRPr="00F37C72">
        <w:rPr>
          <w:rFonts w:ascii="Times New Roman" w:eastAsia="Calibri" w:hAnsi="Times New Roman" w:cs="Times New Roman"/>
          <w:sz w:val="24"/>
          <w:szCs w:val="24"/>
        </w:rPr>
        <w:t>vienuose ar kituose</w:t>
      </w:r>
      <w:r w:rsidR="000746D4" w:rsidRPr="00F37C72">
        <w:rPr>
          <w:rFonts w:ascii="Times New Roman" w:eastAsia="Calibri" w:hAnsi="Times New Roman" w:cs="Times New Roman"/>
          <w:sz w:val="24"/>
          <w:szCs w:val="24"/>
        </w:rPr>
        <w:t xml:space="preserve"> apylinkės teismo rūmuose.</w:t>
      </w:r>
    </w:p>
    <w:p w14:paraId="0660A420" w14:textId="77777777" w:rsidR="00693732" w:rsidRPr="00F37C72" w:rsidRDefault="0069373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448517BF" w14:textId="77777777" w:rsidR="00693732" w:rsidRPr="00F37C72" w:rsidRDefault="0069373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40ECD619" w14:textId="77777777" w:rsidR="00693732" w:rsidRPr="00F37C72" w:rsidRDefault="0069373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58DE6382" w14:textId="77777777" w:rsidR="00693732" w:rsidRPr="00F37C72" w:rsidRDefault="00693732" w:rsidP="00693732">
      <w:pPr>
        <w:spacing w:after="0" w:line="360" w:lineRule="auto"/>
        <w:jc w:val="both"/>
        <w:rPr>
          <w:rFonts w:ascii="Times New Roman" w:eastAsia="Times New Roman" w:hAnsi="Times New Roman" w:cs="Times New Roman"/>
          <w:sz w:val="24"/>
          <w:szCs w:val="24"/>
          <w:lang w:eastAsia="lt-LT"/>
        </w:rPr>
      </w:pPr>
      <w:r w:rsidRPr="00F37C72">
        <w:rPr>
          <w:rFonts w:ascii="Times New Roman" w:eastAsia="Times New Roman" w:hAnsi="Times New Roman" w:cs="Times New Roman"/>
          <w:sz w:val="24"/>
          <w:szCs w:val="24"/>
        </w:rPr>
        <w:t xml:space="preserve">Departamento direktorius                                       </w:t>
      </w:r>
      <w:r w:rsidR="00A32CA2" w:rsidRPr="00F37C72">
        <w:rPr>
          <w:rFonts w:ascii="Times New Roman" w:eastAsia="Times New Roman" w:hAnsi="Times New Roman" w:cs="Times New Roman"/>
          <w:sz w:val="24"/>
          <w:szCs w:val="24"/>
        </w:rPr>
        <w:t xml:space="preserve">                           </w:t>
      </w:r>
      <w:r w:rsidRPr="00F37C72">
        <w:rPr>
          <w:rFonts w:ascii="Times New Roman" w:eastAsia="Times New Roman" w:hAnsi="Times New Roman" w:cs="Times New Roman"/>
          <w:sz w:val="24"/>
          <w:szCs w:val="24"/>
        </w:rPr>
        <w:t xml:space="preserve">                         Dainius </w:t>
      </w:r>
      <w:proofErr w:type="spellStart"/>
      <w:r w:rsidRPr="00F37C72">
        <w:rPr>
          <w:rFonts w:ascii="Times New Roman" w:eastAsia="Times New Roman" w:hAnsi="Times New Roman" w:cs="Times New Roman"/>
          <w:sz w:val="24"/>
          <w:szCs w:val="24"/>
        </w:rPr>
        <w:t>Zebleckis</w:t>
      </w:r>
      <w:proofErr w:type="spellEnd"/>
    </w:p>
    <w:p w14:paraId="669C57AD" w14:textId="77777777" w:rsidR="00693732" w:rsidRPr="00F37C72" w:rsidRDefault="0069373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16DC85CE" w14:textId="77777777" w:rsidR="00693732" w:rsidRPr="00F37C72" w:rsidRDefault="0069373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2505F047" w14:textId="77777777" w:rsidR="00693732" w:rsidRPr="00F37C72" w:rsidRDefault="0069373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6FDF8F5C" w14:textId="77777777" w:rsidR="00A32CA2" w:rsidRPr="00F37C72" w:rsidRDefault="00A32CA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6E8BA5C5" w14:textId="77777777" w:rsidR="00A32CA2" w:rsidRPr="00F37C72" w:rsidRDefault="00A32CA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7E635F63" w14:textId="77777777" w:rsidR="00A32CA2" w:rsidRPr="00F37C72" w:rsidRDefault="00A32CA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454F5DAA" w14:textId="77777777" w:rsidR="00A32CA2" w:rsidRPr="00F37C72" w:rsidRDefault="00A32CA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10C9109D" w14:textId="77777777" w:rsidR="00A32CA2" w:rsidRPr="00F37C72" w:rsidRDefault="00A32CA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0C8EFFF3" w14:textId="77777777" w:rsidR="00A32CA2" w:rsidRPr="00F37C72" w:rsidRDefault="00A32CA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64FDC77F" w14:textId="77777777" w:rsidR="00A32CA2" w:rsidRPr="00F37C72" w:rsidRDefault="00A32CA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76DB3225" w14:textId="77777777" w:rsidR="00A32CA2" w:rsidRPr="00F37C72" w:rsidRDefault="00A32CA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521F9B91" w14:textId="77777777" w:rsidR="00A32CA2" w:rsidRPr="00F37C72" w:rsidRDefault="00A32CA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219FF9B2" w14:textId="77777777" w:rsidR="00A32CA2" w:rsidRPr="00F37C72" w:rsidRDefault="00A32CA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113AEA59" w14:textId="77777777" w:rsidR="00A32CA2" w:rsidRPr="00F37C72" w:rsidRDefault="00A32CA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1C3D1327" w14:textId="77777777" w:rsidR="00A32CA2" w:rsidRPr="00F37C72" w:rsidRDefault="00A32CA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6E148932" w14:textId="77777777" w:rsidR="00A32CA2" w:rsidRPr="00F37C72" w:rsidRDefault="00A32CA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24E02EB0" w14:textId="77777777" w:rsidR="00A32CA2" w:rsidRPr="00F37C72" w:rsidRDefault="00A32CA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476BE297" w14:textId="77777777" w:rsidR="00A32CA2" w:rsidRPr="00F37C72" w:rsidRDefault="00A32CA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10E08DBB" w14:textId="77777777" w:rsidR="00A32CA2" w:rsidRPr="00F37C72" w:rsidRDefault="00A32CA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11A9EE5E" w14:textId="77777777" w:rsidR="00A32CA2" w:rsidRPr="00F37C72" w:rsidRDefault="00A32CA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3F2A3ECD" w14:textId="77777777" w:rsidR="00A32CA2" w:rsidRPr="00F37C72" w:rsidRDefault="00A32CA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52B81038" w14:textId="77777777" w:rsidR="00A32CA2" w:rsidRPr="00F37C72" w:rsidRDefault="00A32CA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7A5314B3" w14:textId="28D2C25F" w:rsidR="00A32CA2" w:rsidRDefault="00A32CA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38778569" w14:textId="0B78D5E4" w:rsidR="00F37C72" w:rsidRDefault="00F37C72" w:rsidP="00693732">
      <w:pPr>
        <w:spacing w:after="0" w:line="360" w:lineRule="auto"/>
        <w:jc w:val="both"/>
        <w:textAlignment w:val="baseline"/>
        <w:rPr>
          <w:rFonts w:ascii="Times New Roman" w:eastAsia="Times New Roman" w:hAnsi="Times New Roman" w:cs="Times New Roman"/>
          <w:sz w:val="24"/>
          <w:szCs w:val="24"/>
          <w:shd w:val="clear" w:color="auto" w:fill="FFFFFF"/>
          <w:lang w:eastAsia="lt-LT"/>
        </w:rPr>
      </w:pPr>
    </w:p>
    <w:p w14:paraId="447EAD4D" w14:textId="56EDD0B1" w:rsidR="00F37C72" w:rsidRPr="00453D77" w:rsidRDefault="00F37C72" w:rsidP="00693732">
      <w:pPr>
        <w:spacing w:after="0" w:line="360" w:lineRule="auto"/>
        <w:jc w:val="both"/>
        <w:textAlignment w:val="baseline"/>
        <w:rPr>
          <w:rFonts w:ascii="Times New Roman" w:eastAsia="Times New Roman" w:hAnsi="Times New Roman" w:cs="Times New Roman"/>
          <w:sz w:val="24"/>
          <w:szCs w:val="24"/>
          <w:shd w:val="clear" w:color="auto" w:fill="FFFFFF"/>
          <w:lang w:val="en-US" w:eastAsia="lt-LT"/>
        </w:rPr>
      </w:pPr>
    </w:p>
    <w:p w14:paraId="604E077E" w14:textId="77777777" w:rsidR="00693732" w:rsidRPr="00F37C72" w:rsidRDefault="00693732" w:rsidP="00693732">
      <w:pPr>
        <w:tabs>
          <w:tab w:val="left" w:pos="993"/>
        </w:tabs>
        <w:spacing w:after="0" w:line="360" w:lineRule="auto"/>
        <w:jc w:val="both"/>
        <w:rPr>
          <w:rFonts w:ascii="Times New Roman" w:eastAsia="Times New Roman" w:hAnsi="Times New Roman" w:cs="Times New Roman"/>
          <w:sz w:val="24"/>
          <w:szCs w:val="24"/>
          <w:lang w:eastAsia="lt-LT"/>
        </w:rPr>
      </w:pPr>
      <w:r w:rsidRPr="00F37C72">
        <w:rPr>
          <w:rFonts w:ascii="Times New Roman" w:eastAsia="Times New Roman" w:hAnsi="Times New Roman" w:cs="Times New Roman"/>
          <w:sz w:val="24"/>
          <w:szCs w:val="24"/>
          <w:lang w:eastAsia="lt-LT"/>
        </w:rPr>
        <w:t xml:space="preserve">K. </w:t>
      </w:r>
      <w:proofErr w:type="spellStart"/>
      <w:r w:rsidRPr="00F37C72">
        <w:rPr>
          <w:rFonts w:ascii="Times New Roman" w:eastAsia="Times New Roman" w:hAnsi="Times New Roman" w:cs="Times New Roman"/>
          <w:sz w:val="24"/>
          <w:szCs w:val="24"/>
          <w:lang w:eastAsia="lt-LT"/>
        </w:rPr>
        <w:t>Capel</w:t>
      </w:r>
      <w:proofErr w:type="spellEnd"/>
      <w:r w:rsidRPr="00F37C72">
        <w:rPr>
          <w:rFonts w:ascii="Times New Roman" w:eastAsia="Times New Roman" w:hAnsi="Times New Roman" w:cs="Times New Roman"/>
          <w:sz w:val="24"/>
          <w:szCs w:val="24"/>
          <w:lang w:eastAsia="lt-LT"/>
        </w:rPr>
        <w:t xml:space="preserve"> </w:t>
      </w:r>
      <w:proofErr w:type="spellStart"/>
      <w:r w:rsidRPr="00F37C72">
        <w:rPr>
          <w:rFonts w:ascii="Times New Roman" w:eastAsia="Times New Roman" w:hAnsi="Times New Roman" w:cs="Times New Roman"/>
          <w:sz w:val="24"/>
          <w:szCs w:val="24"/>
          <w:lang w:eastAsia="lt-LT"/>
        </w:rPr>
        <w:t>Cuevas</w:t>
      </w:r>
      <w:proofErr w:type="spellEnd"/>
      <w:r w:rsidRPr="00F37C72">
        <w:rPr>
          <w:rFonts w:ascii="Times New Roman" w:eastAsia="Times New Roman" w:hAnsi="Times New Roman" w:cs="Times New Roman"/>
          <w:sz w:val="24"/>
          <w:szCs w:val="24"/>
          <w:lang w:eastAsia="lt-LT"/>
        </w:rPr>
        <w:t>, tel. (0 5)  209 6168, el. p. kristina.capel@lrs.lt</w:t>
      </w:r>
    </w:p>
    <w:p w14:paraId="2C825F57" w14:textId="77777777" w:rsidR="0024146F" w:rsidRPr="00F37C72" w:rsidRDefault="00693732" w:rsidP="00693732">
      <w:pPr>
        <w:spacing w:after="0" w:line="360" w:lineRule="auto"/>
        <w:jc w:val="both"/>
        <w:rPr>
          <w:rFonts w:ascii="Times New Roman" w:eastAsia="Times New Roman" w:hAnsi="Times New Roman" w:cs="Times New Roman"/>
          <w:sz w:val="24"/>
          <w:szCs w:val="24"/>
          <w:lang w:eastAsia="lt-LT"/>
        </w:rPr>
      </w:pPr>
      <w:r w:rsidRPr="00F37C72">
        <w:rPr>
          <w:rFonts w:ascii="Times New Roman" w:eastAsia="Times New Roman" w:hAnsi="Times New Roman" w:cs="Times New Roman"/>
          <w:sz w:val="24"/>
          <w:szCs w:val="24"/>
        </w:rPr>
        <w:t xml:space="preserve">D. </w:t>
      </w:r>
      <w:proofErr w:type="spellStart"/>
      <w:r w:rsidRPr="00F37C72">
        <w:rPr>
          <w:rFonts w:ascii="Times New Roman" w:eastAsia="Times New Roman" w:hAnsi="Times New Roman" w:cs="Times New Roman"/>
          <w:sz w:val="24"/>
          <w:szCs w:val="24"/>
        </w:rPr>
        <w:t>Šataitytė-Molienė</w:t>
      </w:r>
      <w:proofErr w:type="spellEnd"/>
      <w:r w:rsidRPr="00F37C72">
        <w:rPr>
          <w:rFonts w:ascii="Times New Roman" w:eastAsia="Times New Roman" w:hAnsi="Times New Roman" w:cs="Times New Roman"/>
          <w:sz w:val="24"/>
          <w:szCs w:val="24"/>
        </w:rPr>
        <w:t>, tel. (0 5)  209 6159, el. p. diana.sataityte@lrs.lt</w:t>
      </w:r>
    </w:p>
    <w:sectPr w:rsidR="0024146F" w:rsidRPr="00F37C72" w:rsidSect="007451AA">
      <w:type w:val="continuous"/>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4793D" w14:textId="77777777" w:rsidR="00451101" w:rsidRDefault="00451101">
      <w:pPr>
        <w:spacing w:after="0" w:line="240" w:lineRule="auto"/>
      </w:pPr>
      <w:r>
        <w:separator/>
      </w:r>
    </w:p>
  </w:endnote>
  <w:endnote w:type="continuationSeparator" w:id="0">
    <w:p w14:paraId="6B605B20" w14:textId="77777777" w:rsidR="00451101" w:rsidRDefault="00451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F53F8" w14:textId="77777777" w:rsidR="00451101" w:rsidRDefault="00451101">
      <w:pPr>
        <w:spacing w:after="0" w:line="240" w:lineRule="auto"/>
      </w:pPr>
      <w:r>
        <w:separator/>
      </w:r>
    </w:p>
  </w:footnote>
  <w:footnote w:type="continuationSeparator" w:id="0">
    <w:p w14:paraId="292B6F5C" w14:textId="77777777" w:rsidR="00451101" w:rsidRDefault="00451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B2E7" w14:textId="3C7B39AD" w:rsidR="00451101" w:rsidRPr="00E95F5D" w:rsidRDefault="00451101" w:rsidP="003F3282">
    <w:pPr>
      <w:pStyle w:val="Antrats"/>
      <w:tabs>
        <w:tab w:val="clear" w:pos="4819"/>
      </w:tabs>
      <w:jc w:val="center"/>
      <w:rPr>
        <w:rFonts w:ascii="Times New Roman" w:hAnsi="Times New Roman" w:cs="Times New Roman"/>
        <w:sz w:val="24"/>
        <w:szCs w:val="24"/>
      </w:rPr>
    </w:pPr>
    <w:r w:rsidRPr="00E95F5D">
      <w:rPr>
        <w:rFonts w:ascii="Times New Roman" w:hAnsi="Times New Roman" w:cs="Times New Roman"/>
        <w:sz w:val="24"/>
        <w:szCs w:val="24"/>
      </w:rPr>
      <w:fldChar w:fldCharType="begin"/>
    </w:r>
    <w:r w:rsidRPr="00E95F5D">
      <w:rPr>
        <w:rFonts w:ascii="Times New Roman" w:hAnsi="Times New Roman" w:cs="Times New Roman"/>
        <w:sz w:val="24"/>
        <w:szCs w:val="24"/>
      </w:rPr>
      <w:instrText>PAGE   \* MERGEFORMAT</w:instrText>
    </w:r>
    <w:r w:rsidRPr="00E95F5D">
      <w:rPr>
        <w:rFonts w:ascii="Times New Roman" w:hAnsi="Times New Roman" w:cs="Times New Roman"/>
        <w:sz w:val="24"/>
        <w:szCs w:val="24"/>
      </w:rPr>
      <w:fldChar w:fldCharType="separate"/>
    </w:r>
    <w:r w:rsidR="00452CD0">
      <w:rPr>
        <w:rFonts w:ascii="Times New Roman" w:hAnsi="Times New Roman" w:cs="Times New Roman"/>
        <w:noProof/>
        <w:sz w:val="24"/>
        <w:szCs w:val="24"/>
      </w:rPr>
      <w:t>4</w:t>
    </w:r>
    <w:r w:rsidRPr="00E95F5D">
      <w:rPr>
        <w:rFonts w:ascii="Times New Roman" w:hAnsi="Times New Roman" w:cs="Times New Roman"/>
        <w:sz w:val="24"/>
        <w:szCs w:val="24"/>
      </w:rPr>
      <w:fldChar w:fldCharType="end"/>
    </w:r>
  </w:p>
  <w:p w14:paraId="4AB433F7" w14:textId="77777777" w:rsidR="00451101" w:rsidRDefault="004511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3CBA1" w14:textId="77777777" w:rsidR="00451101" w:rsidRDefault="00451101" w:rsidP="003F3282">
    <w:pPr>
      <w:pStyle w:val="Antrats"/>
      <w:tabs>
        <w:tab w:val="clear" w:pos="4819"/>
        <w:tab w:val="clear"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732"/>
    <w:rsid w:val="0002150A"/>
    <w:rsid w:val="000746D4"/>
    <w:rsid w:val="000C6287"/>
    <w:rsid w:val="00132E2B"/>
    <w:rsid w:val="0024146F"/>
    <w:rsid w:val="002E3A1D"/>
    <w:rsid w:val="00327DFC"/>
    <w:rsid w:val="003F3282"/>
    <w:rsid w:val="00451101"/>
    <w:rsid w:val="00452CD0"/>
    <w:rsid w:val="00453D77"/>
    <w:rsid w:val="00525ABC"/>
    <w:rsid w:val="00602CE7"/>
    <w:rsid w:val="00693732"/>
    <w:rsid w:val="007451AA"/>
    <w:rsid w:val="007D47EE"/>
    <w:rsid w:val="007F1ECD"/>
    <w:rsid w:val="00800553"/>
    <w:rsid w:val="00835792"/>
    <w:rsid w:val="00857099"/>
    <w:rsid w:val="00A32CA2"/>
    <w:rsid w:val="00A54E21"/>
    <w:rsid w:val="00A60D81"/>
    <w:rsid w:val="00A84A1D"/>
    <w:rsid w:val="00AD0255"/>
    <w:rsid w:val="00B160DD"/>
    <w:rsid w:val="00B507B3"/>
    <w:rsid w:val="00E6484E"/>
    <w:rsid w:val="00E75B29"/>
    <w:rsid w:val="00EF706E"/>
    <w:rsid w:val="00F15201"/>
    <w:rsid w:val="00F37C72"/>
    <w:rsid w:val="00F83A72"/>
    <w:rsid w:val="00FD17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8079"/>
  <w15:chartTrackingRefBased/>
  <w15:docId w15:val="{B4A83891-E6A9-45FE-91B5-C2895CD4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373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9373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93732"/>
  </w:style>
  <w:style w:type="character" w:customStyle="1" w:styleId="app-text--selectable">
    <w:name w:val="app-text--selectable"/>
    <w:basedOn w:val="Numatytasispastraiposriftas"/>
    <w:rsid w:val="00693732"/>
  </w:style>
  <w:style w:type="character" w:customStyle="1" w:styleId="bkg-highlight-red">
    <w:name w:val="bkg-highlight-red"/>
    <w:basedOn w:val="Numatytasispastraiposriftas"/>
    <w:rsid w:val="00693732"/>
  </w:style>
  <w:style w:type="paragraph" w:customStyle="1" w:styleId="tajtip">
    <w:name w:val="tajtip"/>
    <w:basedOn w:val="prastasis"/>
    <w:rsid w:val="00132E2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32E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2E2B"/>
  </w:style>
  <w:style w:type="character" w:styleId="Komentaronuoroda">
    <w:name w:val="annotation reference"/>
    <w:basedOn w:val="Numatytasispastraiposriftas"/>
    <w:uiPriority w:val="99"/>
    <w:semiHidden/>
    <w:unhideWhenUsed/>
    <w:rsid w:val="00A32CA2"/>
    <w:rPr>
      <w:sz w:val="16"/>
      <w:szCs w:val="16"/>
    </w:rPr>
  </w:style>
  <w:style w:type="paragraph" w:styleId="Komentarotekstas">
    <w:name w:val="annotation text"/>
    <w:basedOn w:val="prastasis"/>
    <w:link w:val="KomentarotekstasDiagrama"/>
    <w:uiPriority w:val="99"/>
    <w:semiHidden/>
    <w:unhideWhenUsed/>
    <w:rsid w:val="00A32C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32CA2"/>
    <w:rPr>
      <w:sz w:val="20"/>
      <w:szCs w:val="20"/>
    </w:rPr>
  </w:style>
  <w:style w:type="paragraph" w:styleId="Komentarotema">
    <w:name w:val="annotation subject"/>
    <w:basedOn w:val="Komentarotekstas"/>
    <w:next w:val="Komentarotekstas"/>
    <w:link w:val="KomentarotemaDiagrama"/>
    <w:uiPriority w:val="99"/>
    <w:semiHidden/>
    <w:unhideWhenUsed/>
    <w:rsid w:val="00A32CA2"/>
    <w:rPr>
      <w:b/>
      <w:bCs/>
    </w:rPr>
  </w:style>
  <w:style w:type="character" w:customStyle="1" w:styleId="KomentarotemaDiagrama">
    <w:name w:val="Komentaro tema Diagrama"/>
    <w:basedOn w:val="KomentarotekstasDiagrama"/>
    <w:link w:val="Komentarotema"/>
    <w:uiPriority w:val="99"/>
    <w:semiHidden/>
    <w:rsid w:val="00A32CA2"/>
    <w:rPr>
      <w:b/>
      <w:bCs/>
      <w:sz w:val="20"/>
      <w:szCs w:val="20"/>
    </w:rPr>
  </w:style>
  <w:style w:type="paragraph" w:styleId="Debesliotekstas">
    <w:name w:val="Balloon Text"/>
    <w:basedOn w:val="prastasis"/>
    <w:link w:val="DebesliotekstasDiagrama"/>
    <w:uiPriority w:val="99"/>
    <w:semiHidden/>
    <w:unhideWhenUsed/>
    <w:rsid w:val="00A32CA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2C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7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Z6YWEJNPDQQR-896559167-643</_dlc_DocId>
    <_dlc_DocIdUrl xmlns="28130d43-1b56-4a10-ad88-2cd38123f4c1">
      <Url>https://intranetas.lrs.lt/29/_layouts/15/DocIdRedir.aspx?ID=Z6YWEJNPDQQR-896559167-643</Url>
      <Description>Z6YWEJNPDQQR-896559167-643</Description>
    </_dlc_DocIdUrl>
  </documentManagement>
</p:properties>
</file>

<file path=customXml/itemProps1.xml><?xml version="1.0" encoding="utf-8"?>
<ds:datastoreItem xmlns:ds="http://schemas.openxmlformats.org/officeDocument/2006/customXml" ds:itemID="{D084F746-1CE6-40BA-BA2B-80F623DA2733}"/>
</file>

<file path=customXml/itemProps2.xml><?xml version="1.0" encoding="utf-8"?>
<ds:datastoreItem xmlns:ds="http://schemas.openxmlformats.org/officeDocument/2006/customXml" ds:itemID="{45B7CEBC-ECF9-41D2-ABAC-30DD818430C3}"/>
</file>

<file path=customXml/itemProps3.xml><?xml version="1.0" encoding="utf-8"?>
<ds:datastoreItem xmlns:ds="http://schemas.openxmlformats.org/officeDocument/2006/customXml" ds:itemID="{FAF02861-E046-4BD1-BE1E-3923A44F7165}"/>
</file>

<file path=customXml/itemProps4.xml><?xml version="1.0" encoding="utf-8"?>
<ds:datastoreItem xmlns:ds="http://schemas.openxmlformats.org/officeDocument/2006/customXml" ds:itemID="{BE4B15A1-930F-4E7F-ABC1-C9FE261AA2A6}"/>
</file>

<file path=docProps/app.xml><?xml version="1.0" encoding="utf-8"?>
<Properties xmlns="http://schemas.openxmlformats.org/officeDocument/2006/extended-properties" xmlns:vt="http://schemas.openxmlformats.org/officeDocument/2006/docPropsVTypes">
  <Template>Normal</Template>
  <TotalTime>2</TotalTime>
  <Pages>4</Pages>
  <Words>5938</Words>
  <Characters>3386</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LRSK TD</dc:creator>
  <cp:keywords/>
  <dc:description/>
  <cp:lastModifiedBy>KNIUKŠTIENĖ Rimantė</cp:lastModifiedBy>
  <cp:revision>2</cp:revision>
  <dcterms:created xsi:type="dcterms:W3CDTF">2026-04-30T09:47:00Z</dcterms:created>
  <dcterms:modified xsi:type="dcterms:W3CDTF">2026-04-30T09:47:00Z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f889d5fa-cb12-461f-93a9-659896303326</vt:lpwstr>
  </property>
</Properties>
</file>