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074F64">
        <w:rPr>
          <w:rFonts w:ascii="Times New Roman" w:hAnsi="Times New Roman"/>
          <w:b/>
          <w:sz w:val="24"/>
          <w:szCs w:val="24"/>
        </w:rPr>
        <w:t>DARIAUS JAPKEVIČIAUS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6462F1" w:rsidRPr="00431B3B">
        <w:rPr>
          <w:rFonts w:ascii="Times New Roman" w:hAnsi="Times New Roman"/>
          <w:sz w:val="24"/>
          <w:szCs w:val="24"/>
        </w:rPr>
        <w:t>kovo</w:t>
      </w:r>
      <w:r w:rsidR="00D36C9F">
        <w:rPr>
          <w:rFonts w:ascii="Times New Roman" w:hAnsi="Times New Roman"/>
          <w:sz w:val="24"/>
          <w:szCs w:val="24"/>
        </w:rPr>
        <w:t xml:space="preserve"> </w:t>
      </w:r>
      <w:r w:rsidR="00F944C4">
        <w:rPr>
          <w:rFonts w:ascii="Times New Roman" w:hAnsi="Times New Roman"/>
          <w:sz w:val="24"/>
          <w:szCs w:val="24"/>
        </w:rPr>
        <w:t>31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36D9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 xml:space="preserve">Lietuvos Respublikos Seimo Peticijų komisija (toliau – </w:t>
      </w:r>
      <w:r w:rsidR="00FC3DF2" w:rsidRPr="005B6B11">
        <w:rPr>
          <w:rFonts w:ascii="Times New Roman" w:hAnsi="Times New Roman"/>
          <w:sz w:val="24"/>
          <w:szCs w:val="24"/>
        </w:rPr>
        <w:t>Peticijų k</w:t>
      </w:r>
      <w:r w:rsidRPr="005B6B11">
        <w:rPr>
          <w:rFonts w:ascii="Times New Roman" w:hAnsi="Times New Roman"/>
          <w:sz w:val="24"/>
          <w:szCs w:val="24"/>
        </w:rPr>
        <w:t>omisija)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6462F1" w:rsidRPr="005B6B11">
        <w:rPr>
          <w:rFonts w:ascii="Times New Roman" w:hAnsi="Times New Roman"/>
          <w:sz w:val="24"/>
          <w:szCs w:val="24"/>
        </w:rPr>
        <w:t xml:space="preserve">kovo </w:t>
      </w:r>
      <w:r w:rsidR="00F944C4">
        <w:rPr>
          <w:rFonts w:ascii="Times New Roman" w:hAnsi="Times New Roman"/>
          <w:sz w:val="24"/>
          <w:szCs w:val="24"/>
        </w:rPr>
        <w:t>31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F944C4">
        <w:t xml:space="preserve"> </w:t>
      </w:r>
      <w:r w:rsidR="00F944C4" w:rsidRPr="00F944C4">
        <w:rPr>
          <w:rFonts w:ascii="Times New Roman" w:hAnsi="Times New Roman"/>
          <w:sz w:val="24"/>
          <w:szCs w:val="24"/>
        </w:rPr>
        <w:t xml:space="preserve">Dariaus </w:t>
      </w:r>
      <w:proofErr w:type="spellStart"/>
      <w:r w:rsidR="00F944C4" w:rsidRPr="00F944C4">
        <w:rPr>
          <w:rFonts w:ascii="Times New Roman" w:hAnsi="Times New Roman"/>
          <w:sz w:val="24"/>
          <w:szCs w:val="24"/>
        </w:rPr>
        <w:t>Japkevi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iaus</w:t>
      </w:r>
      <w:proofErr w:type="spellEnd"/>
      <w:r w:rsidR="00F944C4" w:rsidRPr="00F944C4">
        <w:rPr>
          <w:rFonts w:ascii="Times New Roman" w:hAnsi="Times New Roman"/>
          <w:sz w:val="24"/>
          <w:szCs w:val="24"/>
        </w:rPr>
        <w:t xml:space="preserve"> peticijoje pateikt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pasi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lym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pakeisti Lietuvos Respublikos baudžiamojo kodekso (toliau – BK</w:t>
      </w:r>
      <w:r w:rsidR="00510C48">
        <w:rPr>
          <w:rFonts w:ascii="Times New Roman" w:hAnsi="Times New Roman"/>
          <w:sz w:val="24"/>
          <w:szCs w:val="24"/>
        </w:rPr>
        <w:t>, baudžiamasis įstatymas</w:t>
      </w:r>
      <w:r w:rsidR="00F944C4" w:rsidRPr="00F944C4">
        <w:rPr>
          <w:rFonts w:ascii="Times New Roman" w:hAnsi="Times New Roman"/>
          <w:sz w:val="24"/>
          <w:szCs w:val="24"/>
        </w:rPr>
        <w:t xml:space="preserve">) nuostatas,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tvirtinant, kad už ty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ini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neb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galimyb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skirti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>
        <w:rPr>
          <w:rFonts w:ascii="Times New Roman" w:hAnsi="Times New Roman"/>
          <w:sz w:val="24"/>
          <w:szCs w:val="24"/>
        </w:rPr>
        <w:t>s</w:t>
      </w:r>
      <w:r w:rsidR="00C4735B">
        <w:rPr>
          <w:rFonts w:ascii="Times New Roman" w:hAnsi="Times New Roman"/>
          <w:sz w:val="24"/>
          <w:szCs w:val="24"/>
          <w:lang w:eastAsia="lt-LT"/>
        </w:rPr>
        <w:t>, ir priėmė sprendimą šį pasiūlymą atmesti.</w:t>
      </w:r>
    </w:p>
    <w:p w:rsidR="0012225A" w:rsidRDefault="0012225A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12225A">
        <w:rPr>
          <w:rFonts w:ascii="Times New Roman" w:hAnsi="Times New Roman"/>
          <w:sz w:val="24"/>
          <w:szCs w:val="24"/>
        </w:rPr>
        <w:t>Peticij</w:t>
      </w:r>
      <w:r w:rsidRPr="0012225A">
        <w:rPr>
          <w:rFonts w:ascii="Times New Roman" w:hAnsi="Times New Roman" w:hint="eastAsia"/>
          <w:sz w:val="24"/>
          <w:szCs w:val="24"/>
        </w:rPr>
        <w:t>ų</w:t>
      </w:r>
      <w:r w:rsidRPr="0012225A">
        <w:rPr>
          <w:rFonts w:ascii="Times New Roman" w:hAnsi="Times New Roman"/>
          <w:sz w:val="24"/>
          <w:szCs w:val="24"/>
        </w:rPr>
        <w:t xml:space="preserve"> komisija š</w:t>
      </w:r>
      <w:r w:rsidRPr="0012225A">
        <w:rPr>
          <w:rFonts w:ascii="Times New Roman" w:hAnsi="Times New Roman" w:hint="eastAsia"/>
          <w:sz w:val="24"/>
          <w:szCs w:val="24"/>
        </w:rPr>
        <w:t>į</w:t>
      </w:r>
      <w:r w:rsidRPr="0012225A">
        <w:rPr>
          <w:rFonts w:ascii="Times New Roman" w:hAnsi="Times New Roman"/>
          <w:sz w:val="24"/>
          <w:szCs w:val="24"/>
        </w:rPr>
        <w:t xml:space="preserve"> sprendim</w:t>
      </w:r>
      <w:r w:rsidRPr="0012225A">
        <w:rPr>
          <w:rFonts w:ascii="Times New Roman" w:hAnsi="Times New Roman" w:hint="eastAsia"/>
          <w:sz w:val="24"/>
          <w:szCs w:val="24"/>
        </w:rPr>
        <w:t>ą</w:t>
      </w:r>
      <w:r w:rsidRPr="0012225A">
        <w:rPr>
          <w:rFonts w:ascii="Times New Roman" w:hAnsi="Times New Roman"/>
          <w:sz w:val="24"/>
          <w:szCs w:val="24"/>
        </w:rPr>
        <w:t xml:space="preserve"> pri</w:t>
      </w:r>
      <w:r w:rsidRPr="0012225A">
        <w:rPr>
          <w:rFonts w:ascii="Times New Roman" w:hAnsi="Times New Roman" w:hint="eastAsia"/>
          <w:sz w:val="24"/>
          <w:szCs w:val="24"/>
        </w:rPr>
        <w:t>ė</w:t>
      </w:r>
      <w:r w:rsidRPr="0012225A">
        <w:rPr>
          <w:rFonts w:ascii="Times New Roman" w:hAnsi="Times New Roman"/>
          <w:sz w:val="24"/>
          <w:szCs w:val="24"/>
        </w:rPr>
        <w:t>m</w:t>
      </w:r>
      <w:r w:rsidRPr="0012225A">
        <w:rPr>
          <w:rFonts w:ascii="Times New Roman" w:hAnsi="Times New Roman" w:hint="eastAsia"/>
          <w:sz w:val="24"/>
          <w:szCs w:val="24"/>
        </w:rPr>
        <w:t>ė</w:t>
      </w:r>
      <w:r w:rsidRPr="0012225A">
        <w:rPr>
          <w:rFonts w:ascii="Times New Roman" w:hAnsi="Times New Roman"/>
          <w:sz w:val="24"/>
          <w:szCs w:val="24"/>
        </w:rPr>
        <w:t xml:space="preserve"> atsižvelgusi </w:t>
      </w:r>
      <w:r w:rsidRPr="0012225A">
        <w:rPr>
          <w:rFonts w:ascii="Times New Roman" w:hAnsi="Times New Roman" w:hint="eastAsia"/>
          <w:sz w:val="24"/>
          <w:szCs w:val="24"/>
        </w:rPr>
        <w:t>į</w:t>
      </w:r>
      <w:r w:rsidRPr="0012225A">
        <w:rPr>
          <w:rFonts w:ascii="Times New Roman" w:hAnsi="Times New Roman"/>
          <w:sz w:val="24"/>
          <w:szCs w:val="24"/>
        </w:rPr>
        <w:t xml:space="preserve"> Lietuvos Respublikos teisingumo ministerijos pateikt</w:t>
      </w:r>
      <w:r w:rsidRPr="0012225A">
        <w:rPr>
          <w:rFonts w:ascii="Times New Roman" w:hAnsi="Times New Roman" w:hint="eastAsia"/>
          <w:sz w:val="24"/>
          <w:szCs w:val="24"/>
        </w:rPr>
        <w:t>ą</w:t>
      </w:r>
      <w:r w:rsidRPr="0012225A">
        <w:rPr>
          <w:rFonts w:ascii="Times New Roman" w:hAnsi="Times New Roman"/>
          <w:sz w:val="24"/>
          <w:szCs w:val="24"/>
        </w:rPr>
        <w:t xml:space="preserve"> nuomon</w:t>
      </w:r>
      <w:r w:rsidRPr="0012225A">
        <w:rPr>
          <w:rFonts w:ascii="Times New Roman" w:hAnsi="Times New Roman" w:hint="eastAsia"/>
          <w:sz w:val="24"/>
          <w:szCs w:val="24"/>
        </w:rPr>
        <w:t>ę</w:t>
      </w:r>
      <w:r w:rsidRPr="0012225A">
        <w:rPr>
          <w:rFonts w:ascii="Times New Roman" w:hAnsi="Times New Roman"/>
          <w:sz w:val="24"/>
          <w:szCs w:val="24"/>
        </w:rPr>
        <w:t xml:space="preserve"> ir </w:t>
      </w:r>
      <w:r w:rsidR="00F944C4">
        <w:rPr>
          <w:rFonts w:ascii="Times New Roman" w:hAnsi="Times New Roman"/>
          <w:sz w:val="24"/>
          <w:szCs w:val="24"/>
        </w:rPr>
        <w:t xml:space="preserve">manydama, </w:t>
      </w:r>
      <w:r w:rsidR="00F944C4" w:rsidRPr="00F944C4">
        <w:rPr>
          <w:rFonts w:ascii="Times New Roman" w:hAnsi="Times New Roman"/>
          <w:sz w:val="24"/>
          <w:szCs w:val="24"/>
        </w:rPr>
        <w:t>kad galiojantis teisinis reguliavimas, kiek jis susij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>s su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nustatymu už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>, yra pakankamas ir sudarantis prielaidas apsaugoti svarbiausius visuomen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g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rius, kartu užtikrinantis teisingumo, proporcingumo bei protingumo princip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gyvendinim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realizuojant baudžiam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>j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atsakomyb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 xml:space="preserve"> už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>.</w:t>
      </w:r>
    </w:p>
    <w:p w:rsidR="00F944C4" w:rsidRPr="00F944C4" w:rsidRDefault="00510C48" w:rsidP="00F944C4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Peticijų komisijos </w:t>
      </w:r>
      <w:r w:rsidR="00F944C4" w:rsidRPr="00F944C4">
        <w:rPr>
          <w:rFonts w:ascii="Times New Roman" w:hAnsi="Times New Roman"/>
          <w:sz w:val="24"/>
          <w:szCs w:val="24"/>
        </w:rPr>
        <w:t>vertinimu, pareišk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jo si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lomas BK pakeitimas yra nepagr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stas, prieštaraujantis baudžiamojo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statymo norm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sistemai bei baudžiamosios atsakomyb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realizavimo koncepcijai. Šiame kontekste pažym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tina, kad pagal BK 11 straipsn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nusikaltimas yra laikomas pavojinga ir šiame kodekse uždrausta veika (veikimas ar neveikimas), už kuri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numatyta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. Ty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 xml:space="preserve">iniai nusikaltimai skirstomi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nesunkius, apysunkius, sunkius ir labai sunkius (BK 11 straipsnio 2 dalis). Nesunkus nusikaltimas yra ty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inis nusikaltimas, už kur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baudžiamajame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statyme numatyta didžiausia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neviršija trej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met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mimo (BK 11 straipsnio 3 dalis). Už kiekvieno nusikaltimo,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tvirtinto baudžiamajame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statyme,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statym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leid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jas yra numat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>s galimyb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 xml:space="preserve"> skirti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 xml:space="preserve">, kadangi kiekvienas baudžiamajame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statyme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tvirtintas nusikaltimas yra laikytinas pavojinga veika, kuria yra k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sinamasi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svarbiausius visuomen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g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rius. Atsižvelgiant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BK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tvirtint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pavojing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ir uždraust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veik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skai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>, neabejotina, kad kiekvieno nusikaltimo pavojingumo laipsnis (kokia žala yra padaroma saugomam g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riui) bei pob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dis (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kok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g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r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yra k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sinamasi) gali skirtis. Pavyzdžiui, ty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inis asmens nužudymas (BK 129 straipsnio 1 dalis) yra pagr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stai laikomas daug pavojingesniu nusikaltimu, negu vagyst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(BK 178 straipsnio 1 dalis), kadangi </w:t>
      </w:r>
      <w:r w:rsidR="00F944C4" w:rsidRPr="00F944C4">
        <w:rPr>
          <w:rFonts w:ascii="Times New Roman" w:hAnsi="Times New Roman"/>
          <w:sz w:val="24"/>
          <w:szCs w:val="24"/>
        </w:rPr>
        <w:lastRenderedPageBreak/>
        <w:t>asmens gyvyb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yra svarbesnis g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ris visuomenei, negu asmens turtas. Atsižvelgiant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kiekvienos nusikalstamos veikos pavojingumo laipsn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bei pob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d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,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statym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leid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jas išskyr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nusikalstam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veik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pavojingumo kategorijas, kuri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skirstymas yra paremtas, atsižvelgiant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konkretaus nusikaltimo sankcijoje numatytos maksimalios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dyd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. Taigi, konkretus nusikaltimas yra laikomas nesunkiu ne 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l to, kad tai yra savaime nepavojinga veika, už kurios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nereik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skirti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s, bet 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l to, kad už aptariamo nusikaltimo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galima skirti ne didesn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>, negu 3 met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>,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>, kuri yra mažiausia tarp vis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BK 11 straipsnyje nurodyt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kategorij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>. Taip pat, atkreiptinas 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mesys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tai, kad baudžiamajame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statyme yra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tvirtinta atskira nusikalstam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veik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kategorija – baudžiamieji nusižengimai, už kuri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nenumatyta galimyb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skirti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>. Baudžiamieji nusižengimai laikytini mažiausiai pavojingomis nusikalstamomis veikomis ir pagal savo pavojingumo pob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d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ne daug kuo skiriasi nuo administracini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nusižengim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>. Taigi, pašalinus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s</w:t>
      </w:r>
      <w:r w:rsidR="00F944C4" w:rsidRPr="00F944C4">
        <w:rPr>
          <w:rFonts w:ascii="Times New Roman" w:hAnsi="Times New Roman"/>
          <w:sz w:val="24"/>
          <w:szCs w:val="24"/>
        </w:rPr>
        <w:t xml:space="preserve">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 xml:space="preserve"> iš vis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(kas, beje, ir techniškai n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ra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manoma), jie visi tapt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baud</w:t>
      </w:r>
      <w:r>
        <w:rPr>
          <w:rFonts w:ascii="Times New Roman" w:hAnsi="Times New Roman"/>
          <w:sz w:val="24"/>
          <w:szCs w:val="24"/>
        </w:rPr>
        <w:t xml:space="preserve">žiamaisiais nusižengimais, kas </w:t>
      </w:r>
      <w:r w:rsidR="00F944C4" w:rsidRPr="00F944C4">
        <w:rPr>
          <w:rFonts w:ascii="Times New Roman" w:hAnsi="Times New Roman"/>
          <w:sz w:val="24"/>
          <w:szCs w:val="24"/>
        </w:rPr>
        <w:t>visiškai neatitikt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pavojingumo pob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džio bei laipsnio. Neabejotina, kad nesunk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 xml:space="preserve">s nusikaltimai yra </w:t>
      </w:r>
      <w:r>
        <w:rPr>
          <w:rFonts w:ascii="Times New Roman" w:hAnsi="Times New Roman"/>
          <w:sz w:val="24"/>
          <w:szCs w:val="24"/>
        </w:rPr>
        <w:t>labiau</w:t>
      </w:r>
      <w:r w:rsidR="00F944C4" w:rsidRPr="00F944C4">
        <w:rPr>
          <w:rFonts w:ascii="Times New Roman" w:hAnsi="Times New Roman"/>
          <w:sz w:val="24"/>
          <w:szCs w:val="24"/>
        </w:rPr>
        <w:t xml:space="preserve"> pavojingesni, negu baudžiamieji nusižengimai ar administraciniai nusižengimai. Pavyzdžiui, baudžiamuoju nusižengimu pripaž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stamas nedidel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vert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(nuo 3 iki 5 MGL dydžio) svetimo turto pagrobimas (BK 178 straipsnio 4 dalis), o nesunkiu nusikaltimu pripaž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stamas svetimo turto, kurio vert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gali 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ti net iki 250 MGL, pagrobimas (BK 178 straipsnio 1 dalis). Analogiškas pavyzdys taikytinas ir suk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 xml:space="preserve">iavimo (BK 182 straipsnis), turto pasisavinimo (BK 183 straipsni), turto išvaistymo (BK 184 straipsni) atveju. Atsižvelgiant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tai, neabejotina, kad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s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tvirtinimas nesunkiuose nusikaltimuose yra sistemiškai 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tinas bei atitinkantis ši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pavojingumo laipsn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bei pob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d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ir saugom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teisini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g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ri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svarb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visuomenei. </w:t>
      </w:r>
    </w:p>
    <w:p w:rsidR="00F944C4" w:rsidRPr="00F944C4" w:rsidRDefault="00510C48" w:rsidP="00F944C4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944C4" w:rsidRPr="00F944C4">
        <w:rPr>
          <w:rFonts w:ascii="Times New Roman" w:hAnsi="Times New Roman"/>
          <w:sz w:val="24"/>
          <w:szCs w:val="24"/>
        </w:rPr>
        <w:t>tkreip</w:t>
      </w:r>
      <w:r>
        <w:rPr>
          <w:rFonts w:ascii="Times New Roman" w:hAnsi="Times New Roman"/>
          <w:sz w:val="24"/>
          <w:szCs w:val="24"/>
        </w:rPr>
        <w:t>tinas</w:t>
      </w:r>
      <w:r w:rsidR="00F944C4" w:rsidRPr="00F944C4">
        <w:rPr>
          <w:rFonts w:ascii="Times New Roman" w:hAnsi="Times New Roman"/>
          <w:sz w:val="24"/>
          <w:szCs w:val="24"/>
        </w:rPr>
        <w:t xml:space="preserve"> 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mes</w:t>
      </w:r>
      <w:r>
        <w:rPr>
          <w:rFonts w:ascii="Times New Roman" w:hAnsi="Times New Roman"/>
          <w:sz w:val="24"/>
          <w:szCs w:val="24"/>
        </w:rPr>
        <w:t>ys</w:t>
      </w:r>
      <w:r w:rsidR="00F944C4" w:rsidRPr="00F944C4">
        <w:rPr>
          <w:rFonts w:ascii="Times New Roman" w:hAnsi="Times New Roman"/>
          <w:sz w:val="24"/>
          <w:szCs w:val="24"/>
        </w:rPr>
        <w:t xml:space="preserve">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tai, kad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statym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leid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jas yra atsižvelg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 xml:space="preserve">s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mažesn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pavojingumo laipsn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bei pob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d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, tod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l galiojan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 xml:space="preserve">iame baudžiamajame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statyme yra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tvirtintos specialios taisykl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bei išimtys, sukurian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ios pareig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taikyti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 xml:space="preserve"> už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išimtinais pa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 xml:space="preserve">iais pavojingiausiais atvejais. Atsižvelgiant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tai, BK 55 straipsnio 1 dalis numato, kad asmeniui, pirm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kart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teisiamam už neatsarg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arba nesunk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ar apysunk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ty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in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>, teismas paprastai skiria su areštu arba terminuotu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mimu nesusijusias bausmes. Skirdamas arešto arba terminuoto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>, teismas privalo motyvuoti savo sprendim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>. Taigi, vadovaujantis BK 55 straipsniu, realiai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už nesunkaus nusikaltimo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iš esm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skiriama tik recidyvistams arba, kai pats nesunkaus nusikaltimo padarymas suk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l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tikrai rimtas pasekm</w:t>
      </w:r>
      <w:r w:rsidR="008E1ABE"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 w:rsidR="00F944C4" w:rsidRPr="00F944C4">
        <w:rPr>
          <w:rFonts w:ascii="Times New Roman" w:hAnsi="Times New Roman"/>
          <w:sz w:val="24"/>
          <w:szCs w:val="24"/>
        </w:rPr>
        <w:t>s bei padar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 ap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iuopiam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žal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baudžiamuoju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statymu saugomiems g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riams. Taip pat, atkreiptinas 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mesys, kad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padarymo atvejais galima pritaikyti iš esm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visus atleidimo nuo baudžiamosios atsakomyb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s institutus,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tvirtintus BK VI skyriuje, taip pat tokio asmens atžvilgiu galima visa apimtimi taikyti BK 75 straipsnyje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tvirtint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</w:t>
      </w:r>
      <w:r w:rsidR="00F944C4" w:rsidRPr="00F944C4">
        <w:rPr>
          <w:rFonts w:ascii="Times New Roman" w:hAnsi="Times New Roman"/>
          <w:sz w:val="24"/>
          <w:szCs w:val="24"/>
        </w:rPr>
        <w:lastRenderedPageBreak/>
        <w:t>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vykdymo atid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jimo institut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>, kas apriboja realios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taikym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už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iš esm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 xml:space="preserve">s iki minimumo. Taigi, baudžiamajame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statyme jau šiuo metu yra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 xml:space="preserve">tvirtintos visos pakankamos prielaidos, kiek </w:t>
      </w:r>
      <w:r w:rsidR="00F944C4" w:rsidRPr="00F944C4">
        <w:rPr>
          <w:rFonts w:ascii="Times New Roman" w:hAnsi="Times New Roman" w:hint="eastAsia"/>
          <w:sz w:val="24"/>
          <w:szCs w:val="24"/>
        </w:rPr>
        <w:t>į</w:t>
      </w:r>
      <w:r w:rsidR="00F944C4" w:rsidRPr="00F944C4">
        <w:rPr>
          <w:rFonts w:ascii="Times New Roman" w:hAnsi="Times New Roman"/>
          <w:sz w:val="24"/>
          <w:szCs w:val="24"/>
        </w:rPr>
        <w:t>manoma re</w:t>
      </w:r>
      <w:r w:rsidR="00F944C4" w:rsidRPr="00F944C4">
        <w:rPr>
          <w:rFonts w:ascii="Times New Roman" w:hAnsi="Times New Roman" w:hint="eastAsia"/>
          <w:sz w:val="24"/>
          <w:szCs w:val="24"/>
        </w:rPr>
        <w:t>č</w:t>
      </w:r>
      <w:r w:rsidR="00F944C4" w:rsidRPr="00F944C4">
        <w:rPr>
          <w:rFonts w:ascii="Times New Roman" w:hAnsi="Times New Roman"/>
          <w:sz w:val="24"/>
          <w:szCs w:val="24"/>
        </w:rPr>
        <w:t>iau skirti laisv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s at</w:t>
      </w:r>
      <w:r w:rsidR="00F944C4" w:rsidRPr="00F944C4">
        <w:rPr>
          <w:rFonts w:ascii="Times New Roman" w:hAnsi="Times New Roman" w:hint="eastAsia"/>
          <w:sz w:val="24"/>
          <w:szCs w:val="24"/>
        </w:rPr>
        <w:t>ė</w:t>
      </w:r>
      <w:r w:rsidR="00F944C4" w:rsidRPr="00F944C4">
        <w:rPr>
          <w:rFonts w:ascii="Times New Roman" w:hAnsi="Times New Roman"/>
          <w:sz w:val="24"/>
          <w:szCs w:val="24"/>
        </w:rPr>
        <w:t>mimo bausm</w:t>
      </w:r>
      <w:r w:rsidR="00F944C4" w:rsidRPr="00F944C4">
        <w:rPr>
          <w:rFonts w:ascii="Times New Roman" w:hAnsi="Times New Roman" w:hint="eastAsia"/>
          <w:sz w:val="24"/>
          <w:szCs w:val="24"/>
        </w:rPr>
        <w:t>ę</w:t>
      </w:r>
      <w:r w:rsidR="00F944C4" w:rsidRPr="00F944C4">
        <w:rPr>
          <w:rFonts w:ascii="Times New Roman" w:hAnsi="Times New Roman"/>
          <w:sz w:val="24"/>
          <w:szCs w:val="24"/>
        </w:rPr>
        <w:t xml:space="preserve"> už nesunki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nusikaltim</w:t>
      </w:r>
      <w:r w:rsidR="00F944C4" w:rsidRPr="00F944C4">
        <w:rPr>
          <w:rFonts w:ascii="Times New Roman" w:hAnsi="Times New Roman" w:hint="eastAsia"/>
          <w:sz w:val="24"/>
          <w:szCs w:val="24"/>
        </w:rPr>
        <w:t>ų</w:t>
      </w:r>
      <w:r w:rsidR="00F944C4" w:rsidRPr="00F944C4">
        <w:rPr>
          <w:rFonts w:ascii="Times New Roman" w:hAnsi="Times New Roman"/>
          <w:sz w:val="24"/>
          <w:szCs w:val="24"/>
        </w:rPr>
        <w:t xml:space="preserve"> padarym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>.</w:t>
      </w:r>
    </w:p>
    <w:p w:rsidR="00FC7A37" w:rsidRPr="00872E1B" w:rsidRDefault="00FC7A37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510C48">
        <w:rPr>
          <w:rFonts w:ascii="Times New Roman" w:hAnsi="Times New Roman"/>
          <w:sz w:val="24"/>
          <w:szCs w:val="24"/>
        </w:rPr>
        <w:t xml:space="preserve">Dariaus </w:t>
      </w:r>
      <w:proofErr w:type="spellStart"/>
      <w:r w:rsidR="00510C48">
        <w:rPr>
          <w:rFonts w:ascii="Times New Roman" w:hAnsi="Times New Roman"/>
          <w:sz w:val="24"/>
          <w:szCs w:val="24"/>
        </w:rPr>
        <w:t>Japkevičiaus</w:t>
      </w:r>
      <w:proofErr w:type="spellEnd"/>
      <w:r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D32272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32272">
        <w:rPr>
          <w:rFonts w:ascii="Times New Roman" w:hAnsi="Times New Roman"/>
          <w:sz w:val="24"/>
          <w:szCs w:val="24"/>
        </w:rPr>
        <w:t>Komisijos pirmininkas</w:t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="00DF7971" w:rsidRPr="00D32272">
        <w:rPr>
          <w:rFonts w:ascii="Times New Roman" w:hAnsi="Times New Roman"/>
          <w:sz w:val="24"/>
          <w:szCs w:val="24"/>
        </w:rPr>
        <w:t>Edmundas Pupinis</w:t>
      </w:r>
    </w:p>
    <w:p w:rsidR="00287D88" w:rsidRPr="00D32272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Pr="00D32272" w:rsidRDefault="002D63A8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3A230F" w:rsidRPr="00D32272" w:rsidRDefault="003A230F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A92C62" w:rsidRPr="00D32272" w:rsidRDefault="00A92C62" w:rsidP="002D63A8">
      <w:pPr>
        <w:rPr>
          <w:rFonts w:ascii="Times New Roman" w:hAnsi="Times New Roman"/>
          <w:sz w:val="24"/>
          <w:szCs w:val="24"/>
        </w:rPr>
      </w:pPr>
    </w:p>
    <w:p w:rsidR="000F5620" w:rsidRPr="00D32272" w:rsidRDefault="000F5620" w:rsidP="002D63A8">
      <w:pPr>
        <w:rPr>
          <w:rFonts w:ascii="Times New Roman" w:hAnsi="Times New Roman"/>
          <w:sz w:val="24"/>
          <w:szCs w:val="24"/>
        </w:rPr>
      </w:pPr>
    </w:p>
    <w:p w:rsidR="00E17F8C" w:rsidRPr="00D32272" w:rsidRDefault="00DF7971" w:rsidP="00431B3B">
      <w:pPr>
        <w:pStyle w:val="Antrat1"/>
        <w:spacing w:line="360" w:lineRule="auto"/>
        <w:jc w:val="both"/>
        <w:rPr>
          <w:i w:val="0"/>
        </w:rPr>
      </w:pPr>
      <w:r w:rsidRPr="00D32272">
        <w:rPr>
          <w:i w:val="0"/>
        </w:rPr>
        <w:t>Rasa Griciūtė</w:t>
      </w:r>
      <w:r w:rsidR="00E17F8C" w:rsidRPr="00D32272">
        <w:rPr>
          <w:i w:val="0"/>
        </w:rPr>
        <w:t xml:space="preserve">, tel. (8 5) </w:t>
      </w:r>
      <w:r w:rsidRPr="00D32272">
        <w:rPr>
          <w:i w:val="0"/>
        </w:rPr>
        <w:t xml:space="preserve"> </w:t>
      </w:r>
      <w:r w:rsidR="00E17F8C" w:rsidRPr="00D32272">
        <w:rPr>
          <w:i w:val="0"/>
        </w:rPr>
        <w:t>239 681</w:t>
      </w:r>
      <w:r w:rsidRPr="00D32272">
        <w:rPr>
          <w:i w:val="0"/>
        </w:rPr>
        <w:t>7</w:t>
      </w:r>
      <w:r w:rsidR="00E17F8C" w:rsidRPr="00D32272">
        <w:rPr>
          <w:i w:val="0"/>
        </w:rPr>
        <w:t xml:space="preserve">, el. p. </w:t>
      </w:r>
      <w:r w:rsidRPr="00D32272">
        <w:rPr>
          <w:i w:val="0"/>
        </w:rPr>
        <w:t>rasa.griciute</w:t>
      </w:r>
      <w:r w:rsidR="00E17F8C" w:rsidRPr="00D32272">
        <w:rPr>
          <w:i w:val="0"/>
        </w:rPr>
        <w:t xml:space="preserve">@lrs.lt </w:t>
      </w:r>
    </w:p>
    <w:sectPr w:rsidR="00E17F8C" w:rsidRPr="00D32272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8E1ABE">
          <w:rPr>
            <w:rFonts w:ascii="Times New Roman" w:hAnsi="Times New Roman"/>
            <w:noProof/>
            <w:sz w:val="24"/>
            <w:szCs w:val="24"/>
          </w:rPr>
          <w:t>3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476DB"/>
    <w:rsid w:val="00277752"/>
    <w:rsid w:val="00287D88"/>
    <w:rsid w:val="002A2443"/>
    <w:rsid w:val="002C394E"/>
    <w:rsid w:val="002D63A8"/>
    <w:rsid w:val="002E2565"/>
    <w:rsid w:val="003232E3"/>
    <w:rsid w:val="00360258"/>
    <w:rsid w:val="00364C51"/>
    <w:rsid w:val="00372152"/>
    <w:rsid w:val="00383C88"/>
    <w:rsid w:val="003855AB"/>
    <w:rsid w:val="003A18D8"/>
    <w:rsid w:val="003A230F"/>
    <w:rsid w:val="003D333C"/>
    <w:rsid w:val="003D4EF1"/>
    <w:rsid w:val="003F4F06"/>
    <w:rsid w:val="00404FC3"/>
    <w:rsid w:val="004154AA"/>
    <w:rsid w:val="00417829"/>
    <w:rsid w:val="00427395"/>
    <w:rsid w:val="00431B3B"/>
    <w:rsid w:val="00467E5B"/>
    <w:rsid w:val="004B566C"/>
    <w:rsid w:val="004C6D5D"/>
    <w:rsid w:val="004D1350"/>
    <w:rsid w:val="004F367F"/>
    <w:rsid w:val="0050797E"/>
    <w:rsid w:val="00510C48"/>
    <w:rsid w:val="00527B37"/>
    <w:rsid w:val="00570216"/>
    <w:rsid w:val="00596969"/>
    <w:rsid w:val="005B6B11"/>
    <w:rsid w:val="005C0EB4"/>
    <w:rsid w:val="005D6E2D"/>
    <w:rsid w:val="00600BD0"/>
    <w:rsid w:val="00636468"/>
    <w:rsid w:val="00641370"/>
    <w:rsid w:val="006462F1"/>
    <w:rsid w:val="00664F1B"/>
    <w:rsid w:val="006A6CC3"/>
    <w:rsid w:val="006B1375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72E1B"/>
    <w:rsid w:val="00881959"/>
    <w:rsid w:val="008920CE"/>
    <w:rsid w:val="00894ACF"/>
    <w:rsid w:val="0089581F"/>
    <w:rsid w:val="008B36D6"/>
    <w:rsid w:val="008C611E"/>
    <w:rsid w:val="008E1ABE"/>
    <w:rsid w:val="00914A01"/>
    <w:rsid w:val="00931B3A"/>
    <w:rsid w:val="00973F45"/>
    <w:rsid w:val="009B2DBC"/>
    <w:rsid w:val="009C1D7E"/>
    <w:rsid w:val="009C36C2"/>
    <w:rsid w:val="009D5794"/>
    <w:rsid w:val="00A007A8"/>
    <w:rsid w:val="00A40EDD"/>
    <w:rsid w:val="00A65BC5"/>
    <w:rsid w:val="00A92C62"/>
    <w:rsid w:val="00AA1842"/>
    <w:rsid w:val="00AE7661"/>
    <w:rsid w:val="00AF2404"/>
    <w:rsid w:val="00B1430A"/>
    <w:rsid w:val="00B14E50"/>
    <w:rsid w:val="00B33025"/>
    <w:rsid w:val="00B3621F"/>
    <w:rsid w:val="00B40ECB"/>
    <w:rsid w:val="00B75288"/>
    <w:rsid w:val="00B86DC1"/>
    <w:rsid w:val="00BE78FC"/>
    <w:rsid w:val="00BF1CB1"/>
    <w:rsid w:val="00C140B1"/>
    <w:rsid w:val="00C26836"/>
    <w:rsid w:val="00C4735B"/>
    <w:rsid w:val="00C55693"/>
    <w:rsid w:val="00C7417D"/>
    <w:rsid w:val="00CB1DC2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5183"/>
    <w:rsid w:val="00E9002C"/>
    <w:rsid w:val="00ED0153"/>
    <w:rsid w:val="00ED3D92"/>
    <w:rsid w:val="00ED5676"/>
    <w:rsid w:val="00EE20AC"/>
    <w:rsid w:val="00EE3355"/>
    <w:rsid w:val="00F05118"/>
    <w:rsid w:val="00F056CC"/>
    <w:rsid w:val="00F20DE0"/>
    <w:rsid w:val="00F27B14"/>
    <w:rsid w:val="00F45213"/>
    <w:rsid w:val="00F46216"/>
    <w:rsid w:val="00F74202"/>
    <w:rsid w:val="00F944C4"/>
    <w:rsid w:val="00FA1505"/>
    <w:rsid w:val="00FA2169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D0B5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Z6YWEJNPDQQR-896559167-96</_dlc_DocId>
    <_dlc_DocIdUrl xmlns="28130d43-1b56-4a10-ad88-2cd38123f4c1">
      <Url>https://intranetas.lrs.lt/29/_layouts/15/DocIdRedir.aspx?ID=Z6YWEJNPDQQR-896559167-96</Url>
      <Description>Z6YWEJNPDQQR-896559167-96</Description>
    </_dlc_DocIdUrl>
  </documentManagement>
</p:properties>
</file>

<file path=customXml/itemProps1.xml><?xml version="1.0" encoding="utf-8"?>
<ds:datastoreItem xmlns:ds="http://schemas.openxmlformats.org/officeDocument/2006/customXml" ds:itemID="{2F6AF68F-B260-4CB0-9C30-57F4721CC83F}"/>
</file>

<file path=customXml/itemProps2.xml><?xml version="1.0" encoding="utf-8"?>
<ds:datastoreItem xmlns:ds="http://schemas.openxmlformats.org/officeDocument/2006/customXml" ds:itemID="{085A6C05-A0DF-40CF-811F-019F61CB1389}"/>
</file>

<file path=customXml/itemProps3.xml><?xml version="1.0" encoding="utf-8"?>
<ds:datastoreItem xmlns:ds="http://schemas.openxmlformats.org/officeDocument/2006/customXml" ds:itemID="{980DA088-BB03-4247-B6B2-9A43167055D6}"/>
</file>

<file path=customXml/itemProps4.xml><?xml version="1.0" encoding="utf-8"?>
<ds:datastoreItem xmlns:ds="http://schemas.openxmlformats.org/officeDocument/2006/customXml" ds:itemID="{0BC64A30-6382-4D17-81DB-090898E549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4240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8</cp:revision>
  <cp:lastPrinted>2020-10-13T09:41:00Z</cp:lastPrinted>
  <dcterms:created xsi:type="dcterms:W3CDTF">2021-03-29T13:04:00Z</dcterms:created>
  <dcterms:modified xsi:type="dcterms:W3CDTF">2021-03-30T12:13:00Z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ff9fa48a-27ca-4859-b5d1-770c3d01e0b1</vt:lpwstr>
  </property>
</Properties>
</file>