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2516DB" w:rsidRDefault="00576E5E" w:rsidP="002516DB">
      <w:pPr>
        <w:spacing w:line="360" w:lineRule="auto"/>
        <w:jc w:val="center"/>
        <w:rPr>
          <w:rFonts w:ascii="Times New Roman" w:hAnsi="Times New Roman"/>
          <w:b/>
          <w:bCs/>
          <w:spacing w:val="4"/>
          <w:sz w:val="24"/>
          <w:szCs w:val="24"/>
        </w:rPr>
      </w:pPr>
      <w:r w:rsidRPr="002516DB">
        <w:rPr>
          <w:rFonts w:ascii="Times New Roman" w:hAnsi="Times New Roman"/>
          <w:b/>
          <w:bCs/>
          <w:spacing w:val="4"/>
          <w:sz w:val="24"/>
          <w:szCs w:val="24"/>
        </w:rPr>
        <w:t>PETICIJŲ KOMISIJA</w:t>
      </w:r>
    </w:p>
    <w:p w:rsidR="00576E5E" w:rsidRPr="002516DB" w:rsidRDefault="00576E5E" w:rsidP="002516DB">
      <w:pPr>
        <w:spacing w:line="360" w:lineRule="auto"/>
        <w:ind w:right="11" w:firstLine="851"/>
        <w:jc w:val="center"/>
        <w:rPr>
          <w:rFonts w:ascii="Times New Roman" w:hAnsi="Times New Roman"/>
          <w:b/>
          <w:spacing w:val="4"/>
          <w:sz w:val="24"/>
          <w:szCs w:val="24"/>
        </w:rPr>
      </w:pP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IŠVADA</w:t>
      </w: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DĖL PETICIJO</w:t>
      </w:r>
      <w:r w:rsidR="00696488" w:rsidRPr="002516DB">
        <w:rPr>
          <w:rFonts w:ascii="Times New Roman" w:hAnsi="Times New Roman"/>
          <w:b/>
          <w:sz w:val="24"/>
          <w:szCs w:val="24"/>
        </w:rPr>
        <w:t>J</w:t>
      </w:r>
      <w:r w:rsidR="00FA4E37" w:rsidRPr="002516DB">
        <w:rPr>
          <w:rFonts w:ascii="Times New Roman" w:hAnsi="Times New Roman"/>
          <w:b/>
          <w:sz w:val="24"/>
          <w:szCs w:val="24"/>
        </w:rPr>
        <w:t>E PATEIKTO SIŪLYMO</w:t>
      </w:r>
      <w:r w:rsidR="00F11A37" w:rsidRPr="002516DB">
        <w:rPr>
          <w:rFonts w:ascii="Times New Roman" w:hAnsi="Times New Roman"/>
          <w:b/>
          <w:sz w:val="24"/>
          <w:szCs w:val="24"/>
        </w:rPr>
        <w:t xml:space="preserve"> NETENKINIMO</w:t>
      </w:r>
    </w:p>
    <w:p w:rsidR="00576E5E" w:rsidRPr="002516DB" w:rsidRDefault="00576E5E" w:rsidP="002516DB">
      <w:pPr>
        <w:pStyle w:val="Betarp"/>
        <w:spacing w:line="360" w:lineRule="auto"/>
        <w:ind w:firstLine="851"/>
        <w:jc w:val="center"/>
        <w:rPr>
          <w:rFonts w:ascii="Times New Roman" w:hAnsi="Times New Roman"/>
          <w:b/>
          <w:sz w:val="24"/>
          <w:szCs w:val="24"/>
        </w:rPr>
      </w:pPr>
    </w:p>
    <w:p w:rsidR="00576E5E" w:rsidRPr="0086406A" w:rsidRDefault="00576E5E" w:rsidP="002516DB">
      <w:pPr>
        <w:pStyle w:val="Betarp"/>
        <w:spacing w:line="360" w:lineRule="auto"/>
        <w:jc w:val="center"/>
        <w:rPr>
          <w:rFonts w:ascii="Times New Roman" w:hAnsi="Times New Roman"/>
          <w:sz w:val="24"/>
          <w:szCs w:val="24"/>
          <w:lang w:val="en-US"/>
        </w:rPr>
      </w:pPr>
      <w:r w:rsidRPr="0086406A">
        <w:rPr>
          <w:rFonts w:ascii="Times New Roman" w:hAnsi="Times New Roman"/>
          <w:sz w:val="24"/>
          <w:szCs w:val="24"/>
        </w:rPr>
        <w:t>202</w:t>
      </w:r>
      <w:r w:rsidR="00B07229" w:rsidRPr="0086406A">
        <w:rPr>
          <w:rFonts w:ascii="Times New Roman" w:hAnsi="Times New Roman"/>
          <w:sz w:val="24"/>
          <w:szCs w:val="24"/>
        </w:rPr>
        <w:t>4</w:t>
      </w:r>
      <w:r w:rsidRPr="0086406A">
        <w:rPr>
          <w:rFonts w:ascii="Times New Roman" w:hAnsi="Times New Roman"/>
          <w:sz w:val="24"/>
          <w:szCs w:val="24"/>
        </w:rPr>
        <w:t xml:space="preserve"> m. </w:t>
      </w:r>
      <w:r w:rsidR="00B07229" w:rsidRPr="0086406A">
        <w:rPr>
          <w:rFonts w:ascii="Times New Roman" w:hAnsi="Times New Roman"/>
          <w:sz w:val="24"/>
          <w:szCs w:val="24"/>
        </w:rPr>
        <w:t xml:space="preserve">balandžio </w:t>
      </w:r>
      <w:r w:rsidR="002949D9">
        <w:rPr>
          <w:rFonts w:ascii="Times New Roman" w:hAnsi="Times New Roman"/>
          <w:sz w:val="24"/>
          <w:szCs w:val="24"/>
          <w:lang w:val="en-US"/>
        </w:rPr>
        <w:t>17</w:t>
      </w:r>
      <w:r w:rsidR="007A504A" w:rsidRPr="0086406A">
        <w:rPr>
          <w:rFonts w:ascii="Times New Roman" w:hAnsi="Times New Roman"/>
          <w:sz w:val="24"/>
          <w:szCs w:val="24"/>
        </w:rPr>
        <w:t xml:space="preserve"> </w:t>
      </w:r>
      <w:r w:rsidRPr="0086406A">
        <w:rPr>
          <w:rFonts w:ascii="Times New Roman" w:hAnsi="Times New Roman"/>
          <w:sz w:val="24"/>
          <w:szCs w:val="24"/>
        </w:rPr>
        <w:t>d.</w:t>
      </w:r>
      <w:r w:rsidR="000A521F" w:rsidRPr="0086406A">
        <w:rPr>
          <w:rFonts w:ascii="Times New Roman" w:hAnsi="Times New Roman"/>
          <w:sz w:val="24"/>
          <w:szCs w:val="24"/>
        </w:rPr>
        <w:t xml:space="preserve"> Nr. </w:t>
      </w:r>
      <w:r w:rsidR="000A521F" w:rsidRPr="00027C49">
        <w:rPr>
          <w:rFonts w:ascii="Times New Roman" w:hAnsi="Times New Roman"/>
          <w:sz w:val="24"/>
          <w:szCs w:val="24"/>
        </w:rPr>
        <w:t>250-I-</w:t>
      </w:r>
      <w:r w:rsidR="002949D9">
        <w:rPr>
          <w:rFonts w:ascii="Times New Roman" w:hAnsi="Times New Roman"/>
          <w:sz w:val="24"/>
          <w:szCs w:val="24"/>
        </w:rPr>
        <w:t>7</w:t>
      </w:r>
    </w:p>
    <w:p w:rsidR="00576E5E" w:rsidRPr="0086406A" w:rsidRDefault="00576E5E" w:rsidP="002516DB">
      <w:pPr>
        <w:pStyle w:val="Betarp"/>
        <w:spacing w:line="360" w:lineRule="auto"/>
        <w:jc w:val="center"/>
        <w:rPr>
          <w:rFonts w:ascii="Times New Roman" w:hAnsi="Times New Roman"/>
          <w:sz w:val="24"/>
          <w:szCs w:val="24"/>
        </w:rPr>
      </w:pPr>
      <w:r w:rsidRPr="0086406A">
        <w:rPr>
          <w:rFonts w:ascii="Times New Roman" w:hAnsi="Times New Roman"/>
          <w:sz w:val="24"/>
          <w:szCs w:val="24"/>
        </w:rPr>
        <w:t>Vilnius</w:t>
      </w:r>
    </w:p>
    <w:p w:rsidR="00576E5E" w:rsidRPr="0086406A" w:rsidRDefault="00576E5E" w:rsidP="00583A0B">
      <w:pPr>
        <w:pStyle w:val="Betarp"/>
        <w:tabs>
          <w:tab w:val="left" w:pos="1134"/>
        </w:tabs>
        <w:spacing w:line="360" w:lineRule="auto"/>
        <w:ind w:firstLine="851"/>
        <w:jc w:val="both"/>
        <w:rPr>
          <w:rFonts w:ascii="Times New Roman" w:hAnsi="Times New Roman"/>
          <w:sz w:val="24"/>
          <w:szCs w:val="24"/>
        </w:rPr>
      </w:pPr>
    </w:p>
    <w:p w:rsidR="008F5B89" w:rsidRDefault="00576E5E" w:rsidP="002949D9">
      <w:pPr>
        <w:pStyle w:val="Default"/>
        <w:spacing w:line="360" w:lineRule="auto"/>
        <w:ind w:firstLine="851"/>
        <w:jc w:val="both"/>
      </w:pPr>
      <w:r w:rsidRPr="0086406A">
        <w:t>Lietuvos Respublikos Seimo Peticijų komisij</w:t>
      </w:r>
      <w:r w:rsidR="006E53DD" w:rsidRPr="0086406A">
        <w:t>a</w:t>
      </w:r>
      <w:r w:rsidRPr="0086406A">
        <w:t xml:space="preserve"> 202</w:t>
      </w:r>
      <w:r w:rsidR="00B07229" w:rsidRPr="0086406A">
        <w:t>4</w:t>
      </w:r>
      <w:r w:rsidRPr="0086406A">
        <w:t xml:space="preserve"> m. </w:t>
      </w:r>
      <w:r w:rsidR="00B07229" w:rsidRPr="0086406A">
        <w:t xml:space="preserve">balandžio </w:t>
      </w:r>
      <w:r w:rsidR="002949D9">
        <w:rPr>
          <w:lang w:val="en-US"/>
        </w:rPr>
        <w:t>17</w:t>
      </w:r>
      <w:r w:rsidR="00B81CDD" w:rsidRPr="0086406A">
        <w:t xml:space="preserve"> </w:t>
      </w:r>
      <w:r w:rsidRPr="0086406A">
        <w:t xml:space="preserve">d. posėdyje </w:t>
      </w:r>
      <w:r w:rsidR="007A504A" w:rsidRPr="0086406A">
        <w:t>iš</w:t>
      </w:r>
      <w:r w:rsidR="00C703AF" w:rsidRPr="0086406A">
        <w:t>nagrinė</w:t>
      </w:r>
      <w:r w:rsidR="006E53DD" w:rsidRPr="0086406A">
        <w:t>jo</w:t>
      </w:r>
      <w:r w:rsidRPr="0086406A">
        <w:t xml:space="preserve"> </w:t>
      </w:r>
      <w:r w:rsidR="00FA4E37" w:rsidRPr="0086406A">
        <w:t>pareiškėj</w:t>
      </w:r>
      <w:r w:rsidR="008F5B89" w:rsidRPr="0086406A">
        <w:t>o</w:t>
      </w:r>
      <w:r w:rsidRPr="0086406A">
        <w:t xml:space="preserve"> </w:t>
      </w:r>
      <w:r w:rsidR="004957BE" w:rsidRPr="0086406A">
        <w:t>peticiją, kurioje pateiktas siūlymas</w:t>
      </w:r>
      <w:r w:rsidR="003D142B" w:rsidRPr="0086406A">
        <w:t xml:space="preserve"> </w:t>
      </w:r>
      <w:r w:rsidR="002949D9" w:rsidRPr="00815193">
        <w:t xml:space="preserve">pakeisti </w:t>
      </w:r>
      <w:r w:rsidR="002949D9" w:rsidRPr="00815193">
        <w:rPr>
          <w:bCs/>
          <w:shd w:val="clear" w:color="auto" w:fill="FFFFFF"/>
        </w:rPr>
        <w:t>Lietuvos Respublikos civilinio proceso kodekso 111</w:t>
      </w:r>
      <w:r w:rsidR="002949D9">
        <w:rPr>
          <w:bCs/>
          <w:shd w:val="clear" w:color="auto" w:fill="FFFFFF"/>
        </w:rPr>
        <w:t> </w:t>
      </w:r>
      <w:r w:rsidR="002949D9" w:rsidRPr="00815193">
        <w:rPr>
          <w:bCs/>
          <w:shd w:val="clear" w:color="auto" w:fill="FFFFFF"/>
        </w:rPr>
        <w:t xml:space="preserve">straipsnio 4 dalį, 113 straipsnio 3 dalį, 198 straipsnio 2 dalį, 482 straipsnio 2 dalį, 775 straipsnį, 811 straipsnio 2 dalį, Lietuvos Respublikos administracinių bylų teisenos įstatymo 9 straipsnio 2 dalį </w:t>
      </w:r>
      <w:r w:rsidR="002949D9">
        <w:rPr>
          <w:bCs/>
          <w:shd w:val="clear" w:color="auto" w:fill="FFFFFF"/>
        </w:rPr>
        <w:t>ir</w:t>
      </w:r>
      <w:r w:rsidR="002949D9" w:rsidRPr="00815193">
        <w:rPr>
          <w:bCs/>
          <w:shd w:val="clear" w:color="auto" w:fill="FFFFFF"/>
        </w:rPr>
        <w:t xml:space="preserve"> Lietuvos Respublikos ikiteisminio administracinių ginčų nagrinėjimo tvark</w:t>
      </w:r>
      <w:r w:rsidR="002949D9">
        <w:rPr>
          <w:bCs/>
          <w:shd w:val="clear" w:color="auto" w:fill="FFFFFF"/>
        </w:rPr>
        <w:t>os įstatymo 7 straipsnio 3 dalį</w:t>
      </w:r>
      <w:r w:rsidR="002949D9">
        <w:t xml:space="preserve"> </w:t>
      </w:r>
      <w:r w:rsidR="004957BE" w:rsidRPr="0086406A">
        <w:rPr>
          <w:rFonts w:eastAsia="Calibri"/>
        </w:rPr>
        <w:t xml:space="preserve">ir </w:t>
      </w:r>
      <w:r w:rsidR="008F5B89" w:rsidRPr="0086406A">
        <w:rPr>
          <w:rFonts w:eastAsia="Calibri"/>
        </w:rPr>
        <w:t xml:space="preserve">priėmė sprendimą </w:t>
      </w:r>
      <w:r w:rsidR="008F5B89" w:rsidRPr="0086406A">
        <w:t xml:space="preserve">teikti Seimui išvadą </w:t>
      </w:r>
      <w:r w:rsidR="008F5B89" w:rsidRPr="0086406A">
        <w:rPr>
          <w:rFonts w:eastAsia="Calibri"/>
        </w:rPr>
        <w:t>netenkinti šio</w:t>
      </w:r>
      <w:r w:rsidR="004957BE" w:rsidRPr="0086406A">
        <w:rPr>
          <w:rFonts w:eastAsia="Calibri"/>
        </w:rPr>
        <w:t xml:space="preserve"> </w:t>
      </w:r>
      <w:r w:rsidR="008F5B89" w:rsidRPr="0086406A">
        <w:rPr>
          <w:rFonts w:eastAsia="Calibri"/>
        </w:rPr>
        <w:t>siūlymo</w:t>
      </w:r>
      <w:r w:rsidR="001A2FB6" w:rsidRPr="0086406A">
        <w:rPr>
          <w:rFonts w:eastAsia="Calibri"/>
        </w:rPr>
        <w:t>.</w:t>
      </w:r>
      <w:r w:rsidR="008F5B89" w:rsidRPr="0086406A">
        <w:rPr>
          <w:rFonts w:eastAsia="Calibri"/>
        </w:rPr>
        <w:t xml:space="preserve"> </w:t>
      </w:r>
      <w:r w:rsidR="003D142B" w:rsidRPr="0086406A">
        <w:rPr>
          <w:rFonts w:eastAsia="Calibri"/>
        </w:rPr>
        <w:t>Sprendimas priimtas</w:t>
      </w:r>
      <w:r w:rsidR="00B07229" w:rsidRPr="0086406A">
        <w:rPr>
          <w:rFonts w:eastAsia="Calibri"/>
        </w:rPr>
        <w:t>,</w:t>
      </w:r>
      <w:r w:rsidR="00533880" w:rsidRPr="0086406A">
        <w:rPr>
          <w:rFonts w:eastAsia="Calibri"/>
        </w:rPr>
        <w:t xml:space="preserve"> atsižvelgus į </w:t>
      </w:r>
      <w:r w:rsidR="00533880" w:rsidRPr="006F2493">
        <w:rPr>
          <w:rFonts w:eastAsia="Calibri"/>
        </w:rPr>
        <w:t xml:space="preserve">Lietuvos Respublikos </w:t>
      </w:r>
      <w:r w:rsidR="00B07229" w:rsidRPr="006F2493">
        <w:rPr>
          <w:rFonts w:eastAsia="Calibri"/>
        </w:rPr>
        <w:t xml:space="preserve">Seimo kanceliarijos </w:t>
      </w:r>
      <w:r w:rsidR="00B07229" w:rsidRPr="006F2493">
        <w:t>Teisės departamento</w:t>
      </w:r>
      <w:r w:rsidR="003D142B" w:rsidRPr="006F2493">
        <w:t>,</w:t>
      </w:r>
      <w:r w:rsidR="003D142B" w:rsidRPr="006F2493">
        <w:rPr>
          <w:rFonts w:eastAsia="Calibri"/>
        </w:rPr>
        <w:t xml:space="preserve"> Lietuvos Respublikos teisingumo ministerijos</w:t>
      </w:r>
      <w:r w:rsidR="00AF104E" w:rsidRPr="006F2493">
        <w:rPr>
          <w:rFonts w:eastAsia="Calibri"/>
        </w:rPr>
        <w:t xml:space="preserve"> </w:t>
      </w:r>
      <w:r w:rsidR="00142053" w:rsidRPr="006F2493">
        <w:rPr>
          <w:rFonts w:eastAsia="Calibri"/>
        </w:rPr>
        <w:t>nuomonę</w:t>
      </w:r>
      <w:r w:rsidR="00142053">
        <w:rPr>
          <w:rFonts w:eastAsia="Calibri"/>
        </w:rPr>
        <w:t xml:space="preserve"> dėl peticijoje </w:t>
      </w:r>
      <w:r w:rsidR="000D125D">
        <w:rPr>
          <w:rFonts w:eastAsia="Calibri"/>
        </w:rPr>
        <w:t>pateikto siūlymo</w:t>
      </w:r>
      <w:r w:rsidR="00533880" w:rsidRPr="0086406A">
        <w:rPr>
          <w:rFonts w:eastAsia="Calibri"/>
        </w:rPr>
        <w:t>.</w:t>
      </w:r>
      <w:r w:rsidR="00B07229" w:rsidRPr="0086406A">
        <w:t xml:space="preserve"> </w:t>
      </w:r>
    </w:p>
    <w:p w:rsidR="006F2493" w:rsidRPr="00776199" w:rsidRDefault="006F2493" w:rsidP="006F2493">
      <w:pPr>
        <w:spacing w:line="360" w:lineRule="auto"/>
        <w:ind w:firstLine="851"/>
        <w:jc w:val="both"/>
        <w:rPr>
          <w:rFonts w:eastAsia="Calibri"/>
          <w:bCs/>
          <w:sz w:val="24"/>
          <w:szCs w:val="24"/>
        </w:rPr>
      </w:pPr>
      <w:r w:rsidRPr="00776199">
        <w:rPr>
          <w:rFonts w:eastAsia="Calibri"/>
          <w:sz w:val="24"/>
          <w:szCs w:val="24"/>
        </w:rPr>
        <w:t>Vertinant pareiškėjo peticijos turinį,</w:t>
      </w:r>
      <w:r w:rsidR="0006013A">
        <w:rPr>
          <w:rFonts w:eastAsia="Calibri"/>
          <w:sz w:val="24"/>
          <w:szCs w:val="24"/>
        </w:rPr>
        <w:t xml:space="preserve"> darytina išvada, jog p</w:t>
      </w:r>
      <w:r w:rsidRPr="00776199">
        <w:rPr>
          <w:rFonts w:eastAsia="Calibri"/>
          <w:sz w:val="24"/>
          <w:szCs w:val="24"/>
        </w:rPr>
        <w:t xml:space="preserve">areiškėjo manymu, </w:t>
      </w:r>
      <w:r w:rsidRPr="00776199">
        <w:rPr>
          <w:sz w:val="24"/>
          <w:szCs w:val="24"/>
        </w:rPr>
        <w:t xml:space="preserve">Civilinio proceso kodekse (toliau – CPK), </w:t>
      </w:r>
      <w:r w:rsidRPr="00776199">
        <w:rPr>
          <w:rFonts w:eastAsia="Calibri"/>
          <w:bCs/>
          <w:sz w:val="24"/>
          <w:szCs w:val="24"/>
          <w:shd w:val="clear" w:color="auto" w:fill="FFFFFF"/>
        </w:rPr>
        <w:t xml:space="preserve">Administracinių bylų teisenos įstatyme (toliau – ABTĮ) bei Ikiteisminio administracinių ginčų nagrinėjimo tvarkos įstatyme (toliau – IAGNTĮ) ydingai nustatyta, kad </w:t>
      </w:r>
      <w:r w:rsidRPr="00776199">
        <w:rPr>
          <w:rFonts w:eastAsia="Calibri"/>
          <w:bCs/>
          <w:sz w:val="24"/>
          <w:szCs w:val="24"/>
        </w:rPr>
        <w:t xml:space="preserve">teismui ir Lietuvos administracinių ginčų komisijai teikiami vertimai turi būti patvirtinti įstatymų nustatyta tvarka. Anot pareiškėjo, </w:t>
      </w:r>
      <w:r w:rsidRPr="00776199">
        <w:rPr>
          <w:rFonts w:eastAsia="Calibri"/>
          <w:sz w:val="24"/>
          <w:szCs w:val="24"/>
        </w:rPr>
        <w:t>vertimas iš vienos kalbos į kitą nėra licencijuojama veikla,</w:t>
      </w:r>
      <w:r w:rsidRPr="00776199">
        <w:rPr>
          <w:rFonts w:eastAsia="Calibri"/>
          <w:bCs/>
          <w:sz w:val="24"/>
          <w:szCs w:val="24"/>
        </w:rPr>
        <w:t xml:space="preserve"> įstatymų nustatyta vertimų patvirtinimo tvarka neegzistuoja</w:t>
      </w:r>
      <w:r w:rsidRPr="00776199">
        <w:rPr>
          <w:rFonts w:eastAsia="Calibri"/>
          <w:sz w:val="24"/>
          <w:szCs w:val="24"/>
        </w:rPr>
        <w:t xml:space="preserve">, tokia tvarka egzistavo kaip notarų ir konsulinių pareigūnų funkcija, tačiau 2021-2022 metais buvo panaikinta, dėl ko turi būti inicijuojami </w:t>
      </w:r>
      <w:r w:rsidRPr="00776199">
        <w:rPr>
          <w:sz w:val="24"/>
          <w:szCs w:val="24"/>
        </w:rPr>
        <w:t xml:space="preserve">CPK, </w:t>
      </w:r>
      <w:r w:rsidRPr="00776199">
        <w:rPr>
          <w:rFonts w:eastAsia="Calibri"/>
          <w:bCs/>
          <w:sz w:val="24"/>
          <w:szCs w:val="24"/>
          <w:shd w:val="clear" w:color="auto" w:fill="FFFFFF"/>
        </w:rPr>
        <w:t>ABTĮ bei IAGNTĮ pakeitimai, nustatant, jog</w:t>
      </w:r>
      <w:r w:rsidRPr="00776199">
        <w:rPr>
          <w:rFonts w:eastAsia="Calibri"/>
          <w:bCs/>
          <w:sz w:val="24"/>
          <w:szCs w:val="24"/>
        </w:rPr>
        <w:t xml:space="preserve"> teismui ir Lietuvos administracinių ginčų komisijai teikiamų vertimų patvirtinimo tvarką nustato Vyriausybė arba jos paskirta institucija.</w:t>
      </w:r>
    </w:p>
    <w:p w:rsidR="006F2493" w:rsidRPr="00776199" w:rsidRDefault="006F2493" w:rsidP="006F2493">
      <w:pPr>
        <w:spacing w:line="360" w:lineRule="auto"/>
        <w:ind w:firstLine="851"/>
        <w:jc w:val="both"/>
        <w:rPr>
          <w:rFonts w:eastAsia="Calibri"/>
          <w:bCs/>
          <w:sz w:val="24"/>
          <w:szCs w:val="24"/>
        </w:rPr>
      </w:pPr>
      <w:r w:rsidRPr="00776199">
        <w:rPr>
          <w:rFonts w:eastAsia="Calibri"/>
          <w:bCs/>
          <w:sz w:val="24"/>
          <w:szCs w:val="24"/>
        </w:rPr>
        <w:t xml:space="preserve">Pareiškėjo peticijoje minimų CPK bei </w:t>
      </w:r>
      <w:r w:rsidRPr="00776199">
        <w:rPr>
          <w:rFonts w:eastAsia="Calibri"/>
          <w:bCs/>
          <w:sz w:val="24"/>
          <w:szCs w:val="24"/>
          <w:shd w:val="clear" w:color="auto" w:fill="FFFFFF"/>
        </w:rPr>
        <w:t>IAGNTĮ</w:t>
      </w:r>
      <w:r w:rsidRPr="00776199">
        <w:rPr>
          <w:rFonts w:eastAsia="Calibri"/>
          <w:bCs/>
          <w:sz w:val="24"/>
          <w:szCs w:val="24"/>
        </w:rPr>
        <w:t xml:space="preserve"> straipsnių sisteminė analizė suponuoja, kad minėtose teisės normose </w:t>
      </w:r>
      <w:r w:rsidRPr="00776199">
        <w:rPr>
          <w:color w:val="000000"/>
          <w:sz w:val="24"/>
          <w:szCs w:val="24"/>
          <w:shd w:val="clear" w:color="auto" w:fill="FFFFFF"/>
        </w:rPr>
        <w:t xml:space="preserve">reglamentuotas procesinių dokumentų kalbos reikalavimas, </w:t>
      </w:r>
      <w:r>
        <w:rPr>
          <w:color w:val="000000"/>
          <w:sz w:val="24"/>
          <w:szCs w:val="24"/>
          <w:shd w:val="clear" w:color="auto" w:fill="FFFFFF"/>
        </w:rPr>
        <w:t>įpareigoja</w:t>
      </w:r>
      <w:r w:rsidRPr="00776199">
        <w:rPr>
          <w:color w:val="000000"/>
          <w:sz w:val="24"/>
          <w:szCs w:val="24"/>
          <w:shd w:val="clear" w:color="auto" w:fill="FFFFFF"/>
        </w:rPr>
        <w:t xml:space="preserve"> visus dokumentus bei jų priedus teikti lietuvių kalba, o tais atvejais, kai </w:t>
      </w:r>
      <w:r w:rsidRPr="00776199">
        <w:rPr>
          <w:rFonts w:eastAsia="Calibri"/>
          <w:bCs/>
          <w:sz w:val="24"/>
          <w:szCs w:val="24"/>
        </w:rPr>
        <w:t xml:space="preserve">procesiniai dokumentai bei jų priedai teikiami ne lietuvių kalba, turi būti pateikiami įstatymų nustatyta tvarka patvirtinti jų vertimai į lietuvių kalbą. </w:t>
      </w:r>
      <w:r w:rsidRPr="00776199">
        <w:rPr>
          <w:color w:val="000000"/>
          <w:sz w:val="24"/>
          <w:szCs w:val="24"/>
          <w:shd w:val="clear" w:color="auto" w:fill="FFFFFF"/>
        </w:rPr>
        <w:t xml:space="preserve">Siekiant užtikrinti asmenų, nesuprantančių valstybinės lietuvių kalbos, teisę į tinkamą procesą, įstatyme tokiems asmenims suteikta galimybė gauti procesinius dokumentus jiems </w:t>
      </w:r>
      <w:r w:rsidRPr="00776199">
        <w:rPr>
          <w:color w:val="000000"/>
          <w:sz w:val="24"/>
          <w:szCs w:val="24"/>
          <w:shd w:val="clear" w:color="auto" w:fill="FFFFFF"/>
        </w:rPr>
        <w:lastRenderedPageBreak/>
        <w:t xml:space="preserve">suprantama kalba, pateikiant </w:t>
      </w:r>
      <w:r w:rsidRPr="00776199">
        <w:rPr>
          <w:rFonts w:eastAsia="Calibri"/>
          <w:bCs/>
          <w:sz w:val="24"/>
          <w:szCs w:val="24"/>
        </w:rPr>
        <w:t xml:space="preserve">įstatymų nustatyta tvarka patvirtintus </w:t>
      </w:r>
      <w:r w:rsidRPr="00776199">
        <w:rPr>
          <w:color w:val="000000"/>
          <w:sz w:val="24"/>
          <w:szCs w:val="24"/>
          <w:shd w:val="clear" w:color="auto" w:fill="FFFFFF"/>
        </w:rPr>
        <w:t xml:space="preserve">vertimus. </w:t>
      </w:r>
      <w:r w:rsidRPr="00776199">
        <w:rPr>
          <w:sz w:val="24"/>
          <w:szCs w:val="24"/>
        </w:rPr>
        <w:t xml:space="preserve">Pastebėtina, kad </w:t>
      </w:r>
      <w:r w:rsidRPr="00776199">
        <w:rPr>
          <w:rFonts w:eastAsia="Calibri"/>
          <w:bCs/>
          <w:sz w:val="24"/>
          <w:szCs w:val="24"/>
        </w:rPr>
        <w:t xml:space="preserve">ABTĮ 9 straipsnio, reglamentuojančio proceso kalbą, 2 dalyje, taip pat įtvirtintas reikalavimas teikiamus dokumentus, surašytus kitomis kalbomis, pateikti ir teikiamų dokumentų patvirtintus vertimus į lietuvių kalbą, tačiau nėra nustatomas reikalavimas, kad vertimai būtų patvirtinti įstatymų nustatyta tvarka. </w:t>
      </w:r>
    </w:p>
    <w:p w:rsidR="006F2493" w:rsidRPr="00776199" w:rsidRDefault="006F2493" w:rsidP="006F2493">
      <w:pPr>
        <w:spacing w:line="360" w:lineRule="auto"/>
        <w:ind w:firstLine="851"/>
        <w:jc w:val="both"/>
        <w:rPr>
          <w:sz w:val="24"/>
          <w:szCs w:val="24"/>
        </w:rPr>
      </w:pPr>
      <w:r w:rsidRPr="00776199">
        <w:rPr>
          <w:sz w:val="24"/>
          <w:szCs w:val="24"/>
          <w:lang w:eastAsia="lt-LT"/>
        </w:rPr>
        <w:t xml:space="preserve">Pažymėtina, kad vertimus iš vienos kalbos į kitą profesionaliai atlieka vertėjas, turintis tam reikalingą kvalifikaciją, įgūdžius bei kompetenciją. </w:t>
      </w:r>
      <w:r w:rsidR="0006013A">
        <w:rPr>
          <w:color w:val="000000"/>
          <w:sz w:val="24"/>
          <w:szCs w:val="24"/>
          <w:shd w:val="clear" w:color="auto" w:fill="FFFFFF"/>
        </w:rPr>
        <w:t>Kaip p</w:t>
      </w:r>
      <w:r w:rsidRPr="00776199">
        <w:rPr>
          <w:color w:val="000000"/>
          <w:sz w:val="24"/>
          <w:szCs w:val="24"/>
          <w:shd w:val="clear" w:color="auto" w:fill="FFFFFF"/>
        </w:rPr>
        <w:t>areiškėjas</w:t>
      </w:r>
      <w:r>
        <w:rPr>
          <w:color w:val="000000"/>
          <w:sz w:val="24"/>
          <w:szCs w:val="24"/>
          <w:shd w:val="clear" w:color="auto" w:fill="FFFFFF"/>
        </w:rPr>
        <w:t xml:space="preserve"> ir pažymi </w:t>
      </w:r>
      <w:r w:rsidRPr="00776199">
        <w:rPr>
          <w:color w:val="000000"/>
          <w:sz w:val="24"/>
          <w:szCs w:val="24"/>
          <w:shd w:val="clear" w:color="auto" w:fill="FFFFFF"/>
        </w:rPr>
        <w:t xml:space="preserve">peticijoje, vertėjų veikla Lietuvos Respublikoje </w:t>
      </w:r>
      <w:r>
        <w:rPr>
          <w:color w:val="000000"/>
          <w:sz w:val="24"/>
          <w:szCs w:val="24"/>
          <w:shd w:val="clear" w:color="auto" w:fill="FFFFFF"/>
        </w:rPr>
        <w:t xml:space="preserve">įstatymais </w:t>
      </w:r>
      <w:r w:rsidRPr="00776199">
        <w:rPr>
          <w:color w:val="000000"/>
          <w:sz w:val="24"/>
          <w:szCs w:val="24"/>
          <w:shd w:val="clear" w:color="auto" w:fill="FFFFFF"/>
        </w:rPr>
        <w:t>nere</w:t>
      </w:r>
      <w:r>
        <w:rPr>
          <w:color w:val="000000"/>
          <w:sz w:val="24"/>
          <w:szCs w:val="24"/>
          <w:shd w:val="clear" w:color="auto" w:fill="FFFFFF"/>
        </w:rPr>
        <w:t>glamentuojama.</w:t>
      </w:r>
      <w:r w:rsidRPr="00776199">
        <w:rPr>
          <w:color w:val="000000"/>
          <w:sz w:val="24"/>
          <w:szCs w:val="24"/>
          <w:shd w:val="clear" w:color="auto" w:fill="FFFFFF"/>
        </w:rPr>
        <w:t xml:space="preserve"> </w:t>
      </w:r>
      <w:r w:rsidRPr="00776199">
        <w:rPr>
          <w:sz w:val="24"/>
          <w:szCs w:val="24"/>
        </w:rPr>
        <w:t>Vertimų veiklą vykdančių subjektų veikla nepriskiriama prie</w:t>
      </w:r>
      <w:r w:rsidRPr="00776199">
        <w:rPr>
          <w:color w:val="000000"/>
          <w:sz w:val="24"/>
          <w:szCs w:val="24"/>
        </w:rPr>
        <w:t xml:space="preserve"> reglamentuojamų profesijų sąrašo</w:t>
      </w:r>
      <w:r w:rsidRPr="00776199">
        <w:rPr>
          <w:color w:val="000000"/>
          <w:sz w:val="24"/>
          <w:szCs w:val="24"/>
          <w:shd w:val="clear" w:color="auto" w:fill="FFFFFF"/>
        </w:rPr>
        <w:t xml:space="preserve">, </w:t>
      </w:r>
      <w:r w:rsidRPr="00776199">
        <w:rPr>
          <w:sz w:val="24"/>
          <w:szCs w:val="24"/>
        </w:rPr>
        <w:t xml:space="preserve">Lietuvos Respublikos teisės aktai </w:t>
      </w:r>
      <w:r w:rsidRPr="00776199">
        <w:rPr>
          <w:color w:val="000000"/>
          <w:sz w:val="24"/>
          <w:szCs w:val="24"/>
          <w:shd w:val="clear" w:color="auto" w:fill="FFFFFF"/>
        </w:rPr>
        <w:t xml:space="preserve">neapibrėžia koks asmuo yra laikomas vertėju, </w:t>
      </w:r>
      <w:r w:rsidRPr="00776199">
        <w:rPr>
          <w:sz w:val="24"/>
          <w:szCs w:val="24"/>
        </w:rPr>
        <w:t xml:space="preserve">nenustato konkrečių reikalavimų vertėjo kvalifikacijai ir vertimui, tačiau vertimas, teikiamas teismui ar institucijai, turi būti toks, dėl kurio taisyklingumo, aiškumo ir vertėjo kompetencijos neturėtų kilti abejonių. </w:t>
      </w:r>
      <w:r w:rsidRPr="00776199">
        <w:rPr>
          <w:color w:val="000000"/>
          <w:sz w:val="24"/>
          <w:szCs w:val="24"/>
          <w:shd w:val="clear" w:color="auto" w:fill="FFFFFF"/>
        </w:rPr>
        <w:t>T</w:t>
      </w:r>
      <w:r w:rsidRPr="00776199">
        <w:rPr>
          <w:sz w:val="24"/>
          <w:szCs w:val="24"/>
        </w:rPr>
        <w:t xml:space="preserve">eismai formuojamoje praktikoje laikosi pozicijos, kad </w:t>
      </w:r>
      <w:r w:rsidRPr="00776199">
        <w:rPr>
          <w:rFonts w:eastAsia="Calibri"/>
          <w:color w:val="000000"/>
          <w:sz w:val="24"/>
          <w:szCs w:val="24"/>
          <w:shd w:val="clear" w:color="auto" w:fill="FFFFFF"/>
        </w:rPr>
        <w:t xml:space="preserve">dokumentų vertimai turi būti teikiami tokia tvarka: surištas dokumento vertimas ir originalas arba jo kopija bei patvirtintas antspaudu, kuris patvirtina, kad vertimas yra teisingas, o vertėjas yra </w:t>
      </w:r>
      <w:r w:rsidRPr="00776199">
        <w:rPr>
          <w:color w:val="000000"/>
          <w:sz w:val="24"/>
          <w:szCs w:val="24"/>
          <w:shd w:val="clear" w:color="auto" w:fill="FFFFFF"/>
        </w:rPr>
        <w:t>supažindintas su baudžiamąja atsakomybe už žinomai melagingą ar žinomai neteisingą vertimą (</w:t>
      </w:r>
      <w:r w:rsidRPr="00776199">
        <w:rPr>
          <w:rFonts w:eastAsia="Calibri"/>
          <w:color w:val="000000"/>
          <w:sz w:val="24"/>
          <w:szCs w:val="24"/>
          <w:shd w:val="clear" w:color="auto" w:fill="FFFFFF"/>
        </w:rPr>
        <w:t>Lietuvos Respublikos baudžiamojo kodekso (toliau – BK) 235 straipsnis) (</w:t>
      </w:r>
      <w:r w:rsidRPr="00776199">
        <w:rPr>
          <w:color w:val="000000"/>
          <w:sz w:val="24"/>
          <w:szCs w:val="24"/>
          <w:shd w:val="clear" w:color="auto" w:fill="FFFFFF"/>
        </w:rPr>
        <w:t xml:space="preserve">2023 m. sausio 19 d. </w:t>
      </w:r>
      <w:r w:rsidRPr="00776199">
        <w:rPr>
          <w:rFonts w:eastAsia="Calibri"/>
          <w:color w:val="000000"/>
          <w:sz w:val="24"/>
          <w:szCs w:val="24"/>
          <w:shd w:val="clear" w:color="auto" w:fill="FFFFFF"/>
        </w:rPr>
        <w:t xml:space="preserve">nutartis civilinėje byloje Nr. e2S-184-880/2023). </w:t>
      </w:r>
    </w:p>
    <w:p w:rsidR="006F2493" w:rsidRPr="00B92E22" w:rsidRDefault="006F2493" w:rsidP="006F2493">
      <w:pPr>
        <w:spacing w:line="360" w:lineRule="auto"/>
        <w:ind w:firstLine="851"/>
        <w:jc w:val="both"/>
        <w:rPr>
          <w:color w:val="000000"/>
          <w:sz w:val="24"/>
          <w:szCs w:val="24"/>
          <w:shd w:val="clear" w:color="auto" w:fill="FFFFFF"/>
        </w:rPr>
      </w:pPr>
      <w:r w:rsidRPr="00776199">
        <w:rPr>
          <w:sz w:val="24"/>
          <w:szCs w:val="24"/>
        </w:rPr>
        <w:t xml:space="preserve">Pažymėtina, kad notarai, vadovaujantis Lietuvos Respublikos notariato įstatymo 26 straipsnio 1 dalies 5 punktu, liudija parašo dokumentuose tikrumą, tačiau pagal formuojamą teismų praktiką, nėra reikalaujama, kad kiekvienu atveju teikiant vertėjo pasirašytus vertimus, vertėjo parašas būtų patvirtintas notaro, </w:t>
      </w:r>
      <w:r w:rsidRPr="00776199">
        <w:rPr>
          <w:color w:val="000000"/>
          <w:sz w:val="24"/>
          <w:szCs w:val="24"/>
          <w:shd w:val="clear" w:color="auto" w:fill="FFFFFF"/>
        </w:rPr>
        <w:t xml:space="preserve">įstatymų nustatyta tvarka patvirtinti vertimai laikytini </w:t>
      </w:r>
      <w:r w:rsidRPr="00776199">
        <w:rPr>
          <w:color w:val="000000"/>
          <w:sz w:val="24"/>
          <w:szCs w:val="24"/>
          <w:lang w:eastAsia="lt-LT"/>
        </w:rPr>
        <w:t>kvalifikuoto vertėjo išversti į lietuvių kalbą ir pasirašyti procesiniai dokumentai</w:t>
      </w:r>
      <w:r w:rsidRPr="00776199">
        <w:rPr>
          <w:sz w:val="24"/>
          <w:szCs w:val="24"/>
        </w:rPr>
        <w:t xml:space="preserve"> (</w:t>
      </w:r>
      <w:r w:rsidRPr="00776199">
        <w:rPr>
          <w:color w:val="000000"/>
          <w:sz w:val="24"/>
          <w:szCs w:val="24"/>
          <w:shd w:val="clear" w:color="auto" w:fill="FFFFFF"/>
        </w:rPr>
        <w:t xml:space="preserve">2020 m. gruodžio 3 d. </w:t>
      </w:r>
      <w:r w:rsidRPr="00776199">
        <w:rPr>
          <w:sz w:val="24"/>
          <w:szCs w:val="24"/>
        </w:rPr>
        <w:t xml:space="preserve">nutartis </w:t>
      </w:r>
      <w:r w:rsidRPr="00B92E22">
        <w:rPr>
          <w:sz w:val="24"/>
          <w:szCs w:val="24"/>
        </w:rPr>
        <w:t xml:space="preserve">civilinėje byloje Nr. </w:t>
      </w:r>
      <w:r w:rsidRPr="00B92E22">
        <w:rPr>
          <w:color w:val="000000"/>
          <w:sz w:val="24"/>
          <w:szCs w:val="24"/>
          <w:shd w:val="clear" w:color="auto" w:fill="FFFFFF"/>
        </w:rPr>
        <w:t xml:space="preserve">e2-1814-798/2020). </w:t>
      </w:r>
    </w:p>
    <w:p w:rsidR="006F2493" w:rsidRPr="00B92E22" w:rsidRDefault="006F2493" w:rsidP="006F2493">
      <w:pPr>
        <w:spacing w:line="360" w:lineRule="auto"/>
        <w:ind w:firstLine="851"/>
        <w:jc w:val="both"/>
        <w:rPr>
          <w:rFonts w:eastAsia="Calibri"/>
          <w:bCs/>
          <w:sz w:val="24"/>
          <w:szCs w:val="24"/>
        </w:rPr>
      </w:pPr>
      <w:r w:rsidRPr="00B92E22">
        <w:rPr>
          <w:sz w:val="24"/>
          <w:szCs w:val="24"/>
        </w:rPr>
        <w:t xml:space="preserve">Teisinio tikrumo ir teisinio aiškumo imperatyvas suponuoja tam tikrus privalomus reikalavimus teisiniam reguliavimui: jis privalo būti aiškus ir darnus, teisės normos turi būti formuluojamos tiksliai, jose negali būti dviprasmybių (Konstitucinio Teismo 2003 m. gegužės 30 d., 2004 m. sausio 26 d. nutarimai). Šiuo atveju </w:t>
      </w:r>
      <w:r w:rsidRPr="00B92E22">
        <w:rPr>
          <w:rFonts w:eastAsia="Calibri"/>
          <w:color w:val="000000"/>
          <w:sz w:val="24"/>
          <w:szCs w:val="24"/>
          <w:shd w:val="clear" w:color="auto" w:fill="FFFFFF"/>
        </w:rPr>
        <w:t xml:space="preserve">vertinant tai, kad Lietuvos Respublikoje įtvirtintas teisinis reguliavimas neapibrėžia kaip ir kokia tvarka bei kokia forma turi būti teikiami ir tvirtinami vertimai, minėtose </w:t>
      </w:r>
      <w:r w:rsidRPr="00B92E22">
        <w:rPr>
          <w:rFonts w:eastAsia="Calibri"/>
          <w:bCs/>
          <w:sz w:val="24"/>
          <w:szCs w:val="24"/>
        </w:rPr>
        <w:t xml:space="preserve">CPK bei </w:t>
      </w:r>
      <w:r w:rsidRPr="00B92E22">
        <w:rPr>
          <w:rFonts w:eastAsia="Calibri"/>
          <w:bCs/>
          <w:sz w:val="24"/>
          <w:szCs w:val="24"/>
          <w:shd w:val="clear" w:color="auto" w:fill="FFFFFF"/>
        </w:rPr>
        <w:t>IAGNTĮ</w:t>
      </w:r>
      <w:r w:rsidRPr="00B92E22">
        <w:rPr>
          <w:rFonts w:eastAsia="Calibri"/>
          <w:bCs/>
          <w:sz w:val="24"/>
          <w:szCs w:val="24"/>
        </w:rPr>
        <w:t xml:space="preserve"> straipsnių nuostatose įtvirtintinas teisinis reguliavimas, jog teikiamų procesinių dokumentų </w:t>
      </w:r>
      <w:r w:rsidR="00737346">
        <w:rPr>
          <w:rFonts w:eastAsia="Calibri"/>
          <w:bCs/>
          <w:sz w:val="24"/>
          <w:szCs w:val="24"/>
        </w:rPr>
        <w:t>bei jų priedų vertimai turi būti</w:t>
      </w:r>
      <w:r w:rsidRPr="00B92E22">
        <w:rPr>
          <w:rFonts w:eastAsia="Calibri"/>
          <w:bCs/>
          <w:sz w:val="24"/>
          <w:szCs w:val="24"/>
        </w:rPr>
        <w:t xml:space="preserve"> patvirtinti įstatymų nustatyta tvarka yra klaidinantis, stokoja teisinio aiškumo ir suderinamumo, ir gali būti koreguojamas. </w:t>
      </w:r>
    </w:p>
    <w:p w:rsidR="006F2493" w:rsidRPr="006F2493" w:rsidRDefault="006F2493" w:rsidP="006F2493">
      <w:pPr>
        <w:spacing w:line="360" w:lineRule="auto"/>
        <w:ind w:firstLine="851"/>
        <w:jc w:val="both"/>
        <w:rPr>
          <w:rFonts w:eastAsia="Calibri"/>
          <w:bCs/>
          <w:sz w:val="24"/>
          <w:szCs w:val="24"/>
        </w:rPr>
      </w:pPr>
      <w:r>
        <w:rPr>
          <w:sz w:val="24"/>
          <w:szCs w:val="24"/>
        </w:rPr>
        <w:t xml:space="preserve">Vertinant </w:t>
      </w:r>
      <w:r w:rsidRPr="00776199">
        <w:rPr>
          <w:rFonts w:eastAsia="Calibri"/>
          <w:bCs/>
          <w:sz w:val="24"/>
          <w:szCs w:val="24"/>
        </w:rPr>
        <w:t xml:space="preserve">ABTĮ 9 straipsnio, reglamentuojančio proceso kalbą, 2 dalyje </w:t>
      </w:r>
      <w:r>
        <w:rPr>
          <w:rFonts w:eastAsia="Calibri"/>
          <w:bCs/>
          <w:sz w:val="24"/>
          <w:szCs w:val="24"/>
        </w:rPr>
        <w:t>įtvirtintą reikalavimą</w:t>
      </w:r>
      <w:r w:rsidRPr="00776199">
        <w:rPr>
          <w:rFonts w:eastAsia="Calibri"/>
          <w:bCs/>
          <w:sz w:val="24"/>
          <w:szCs w:val="24"/>
        </w:rPr>
        <w:t xml:space="preserve"> teikiamus dokumentus, surašytus kitomis kalbomis, pateikti ir teikiamų dokumentų patvirtintus vertimus į lietuvių kalbą, </w:t>
      </w:r>
      <w:r>
        <w:rPr>
          <w:rFonts w:eastAsia="Calibri"/>
          <w:bCs/>
          <w:sz w:val="24"/>
          <w:szCs w:val="24"/>
        </w:rPr>
        <w:t xml:space="preserve">tačiau įstatyme nėra </w:t>
      </w:r>
      <w:r w:rsidRPr="00776199">
        <w:rPr>
          <w:rFonts w:eastAsia="Calibri"/>
          <w:bCs/>
          <w:sz w:val="24"/>
          <w:szCs w:val="24"/>
        </w:rPr>
        <w:t>nustatomas reikalavimas</w:t>
      </w:r>
      <w:r>
        <w:rPr>
          <w:rFonts w:eastAsia="Calibri"/>
          <w:bCs/>
          <w:sz w:val="24"/>
          <w:szCs w:val="24"/>
        </w:rPr>
        <w:t xml:space="preserve">, teikiamus vertimus </w:t>
      </w:r>
      <w:r w:rsidRPr="00776199">
        <w:rPr>
          <w:rFonts w:eastAsia="Calibri"/>
          <w:bCs/>
          <w:sz w:val="24"/>
          <w:szCs w:val="24"/>
        </w:rPr>
        <w:t xml:space="preserve">patvirtinti įstatymų nustatyta tvarka, </w:t>
      </w:r>
      <w:r>
        <w:rPr>
          <w:rFonts w:eastAsia="Calibri"/>
          <w:bCs/>
          <w:sz w:val="24"/>
          <w:szCs w:val="24"/>
        </w:rPr>
        <w:t>manytina</w:t>
      </w:r>
      <w:r w:rsidRPr="00776199">
        <w:rPr>
          <w:rFonts w:eastAsia="Calibri"/>
          <w:bCs/>
          <w:sz w:val="24"/>
          <w:szCs w:val="24"/>
        </w:rPr>
        <w:t xml:space="preserve">, kad nustatytas teisinis reguliavimas yra </w:t>
      </w:r>
      <w:r w:rsidRPr="00776199">
        <w:rPr>
          <w:rFonts w:eastAsia="Calibri"/>
          <w:bCs/>
          <w:sz w:val="24"/>
          <w:szCs w:val="24"/>
        </w:rPr>
        <w:lastRenderedPageBreak/>
        <w:t>aiškus, kadangi, kaip ir minėta, vertėjas teikdamas vertimą</w:t>
      </w:r>
      <w:r w:rsidR="00737346">
        <w:rPr>
          <w:rFonts w:eastAsia="Calibri"/>
          <w:bCs/>
          <w:sz w:val="24"/>
          <w:szCs w:val="24"/>
        </w:rPr>
        <w:t>,</w:t>
      </w:r>
      <w:r w:rsidRPr="00776199">
        <w:rPr>
          <w:rFonts w:eastAsia="Calibri"/>
          <w:bCs/>
          <w:sz w:val="24"/>
          <w:szCs w:val="24"/>
        </w:rPr>
        <w:t xml:space="preserve"> jį pasirašo, tokiu būdu patvirtindamas, kad vertimas </w:t>
      </w:r>
      <w:r w:rsidRPr="00776199">
        <w:rPr>
          <w:color w:val="000000"/>
          <w:sz w:val="24"/>
          <w:szCs w:val="24"/>
          <w:lang w:eastAsia="lt-LT"/>
        </w:rPr>
        <w:t xml:space="preserve">atliktas teisingai ir jis (vertėjas) </w:t>
      </w:r>
      <w:r w:rsidRPr="00737346">
        <w:rPr>
          <w:rFonts w:ascii="Times New Roman" w:hAnsi="Times New Roman"/>
          <w:color w:val="000000"/>
          <w:sz w:val="24"/>
          <w:szCs w:val="24"/>
          <w:lang w:eastAsia="lt-LT"/>
        </w:rPr>
        <w:t xml:space="preserve">yra susipažinęs su BK </w:t>
      </w:r>
      <w:hyperlink r:id="rId8" w:tgtFrame="_blank" w:tooltip="Neteisėtas nešaunamojo ginklo nešiojimas, gaminimas arba realizavimas" w:history="1">
        <w:r w:rsidRPr="00737346">
          <w:rPr>
            <w:rFonts w:ascii="Times New Roman" w:hAnsi="Times New Roman"/>
            <w:iCs/>
            <w:color w:val="000000"/>
            <w:sz w:val="24"/>
            <w:szCs w:val="24"/>
            <w:lang w:eastAsia="lt-LT"/>
          </w:rPr>
          <w:t>235</w:t>
        </w:r>
      </w:hyperlink>
      <w:r w:rsidRPr="00737346">
        <w:rPr>
          <w:rFonts w:ascii="Times New Roman" w:hAnsi="Times New Roman"/>
          <w:color w:val="000000"/>
          <w:sz w:val="24"/>
          <w:szCs w:val="24"/>
          <w:lang w:eastAsia="lt-LT"/>
        </w:rPr>
        <w:t xml:space="preserve"> straipsnyje numatyta vertėjo </w:t>
      </w:r>
      <w:r w:rsidR="00737346" w:rsidRPr="00737346">
        <w:rPr>
          <w:rFonts w:ascii="Times New Roman" w:hAnsi="Times New Roman"/>
          <w:color w:val="000000"/>
          <w:sz w:val="24"/>
          <w:szCs w:val="24"/>
          <w:lang w:eastAsia="lt-LT"/>
        </w:rPr>
        <w:t xml:space="preserve">atsakomybe už melagingą arba žinomai neteisingą vertinimą. </w:t>
      </w:r>
      <w:r w:rsidR="0006013A" w:rsidRPr="00737346">
        <w:rPr>
          <w:rFonts w:ascii="Times New Roman" w:hAnsi="Times New Roman"/>
          <w:color w:val="000000"/>
          <w:sz w:val="24"/>
          <w:szCs w:val="24"/>
          <w:lang w:eastAsia="lt-LT"/>
        </w:rPr>
        <w:t>Komisijos</w:t>
      </w:r>
      <w:r w:rsidR="0006013A">
        <w:rPr>
          <w:color w:val="000000"/>
          <w:sz w:val="24"/>
          <w:szCs w:val="24"/>
          <w:lang w:eastAsia="lt-LT"/>
        </w:rPr>
        <w:t xml:space="preserve"> nuomone </w:t>
      </w:r>
      <w:r w:rsidRPr="00776199">
        <w:rPr>
          <w:rFonts w:eastAsia="Calibri"/>
          <w:bCs/>
          <w:sz w:val="24"/>
          <w:szCs w:val="24"/>
        </w:rPr>
        <w:t>ABTĮ 9 straipsnio 2 dalyje nustatytas</w:t>
      </w:r>
      <w:r>
        <w:rPr>
          <w:rFonts w:eastAsia="Calibri"/>
          <w:bCs/>
          <w:sz w:val="24"/>
          <w:szCs w:val="24"/>
        </w:rPr>
        <w:t xml:space="preserve"> teisinis reguliavimas</w:t>
      </w:r>
      <w:r w:rsidRPr="00776199">
        <w:rPr>
          <w:rFonts w:eastAsia="Calibri"/>
          <w:bCs/>
          <w:sz w:val="24"/>
          <w:szCs w:val="24"/>
        </w:rPr>
        <w:t xml:space="preserve">, </w:t>
      </w:r>
      <w:r>
        <w:rPr>
          <w:rFonts w:eastAsia="Calibri"/>
          <w:bCs/>
          <w:sz w:val="24"/>
          <w:szCs w:val="24"/>
        </w:rPr>
        <w:t xml:space="preserve">pagal kurį teikiami dokumentų </w:t>
      </w:r>
      <w:r w:rsidRPr="00776199">
        <w:rPr>
          <w:rFonts w:eastAsia="Calibri"/>
          <w:bCs/>
          <w:sz w:val="24"/>
          <w:szCs w:val="24"/>
        </w:rPr>
        <w:t xml:space="preserve">vertimai </w:t>
      </w:r>
      <w:r>
        <w:rPr>
          <w:rFonts w:eastAsia="Calibri"/>
          <w:bCs/>
          <w:sz w:val="24"/>
          <w:szCs w:val="24"/>
        </w:rPr>
        <w:t xml:space="preserve">turi </w:t>
      </w:r>
      <w:r w:rsidRPr="00776199">
        <w:rPr>
          <w:rFonts w:eastAsia="Calibri"/>
          <w:bCs/>
          <w:sz w:val="24"/>
          <w:szCs w:val="24"/>
        </w:rPr>
        <w:t>būtų patvirtinti, yra aiškus ir nedviprasmiškas</w:t>
      </w:r>
      <w:r>
        <w:rPr>
          <w:rFonts w:eastAsia="Calibri"/>
          <w:bCs/>
          <w:sz w:val="24"/>
          <w:szCs w:val="24"/>
        </w:rPr>
        <w:t>, ir jį koreguoti nėra pagrindo.</w:t>
      </w:r>
    </w:p>
    <w:p w:rsidR="008B00C5" w:rsidRPr="0086406A"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86406A">
        <w:rPr>
          <w:rFonts w:ascii="Times New Roman" w:hAnsi="Times New Roman"/>
          <w:sz w:val="24"/>
          <w:szCs w:val="24"/>
          <w:lang w:eastAsia="ar-SA"/>
        </w:rPr>
        <w:t xml:space="preserve">Vadovaujantis Lietuvos Respublikos peticijų </w:t>
      </w:r>
      <w:r w:rsidR="00F41053" w:rsidRPr="0086406A">
        <w:rPr>
          <w:rFonts w:ascii="Times New Roman" w:hAnsi="Times New Roman"/>
          <w:sz w:val="24"/>
          <w:szCs w:val="24"/>
          <w:lang w:eastAsia="ar-SA"/>
        </w:rPr>
        <w:t>konstitucinio įstatymo 18</w:t>
      </w:r>
      <w:r w:rsidRPr="0086406A">
        <w:rPr>
          <w:rFonts w:ascii="Times New Roman" w:hAnsi="Times New Roman"/>
          <w:sz w:val="24"/>
          <w:szCs w:val="24"/>
          <w:lang w:eastAsia="ar-SA"/>
        </w:rPr>
        <w:t xml:space="preserve"> straipsnio </w:t>
      </w:r>
      <w:r w:rsidR="00F41053" w:rsidRPr="0086406A">
        <w:rPr>
          <w:rFonts w:ascii="Times New Roman" w:hAnsi="Times New Roman"/>
          <w:sz w:val="24"/>
          <w:szCs w:val="24"/>
          <w:lang w:eastAsia="ar-SA"/>
        </w:rPr>
        <w:t>4</w:t>
      </w:r>
      <w:r w:rsidRPr="0086406A">
        <w:rPr>
          <w:rFonts w:ascii="Times New Roman" w:hAnsi="Times New Roman"/>
          <w:sz w:val="24"/>
          <w:szCs w:val="24"/>
          <w:lang w:eastAsia="ar-SA"/>
        </w:rPr>
        <w:t xml:space="preserve"> dali</w:t>
      </w:r>
      <w:r w:rsidR="00F41053" w:rsidRPr="0086406A">
        <w:rPr>
          <w:rFonts w:ascii="Times New Roman" w:hAnsi="Times New Roman"/>
          <w:sz w:val="24"/>
          <w:szCs w:val="24"/>
          <w:lang w:eastAsia="ar-SA"/>
        </w:rPr>
        <w:t>es 2 punktu</w:t>
      </w:r>
      <w:r w:rsidRPr="0086406A">
        <w:rPr>
          <w:rFonts w:ascii="Times New Roman" w:hAnsi="Times New Roman"/>
          <w:sz w:val="24"/>
          <w:szCs w:val="24"/>
          <w:lang w:eastAsia="ar-SA"/>
        </w:rPr>
        <w:t xml:space="preserve"> ir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patvirtintų Seimo </w:t>
      </w:r>
      <w:r w:rsidR="008D0D76" w:rsidRPr="0086406A">
        <w:rPr>
          <w:rFonts w:ascii="Times New Roman" w:hAnsi="Times New Roman"/>
          <w:sz w:val="24"/>
          <w:szCs w:val="24"/>
          <w:lang w:eastAsia="ar-SA"/>
        </w:rPr>
        <w:t>2023</w:t>
      </w:r>
      <w:r w:rsidRPr="0086406A">
        <w:rPr>
          <w:rFonts w:ascii="Times New Roman" w:hAnsi="Times New Roman"/>
          <w:sz w:val="24"/>
          <w:szCs w:val="24"/>
          <w:lang w:eastAsia="ar-SA"/>
        </w:rPr>
        <w:t xml:space="preserve"> m. </w:t>
      </w:r>
      <w:r w:rsidR="008D0D76" w:rsidRPr="0086406A">
        <w:rPr>
          <w:rFonts w:ascii="Times New Roman" w:hAnsi="Times New Roman"/>
          <w:sz w:val="24"/>
          <w:szCs w:val="24"/>
          <w:lang w:eastAsia="ar-SA"/>
        </w:rPr>
        <w:t>birželio 27</w:t>
      </w:r>
      <w:r w:rsidRPr="0086406A">
        <w:rPr>
          <w:rFonts w:ascii="Times New Roman" w:hAnsi="Times New Roman"/>
          <w:sz w:val="24"/>
          <w:szCs w:val="24"/>
          <w:lang w:eastAsia="ar-SA"/>
        </w:rPr>
        <w:t xml:space="preserve"> d. nutarimu Nr. </w:t>
      </w:r>
      <w:r w:rsidR="008D0D76" w:rsidRPr="0086406A">
        <w:rPr>
          <w:rFonts w:ascii="Times New Roman" w:hAnsi="Times New Roman"/>
          <w:sz w:val="24"/>
          <w:szCs w:val="24"/>
          <w:lang w:eastAsia="ar-SA"/>
        </w:rPr>
        <w:t>XIV-2101</w:t>
      </w:r>
      <w:r w:rsidRPr="0086406A">
        <w:rPr>
          <w:rFonts w:ascii="Times New Roman" w:hAnsi="Times New Roman"/>
          <w:sz w:val="24"/>
          <w:szCs w:val="24"/>
          <w:lang w:eastAsia="ar-SA"/>
        </w:rPr>
        <w:t xml:space="preserve"> „Dėl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patvirtinimo“, </w:t>
      </w:r>
      <w:r w:rsidR="008D0D76" w:rsidRPr="0086406A">
        <w:rPr>
          <w:rFonts w:ascii="Times New Roman" w:hAnsi="Times New Roman"/>
          <w:sz w:val="24"/>
          <w:szCs w:val="24"/>
          <w:lang w:eastAsia="ar-SA"/>
        </w:rPr>
        <w:t xml:space="preserve">8.7 </w:t>
      </w:r>
      <w:r w:rsidRPr="0086406A">
        <w:rPr>
          <w:rFonts w:ascii="Times New Roman" w:hAnsi="Times New Roman"/>
          <w:sz w:val="24"/>
          <w:szCs w:val="24"/>
          <w:lang w:eastAsia="ar-SA"/>
        </w:rPr>
        <w:t xml:space="preserve">punktu, Seimo Peticijų komisijos išvada dėl </w:t>
      </w:r>
      <w:r w:rsidR="009176E6" w:rsidRPr="0086406A">
        <w:rPr>
          <w:rFonts w:ascii="Times New Roman" w:hAnsi="Times New Roman"/>
          <w:sz w:val="24"/>
          <w:szCs w:val="24"/>
          <w:lang w:eastAsia="ar-SA"/>
        </w:rPr>
        <w:t>pareiškėj</w:t>
      </w:r>
      <w:r w:rsidR="001A2453" w:rsidRPr="0086406A">
        <w:rPr>
          <w:rFonts w:ascii="Times New Roman" w:hAnsi="Times New Roman"/>
          <w:sz w:val="24"/>
          <w:szCs w:val="24"/>
          <w:lang w:eastAsia="ar-SA"/>
        </w:rPr>
        <w:t>o</w:t>
      </w:r>
      <w:r w:rsidR="009176E6" w:rsidRPr="0086406A">
        <w:rPr>
          <w:rFonts w:ascii="Times New Roman" w:hAnsi="Times New Roman"/>
          <w:sz w:val="24"/>
          <w:szCs w:val="24"/>
          <w:lang w:eastAsia="ar-SA"/>
        </w:rPr>
        <w:t xml:space="preserve"> </w:t>
      </w:r>
      <w:r w:rsidRPr="0086406A">
        <w:rPr>
          <w:rFonts w:ascii="Times New Roman" w:hAnsi="Times New Roman"/>
          <w:sz w:val="24"/>
          <w:szCs w:val="24"/>
          <w:lang w:eastAsia="ar-SA"/>
        </w:rPr>
        <w:t>peticijo</w:t>
      </w:r>
      <w:r w:rsidR="001A2453" w:rsidRPr="0086406A">
        <w:rPr>
          <w:rFonts w:ascii="Times New Roman" w:hAnsi="Times New Roman"/>
          <w:sz w:val="24"/>
          <w:szCs w:val="24"/>
          <w:lang w:eastAsia="ar-SA"/>
        </w:rPr>
        <w:t>j</w:t>
      </w:r>
      <w:r w:rsidRPr="0086406A">
        <w:rPr>
          <w:rFonts w:ascii="Times New Roman" w:hAnsi="Times New Roman"/>
          <w:sz w:val="24"/>
          <w:szCs w:val="24"/>
          <w:lang w:eastAsia="ar-SA"/>
        </w:rPr>
        <w:t>e pateikt</w:t>
      </w:r>
      <w:r w:rsidR="008852EF" w:rsidRPr="0086406A">
        <w:rPr>
          <w:rFonts w:ascii="Times New Roman" w:hAnsi="Times New Roman"/>
          <w:sz w:val="24"/>
          <w:szCs w:val="24"/>
          <w:lang w:eastAsia="ar-SA"/>
        </w:rPr>
        <w:t>o</w:t>
      </w:r>
      <w:r w:rsidRPr="0086406A">
        <w:rPr>
          <w:rFonts w:ascii="Times New Roman" w:hAnsi="Times New Roman"/>
          <w:sz w:val="24"/>
          <w:szCs w:val="24"/>
          <w:lang w:eastAsia="ar-SA"/>
        </w:rPr>
        <w:t xml:space="preserve"> siūlym</w:t>
      </w:r>
      <w:r w:rsidR="008852EF" w:rsidRPr="0086406A">
        <w:rPr>
          <w:rFonts w:ascii="Times New Roman" w:hAnsi="Times New Roman"/>
          <w:sz w:val="24"/>
          <w:szCs w:val="24"/>
          <w:lang w:eastAsia="ar-SA"/>
        </w:rPr>
        <w:t>o</w:t>
      </w:r>
      <w:r w:rsidRPr="0086406A">
        <w:rPr>
          <w:rFonts w:ascii="Times New Roman" w:hAnsi="Times New Roman"/>
          <w:sz w:val="24"/>
          <w:szCs w:val="24"/>
          <w:lang w:eastAsia="ar-SA"/>
        </w:rPr>
        <w:t xml:space="preserve"> </w:t>
      </w:r>
      <w:r w:rsidR="00F41053" w:rsidRPr="0086406A">
        <w:rPr>
          <w:rFonts w:ascii="Times New Roman" w:hAnsi="Times New Roman"/>
          <w:sz w:val="24"/>
          <w:szCs w:val="24"/>
          <w:lang w:eastAsia="ar-SA"/>
        </w:rPr>
        <w:t xml:space="preserve">netenkinimo </w:t>
      </w:r>
      <w:r w:rsidRPr="0086406A">
        <w:rPr>
          <w:rFonts w:ascii="Times New Roman" w:hAnsi="Times New Roman"/>
          <w:sz w:val="24"/>
          <w:szCs w:val="24"/>
          <w:lang w:eastAsia="ar-SA"/>
        </w:rPr>
        <w:t xml:space="preserve">teikiama Seimui, taip pat siūloma įtraukti į Seimo </w:t>
      </w:r>
      <w:r w:rsidR="008D0D76" w:rsidRPr="0086406A">
        <w:rPr>
          <w:rFonts w:ascii="Times New Roman" w:hAnsi="Times New Roman"/>
          <w:sz w:val="24"/>
          <w:szCs w:val="24"/>
          <w:lang w:eastAsia="ar-SA"/>
        </w:rPr>
        <w:t>VII</w:t>
      </w:r>
      <w:r w:rsidR="00C91E46" w:rsidRPr="0086406A">
        <w:rPr>
          <w:rFonts w:ascii="Times New Roman" w:hAnsi="Times New Roman"/>
          <w:sz w:val="24"/>
          <w:szCs w:val="24"/>
          <w:lang w:eastAsia="ar-SA"/>
        </w:rPr>
        <w:t>I</w:t>
      </w:r>
      <w:r w:rsidR="008D0D76" w:rsidRPr="0086406A">
        <w:rPr>
          <w:rFonts w:ascii="Times New Roman" w:hAnsi="Times New Roman"/>
          <w:sz w:val="24"/>
          <w:szCs w:val="24"/>
          <w:lang w:eastAsia="ar-SA"/>
        </w:rPr>
        <w:t xml:space="preserve"> (</w:t>
      </w:r>
      <w:r w:rsidR="00C91E46" w:rsidRPr="0086406A">
        <w:rPr>
          <w:rFonts w:ascii="Times New Roman" w:hAnsi="Times New Roman"/>
          <w:sz w:val="24"/>
          <w:szCs w:val="24"/>
          <w:lang w:eastAsia="ar-SA"/>
        </w:rPr>
        <w:t>pavasario</w:t>
      </w:r>
      <w:r w:rsidR="008D0D76" w:rsidRPr="0086406A">
        <w:rPr>
          <w:rFonts w:ascii="Times New Roman" w:hAnsi="Times New Roman"/>
          <w:sz w:val="24"/>
          <w:szCs w:val="24"/>
          <w:lang w:eastAsia="ar-SA"/>
        </w:rPr>
        <w:t>)</w:t>
      </w:r>
      <w:r w:rsidRPr="0086406A">
        <w:rPr>
          <w:rFonts w:ascii="Times New Roman" w:hAnsi="Times New Roman"/>
          <w:sz w:val="24"/>
          <w:szCs w:val="24"/>
          <w:lang w:eastAsia="ar-SA"/>
        </w:rPr>
        <w:t xml:space="preserve"> sesijos darbotvarkę </w:t>
      </w:r>
      <w:r w:rsidRPr="00027C49">
        <w:rPr>
          <w:rFonts w:ascii="Times New Roman" w:hAnsi="Times New Roman"/>
          <w:sz w:val="24"/>
          <w:szCs w:val="24"/>
          <w:lang w:eastAsia="ar-SA"/>
        </w:rPr>
        <w:t xml:space="preserve">Seimo nutarimo „Dėl Lietuvos Respublikos Seimo Peticijų komisijos </w:t>
      </w:r>
      <w:r w:rsidR="00C91E46" w:rsidRPr="00027C49">
        <w:rPr>
          <w:rFonts w:ascii="Times New Roman" w:hAnsi="Times New Roman"/>
          <w:sz w:val="24"/>
          <w:szCs w:val="24"/>
          <w:lang w:eastAsia="ar-SA"/>
        </w:rPr>
        <w:t>202</w:t>
      </w:r>
      <w:r w:rsidR="00C91E46" w:rsidRPr="00027C49">
        <w:rPr>
          <w:rFonts w:ascii="Times New Roman" w:hAnsi="Times New Roman"/>
          <w:sz w:val="24"/>
          <w:szCs w:val="24"/>
          <w:lang w:val="en-US" w:eastAsia="ar-SA"/>
        </w:rPr>
        <w:t>4</w:t>
      </w:r>
      <w:r w:rsidR="00901F00" w:rsidRPr="00027C49">
        <w:rPr>
          <w:rFonts w:ascii="Times New Roman" w:hAnsi="Times New Roman"/>
          <w:sz w:val="24"/>
          <w:szCs w:val="24"/>
          <w:lang w:eastAsia="ar-SA"/>
        </w:rPr>
        <w:t xml:space="preserve"> m. </w:t>
      </w:r>
      <w:r w:rsidR="00C91E46" w:rsidRPr="00027C49">
        <w:rPr>
          <w:rFonts w:ascii="Times New Roman" w:hAnsi="Times New Roman"/>
          <w:sz w:val="24"/>
          <w:szCs w:val="24"/>
          <w:lang w:eastAsia="ar-SA"/>
        </w:rPr>
        <w:t xml:space="preserve">balandžio </w:t>
      </w:r>
      <w:r w:rsidR="002949D9">
        <w:rPr>
          <w:rFonts w:ascii="Times New Roman" w:hAnsi="Times New Roman"/>
          <w:sz w:val="24"/>
          <w:szCs w:val="24"/>
          <w:lang w:val="en-US" w:eastAsia="ar-SA"/>
        </w:rPr>
        <w:t>17</w:t>
      </w:r>
      <w:r w:rsidR="00901F00" w:rsidRPr="00027C49">
        <w:rPr>
          <w:rFonts w:ascii="Times New Roman" w:hAnsi="Times New Roman"/>
          <w:sz w:val="24"/>
          <w:szCs w:val="24"/>
          <w:lang w:eastAsia="ar-SA"/>
        </w:rPr>
        <w:t xml:space="preserve"> d. </w:t>
      </w:r>
      <w:r w:rsidRPr="00027C49">
        <w:rPr>
          <w:rFonts w:ascii="Times New Roman" w:hAnsi="Times New Roman"/>
          <w:sz w:val="24"/>
          <w:szCs w:val="24"/>
          <w:lang w:eastAsia="ar-SA"/>
        </w:rPr>
        <w:t xml:space="preserve">išvados </w:t>
      </w:r>
      <w:r w:rsidR="00901F00" w:rsidRPr="00027C49">
        <w:rPr>
          <w:rFonts w:ascii="Times New Roman" w:hAnsi="Times New Roman"/>
          <w:sz w:val="24"/>
          <w:szCs w:val="24"/>
          <w:lang w:eastAsia="ar-SA"/>
        </w:rPr>
        <w:t>Nr. 250-I-</w:t>
      </w:r>
      <w:r w:rsidR="002949D9">
        <w:rPr>
          <w:rFonts w:ascii="Times New Roman" w:hAnsi="Times New Roman"/>
          <w:sz w:val="24"/>
          <w:szCs w:val="24"/>
          <w:lang w:eastAsia="ar-SA"/>
        </w:rPr>
        <w:t>7</w:t>
      </w:r>
      <w:r w:rsidRPr="00027C49">
        <w:rPr>
          <w:rFonts w:ascii="Times New Roman" w:hAnsi="Times New Roman"/>
          <w:sz w:val="24"/>
          <w:szCs w:val="24"/>
          <w:lang w:eastAsia="ar-SA"/>
        </w:rPr>
        <w:t>“ projektą.</w:t>
      </w:r>
    </w:p>
    <w:p w:rsidR="00135346" w:rsidRPr="0086406A"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86406A" w:rsidRDefault="00DE2E1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86406A" w:rsidRDefault="00135346" w:rsidP="00135346">
      <w:pPr>
        <w:pStyle w:val="Betarp"/>
        <w:tabs>
          <w:tab w:val="left" w:pos="1134"/>
        </w:tabs>
        <w:spacing w:line="360" w:lineRule="auto"/>
        <w:jc w:val="both"/>
        <w:rPr>
          <w:rFonts w:ascii="Times New Roman" w:hAnsi="Times New Roman"/>
          <w:sz w:val="24"/>
          <w:szCs w:val="24"/>
          <w:lang w:eastAsia="ar-SA"/>
        </w:rPr>
      </w:pPr>
      <w:r w:rsidRPr="0086406A">
        <w:rPr>
          <w:rFonts w:ascii="Times New Roman" w:hAnsi="Times New Roman"/>
          <w:sz w:val="24"/>
          <w:szCs w:val="24"/>
          <w:lang w:eastAsia="ar-SA"/>
        </w:rPr>
        <w:t>Komisijos pirmininkas</w:t>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t>Edmundas Pupinis</w:t>
      </w:r>
    </w:p>
    <w:p w:rsidR="00CD004E" w:rsidRPr="0086406A" w:rsidRDefault="00CD004E" w:rsidP="00883671">
      <w:pPr>
        <w:pStyle w:val="Betarp"/>
        <w:tabs>
          <w:tab w:val="left" w:pos="1134"/>
        </w:tabs>
        <w:spacing w:line="360" w:lineRule="auto"/>
        <w:jc w:val="both"/>
        <w:rPr>
          <w:rFonts w:ascii="Times New Roman" w:hAnsi="Times New Roman"/>
          <w:sz w:val="24"/>
          <w:szCs w:val="24"/>
          <w:lang w:val="en-US" w:eastAsia="ar-SA"/>
        </w:rPr>
      </w:pPr>
    </w:p>
    <w:p w:rsidR="00CD004E" w:rsidRDefault="00CD004E"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Pr="0086406A" w:rsidRDefault="0006013A" w:rsidP="00883671">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00784">
          <w:rPr>
            <w:rFonts w:ascii="Times New Roman" w:hAnsi="Times New Roman"/>
            <w:noProof/>
            <w:sz w:val="24"/>
            <w:szCs w:val="24"/>
          </w:rPr>
          <w:t>3</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555ED"/>
    <w:rsid w:val="0017707D"/>
    <w:rsid w:val="00190613"/>
    <w:rsid w:val="00194F25"/>
    <w:rsid w:val="00197428"/>
    <w:rsid w:val="001A2453"/>
    <w:rsid w:val="001A2FB6"/>
    <w:rsid w:val="001B5EC0"/>
    <w:rsid w:val="001D0891"/>
    <w:rsid w:val="001D6691"/>
    <w:rsid w:val="001E3FE2"/>
    <w:rsid w:val="001F2ABA"/>
    <w:rsid w:val="001F3530"/>
    <w:rsid w:val="00200784"/>
    <w:rsid w:val="00213BBF"/>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81FAF"/>
    <w:rsid w:val="003831B5"/>
    <w:rsid w:val="00384B8A"/>
    <w:rsid w:val="003964E1"/>
    <w:rsid w:val="003B1E99"/>
    <w:rsid w:val="003C249C"/>
    <w:rsid w:val="003D142B"/>
    <w:rsid w:val="003F5F33"/>
    <w:rsid w:val="003F685E"/>
    <w:rsid w:val="004022D3"/>
    <w:rsid w:val="00413FEF"/>
    <w:rsid w:val="004202F5"/>
    <w:rsid w:val="004324C5"/>
    <w:rsid w:val="00433FFC"/>
    <w:rsid w:val="00471F84"/>
    <w:rsid w:val="004765CA"/>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59F1"/>
    <w:rsid w:val="00560A0B"/>
    <w:rsid w:val="005623B7"/>
    <w:rsid w:val="0057289C"/>
    <w:rsid w:val="00576E5E"/>
    <w:rsid w:val="00583A0B"/>
    <w:rsid w:val="00584987"/>
    <w:rsid w:val="005A10E2"/>
    <w:rsid w:val="005A3133"/>
    <w:rsid w:val="005A5045"/>
    <w:rsid w:val="005A5353"/>
    <w:rsid w:val="005C5B44"/>
    <w:rsid w:val="005D17BA"/>
    <w:rsid w:val="005E074A"/>
    <w:rsid w:val="00611CBD"/>
    <w:rsid w:val="00621034"/>
    <w:rsid w:val="006227D4"/>
    <w:rsid w:val="00637B5A"/>
    <w:rsid w:val="0066769F"/>
    <w:rsid w:val="006677DE"/>
    <w:rsid w:val="006775A3"/>
    <w:rsid w:val="00691256"/>
    <w:rsid w:val="00696488"/>
    <w:rsid w:val="006B7732"/>
    <w:rsid w:val="006E33C2"/>
    <w:rsid w:val="006E39CA"/>
    <w:rsid w:val="006E5076"/>
    <w:rsid w:val="006E53DD"/>
    <w:rsid w:val="006E7DC2"/>
    <w:rsid w:val="006F12BD"/>
    <w:rsid w:val="006F2493"/>
    <w:rsid w:val="006F6977"/>
    <w:rsid w:val="00736E71"/>
    <w:rsid w:val="00737346"/>
    <w:rsid w:val="00740DC9"/>
    <w:rsid w:val="007616B6"/>
    <w:rsid w:val="00767FBF"/>
    <w:rsid w:val="00771949"/>
    <w:rsid w:val="00781A5A"/>
    <w:rsid w:val="00782441"/>
    <w:rsid w:val="0079701A"/>
    <w:rsid w:val="007A504A"/>
    <w:rsid w:val="007B2D21"/>
    <w:rsid w:val="007C0F9E"/>
    <w:rsid w:val="007D16B6"/>
    <w:rsid w:val="007D4371"/>
    <w:rsid w:val="007D58FB"/>
    <w:rsid w:val="007F2977"/>
    <w:rsid w:val="008040A1"/>
    <w:rsid w:val="00805CE1"/>
    <w:rsid w:val="00821C4E"/>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445DA"/>
    <w:rsid w:val="00945932"/>
    <w:rsid w:val="00947680"/>
    <w:rsid w:val="00955C87"/>
    <w:rsid w:val="0096259C"/>
    <w:rsid w:val="0096678A"/>
    <w:rsid w:val="00972156"/>
    <w:rsid w:val="009A1042"/>
    <w:rsid w:val="009A28EC"/>
    <w:rsid w:val="009D44CA"/>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4847"/>
    <w:rsid w:val="00A97CCC"/>
    <w:rsid w:val="00AB7826"/>
    <w:rsid w:val="00AB7D5A"/>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A78C9"/>
    <w:rsid w:val="00BC11D0"/>
    <w:rsid w:val="00BC75E3"/>
    <w:rsid w:val="00BD507D"/>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D212F4"/>
    <w:rsid w:val="00D326D7"/>
    <w:rsid w:val="00D348F0"/>
    <w:rsid w:val="00D36D0D"/>
    <w:rsid w:val="00D430AC"/>
    <w:rsid w:val="00D57F51"/>
    <w:rsid w:val="00D64B1B"/>
    <w:rsid w:val="00D75803"/>
    <w:rsid w:val="00D84646"/>
    <w:rsid w:val="00DA6002"/>
    <w:rsid w:val="00DB757C"/>
    <w:rsid w:val="00DD24C8"/>
    <w:rsid w:val="00DD493D"/>
    <w:rsid w:val="00DE2E16"/>
    <w:rsid w:val="00E3793F"/>
    <w:rsid w:val="00E43CC1"/>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18B6"/>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p/194935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Z6YWEJNPDQQR-896559167-443</_dlc_DocId>
    <_dlc_DocIdUrl xmlns="28130d43-1b56-4a10-ad88-2cd38123f4c1">
      <Url>https://intranetas.lrs.lt/29/_layouts/15/DocIdRedir.aspx?ID=Z6YWEJNPDQQR-896559167-443</Url>
      <Description>Z6YWEJNPDQQR-896559167-443</Description>
    </_dlc_DocIdUrl>
  </documentManagement>
</p:properties>
</file>

<file path=customXml/itemProps1.xml><?xml version="1.0" encoding="utf-8"?>
<ds:datastoreItem xmlns:ds="http://schemas.openxmlformats.org/officeDocument/2006/customXml" ds:itemID="{0B1F0448-E5E5-4EDF-B0F2-5C8A3656DD13}">
  <ds:schemaRefs>
    <ds:schemaRef ds:uri="http://schemas.openxmlformats.org/officeDocument/2006/bibliography"/>
  </ds:schemaRefs>
</ds:datastoreItem>
</file>

<file path=customXml/itemProps2.xml><?xml version="1.0" encoding="utf-8"?>
<ds:datastoreItem xmlns:ds="http://schemas.openxmlformats.org/officeDocument/2006/customXml" ds:itemID="{D43B8387-B185-4F38-B62B-A8E3B170EA30}"/>
</file>

<file path=customXml/itemProps3.xml><?xml version="1.0" encoding="utf-8"?>
<ds:datastoreItem xmlns:ds="http://schemas.openxmlformats.org/officeDocument/2006/customXml" ds:itemID="{A4791F81-A34D-4B99-BF80-C5C530098449}"/>
</file>

<file path=customXml/itemProps4.xml><?xml version="1.0" encoding="utf-8"?>
<ds:datastoreItem xmlns:ds="http://schemas.openxmlformats.org/officeDocument/2006/customXml" ds:itemID="{CB30C04C-5347-4C5E-8B49-35BDF929FC9D}"/>
</file>

<file path=customXml/itemProps5.xml><?xml version="1.0" encoding="utf-8"?>
<ds:datastoreItem xmlns:ds="http://schemas.openxmlformats.org/officeDocument/2006/customXml" ds:itemID="{406B8D05-DC7A-4211-9874-8046060A33B0}"/>
</file>

<file path=docProps/app.xml><?xml version="1.0" encoding="utf-8"?>
<Properties xmlns="http://schemas.openxmlformats.org/officeDocument/2006/extended-properties" xmlns:vt="http://schemas.openxmlformats.org/officeDocument/2006/docPropsVTypes">
  <Template>Normal.dotm</Template>
  <TotalTime>17</TotalTime>
  <Pages>3</Pages>
  <Words>4401</Words>
  <Characters>2510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12</cp:revision>
  <cp:lastPrinted>2024-04-26T07:04:00Z</cp:lastPrinted>
  <dcterms:created xsi:type="dcterms:W3CDTF">2024-04-25T08:33:00Z</dcterms:created>
  <dcterms:modified xsi:type="dcterms:W3CDTF">2024-04-26T09:11:00Z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79f7d4ef-3328-4d7c-8c63-eb0845c46626</vt:lpwstr>
  </property>
</Properties>
</file>