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5B93" w:rsidRPr="00FF22CC" w:rsidRDefault="00CF5B93" w:rsidP="00CF5B93">
      <w:pPr>
        <w:spacing w:after="0" w:line="240" w:lineRule="auto"/>
        <w:jc w:val="center"/>
        <w:rPr>
          <w:rFonts w:ascii="Times New Roman" w:eastAsia="Calibri" w:hAnsi="Times New Roman" w:cs="Times New Roman"/>
          <w:sz w:val="24"/>
          <w:szCs w:val="24"/>
        </w:rPr>
      </w:pPr>
      <w:bookmarkStart w:id="0" w:name="_GoBack"/>
      <w:bookmarkEnd w:id="0"/>
      <w:r w:rsidRPr="00FF22CC">
        <w:rPr>
          <w:rFonts w:ascii="Times New Roman" w:eastAsia="Calibri" w:hAnsi="Times New Roman" w:cs="Times New Roman"/>
          <w:noProof/>
          <w:sz w:val="24"/>
          <w:szCs w:val="24"/>
          <w:lang w:eastAsia="lt-LT"/>
        </w:rPr>
        <w:drawing>
          <wp:inline distT="0" distB="0" distL="0" distR="0" wp14:anchorId="2779B610" wp14:editId="034A53F4">
            <wp:extent cx="527685" cy="615315"/>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27685" cy="615315"/>
                    </a:xfrm>
                    <a:prstGeom prst="rect">
                      <a:avLst/>
                    </a:prstGeom>
                    <a:noFill/>
                    <a:ln>
                      <a:noFill/>
                    </a:ln>
                  </pic:spPr>
                </pic:pic>
              </a:graphicData>
            </a:graphic>
          </wp:inline>
        </w:drawing>
      </w:r>
    </w:p>
    <w:p w:rsidR="00CF5B93" w:rsidRPr="00FF22CC" w:rsidRDefault="00CF5B93" w:rsidP="00CF5B93">
      <w:pPr>
        <w:spacing w:after="0" w:line="240" w:lineRule="auto"/>
        <w:jc w:val="center"/>
        <w:rPr>
          <w:rFonts w:ascii="Times New Roman" w:eastAsia="Calibri" w:hAnsi="Times New Roman" w:cs="Times New Roman"/>
          <w:sz w:val="24"/>
          <w:szCs w:val="24"/>
        </w:rPr>
      </w:pPr>
    </w:p>
    <w:p w:rsidR="00CF5B93" w:rsidRPr="00FF22CC" w:rsidRDefault="00CF5B93" w:rsidP="00CF5B93">
      <w:pPr>
        <w:spacing w:after="0" w:line="240" w:lineRule="auto"/>
        <w:jc w:val="center"/>
        <w:rPr>
          <w:rFonts w:ascii="Times New Roman" w:eastAsia="Times New Roman" w:hAnsi="Times New Roman" w:cs="Times New Roman"/>
          <w:b/>
          <w:sz w:val="24"/>
          <w:szCs w:val="24"/>
        </w:rPr>
      </w:pPr>
      <w:r w:rsidRPr="00FF22CC">
        <w:rPr>
          <w:rFonts w:ascii="Times New Roman" w:eastAsia="Times New Roman" w:hAnsi="Times New Roman" w:cs="Times New Roman"/>
          <w:b/>
          <w:sz w:val="24"/>
          <w:szCs w:val="24"/>
        </w:rPr>
        <w:t>LIETUVOS RESPUBLIKOS SEIMO KANCELIARIJOS</w:t>
      </w:r>
    </w:p>
    <w:p w:rsidR="00CF5B93" w:rsidRPr="00FF22CC" w:rsidRDefault="00CF5B93" w:rsidP="00CF5B93">
      <w:pPr>
        <w:spacing w:after="0" w:line="240" w:lineRule="auto"/>
        <w:jc w:val="center"/>
        <w:rPr>
          <w:rFonts w:ascii="Times New Roman" w:eastAsia="Times New Roman" w:hAnsi="Times New Roman" w:cs="Times New Roman"/>
          <w:b/>
          <w:spacing w:val="4"/>
          <w:sz w:val="24"/>
          <w:szCs w:val="24"/>
        </w:rPr>
      </w:pPr>
      <w:r w:rsidRPr="00FF22CC">
        <w:rPr>
          <w:rFonts w:ascii="Times New Roman" w:eastAsia="Times New Roman" w:hAnsi="Times New Roman" w:cs="Times New Roman"/>
          <w:b/>
          <w:spacing w:val="4"/>
          <w:sz w:val="24"/>
          <w:szCs w:val="24"/>
        </w:rPr>
        <w:t>TEISĖS DEPARTAMENTAS</w:t>
      </w:r>
    </w:p>
    <w:p w:rsidR="00CF5B93" w:rsidRPr="00FF22CC" w:rsidRDefault="00CF5B93" w:rsidP="00CF5B93">
      <w:pPr>
        <w:spacing w:after="0" w:line="240" w:lineRule="auto"/>
        <w:ind w:right="11"/>
        <w:jc w:val="center"/>
        <w:rPr>
          <w:rFonts w:ascii="Times New Roman" w:eastAsia="Times New Roman" w:hAnsi="Times New Roman" w:cs="Times New Roman"/>
          <w:b/>
          <w:spacing w:val="4"/>
          <w:sz w:val="24"/>
          <w:szCs w:val="24"/>
        </w:rPr>
      </w:pPr>
    </w:p>
    <w:p w:rsidR="00CF5B93" w:rsidRPr="00FF22CC" w:rsidRDefault="00CF5B93" w:rsidP="00CF5B93">
      <w:pPr>
        <w:spacing w:after="0" w:line="240" w:lineRule="auto"/>
        <w:ind w:right="11"/>
        <w:jc w:val="center"/>
        <w:rPr>
          <w:rFonts w:ascii="Times New Roman" w:eastAsia="Times New Roman" w:hAnsi="Times New Roman" w:cs="Times New Roman"/>
          <w:sz w:val="24"/>
          <w:szCs w:val="24"/>
        </w:rPr>
      </w:pPr>
      <w:r w:rsidRPr="00FF22CC">
        <w:rPr>
          <w:rFonts w:ascii="Times New Roman" w:eastAsia="Times New Roman" w:hAnsi="Times New Roman" w:cs="Times New Roman"/>
          <w:sz w:val="24"/>
          <w:szCs w:val="24"/>
        </w:rPr>
        <w:t>Biudžetinė įstaiga  Gedimino pr. 53,  01109 Vilnius    Tel. (0 5)  209 6169    El. p. td@lrs.lt</w:t>
      </w:r>
    </w:p>
    <w:p w:rsidR="00CF5B93" w:rsidRPr="00FF22CC" w:rsidRDefault="00CF5B93" w:rsidP="00CF5B93">
      <w:pPr>
        <w:spacing w:after="0" w:line="240" w:lineRule="auto"/>
        <w:jc w:val="center"/>
        <w:rPr>
          <w:rFonts w:ascii="Times New Roman" w:eastAsia="Times New Roman" w:hAnsi="Times New Roman" w:cs="Times New Roman"/>
          <w:sz w:val="24"/>
          <w:szCs w:val="24"/>
        </w:rPr>
      </w:pPr>
      <w:r w:rsidRPr="00FF22CC">
        <w:rPr>
          <w:rFonts w:ascii="Times New Roman" w:eastAsia="Times New Roman" w:hAnsi="Times New Roman" w:cs="Times New Roman"/>
          <w:sz w:val="24"/>
          <w:szCs w:val="24"/>
        </w:rPr>
        <w:t>Duomenys kaupiami ir saugomi  Juridinių asmenų registre  Kodas 188605295</w:t>
      </w:r>
    </w:p>
    <w:p w:rsidR="00CF5B93" w:rsidRPr="00FF22CC" w:rsidRDefault="00CF5B93" w:rsidP="00CF5B93">
      <w:pPr>
        <w:spacing w:after="0" w:line="240" w:lineRule="auto"/>
        <w:jc w:val="both"/>
        <w:rPr>
          <w:rFonts w:ascii="Times New Roman" w:eastAsia="Times New Roman" w:hAnsi="Times New Roman" w:cs="Times New Roman"/>
          <w:sz w:val="24"/>
          <w:szCs w:val="24"/>
        </w:rPr>
      </w:pPr>
      <w:r w:rsidRPr="00FF22CC">
        <w:rPr>
          <w:rFonts w:ascii="Times New Roman" w:eastAsia="Times New Roman" w:hAnsi="Times New Roman" w:cs="Times New Roman"/>
          <w:sz w:val="24"/>
          <w:szCs w:val="24"/>
        </w:rPr>
        <w:t>________________________________________________________</w:t>
      </w:r>
      <w:r w:rsidR="001C3A91" w:rsidRPr="00FF22CC">
        <w:rPr>
          <w:rFonts w:ascii="Times New Roman" w:eastAsia="Times New Roman" w:hAnsi="Times New Roman" w:cs="Times New Roman"/>
          <w:sz w:val="24"/>
          <w:szCs w:val="24"/>
        </w:rPr>
        <w:t>________________________</w:t>
      </w:r>
    </w:p>
    <w:p w:rsidR="00CF5B93" w:rsidRPr="00FF22CC" w:rsidRDefault="00CF5B93" w:rsidP="00CF5B93">
      <w:pPr>
        <w:spacing w:after="0" w:line="240" w:lineRule="auto"/>
        <w:jc w:val="both"/>
        <w:rPr>
          <w:rFonts w:ascii="Times New Roman" w:eastAsia="Times New Roman" w:hAnsi="Times New Roman" w:cs="Times New Roman"/>
          <w:sz w:val="24"/>
          <w:szCs w:val="24"/>
        </w:rPr>
      </w:pPr>
    </w:p>
    <w:p w:rsidR="00CF5B93" w:rsidRPr="00FF22CC" w:rsidRDefault="00CF5B93" w:rsidP="00CF5B93">
      <w:pPr>
        <w:spacing w:after="0" w:line="240" w:lineRule="auto"/>
        <w:jc w:val="both"/>
        <w:rPr>
          <w:rFonts w:ascii="Times New Roman" w:eastAsia="Calibri" w:hAnsi="Times New Roman" w:cs="Times New Roman"/>
          <w:sz w:val="24"/>
          <w:szCs w:val="24"/>
        </w:rPr>
        <w:sectPr w:rsidR="00CF5B93" w:rsidRPr="00FF22CC" w:rsidSect="00CF5B93">
          <w:headerReference w:type="default" r:id="rId7"/>
          <w:headerReference w:type="first" r:id="rId8"/>
          <w:type w:val="continuous"/>
          <w:pgSz w:w="11906" w:h="16838"/>
          <w:pgMar w:top="1134" w:right="567" w:bottom="1134" w:left="1701" w:header="567" w:footer="567" w:gutter="0"/>
          <w:cols w:space="1296"/>
          <w:titlePg/>
          <w:docGrid w:linePitch="360"/>
        </w:sectPr>
      </w:pPr>
    </w:p>
    <w:p w:rsidR="00CF5B93" w:rsidRPr="00FF22CC" w:rsidRDefault="00CF5B93" w:rsidP="00CF5B93">
      <w:pPr>
        <w:spacing w:after="0" w:line="360" w:lineRule="auto"/>
        <w:jc w:val="both"/>
        <w:rPr>
          <w:rFonts w:ascii="Times New Roman" w:eastAsia="Calibri" w:hAnsi="Times New Roman" w:cs="Times New Roman"/>
          <w:sz w:val="24"/>
          <w:szCs w:val="24"/>
        </w:rPr>
      </w:pPr>
    </w:p>
    <w:p w:rsidR="00CF5B93" w:rsidRPr="00FF22CC" w:rsidRDefault="00CF5B93" w:rsidP="00CF5B93">
      <w:pPr>
        <w:spacing w:after="0" w:line="360" w:lineRule="auto"/>
        <w:textAlignment w:val="baseline"/>
        <w:rPr>
          <w:rFonts w:ascii="Times New Roman" w:eastAsia="Times New Roman" w:hAnsi="Times New Roman" w:cs="Times New Roman"/>
          <w:sz w:val="24"/>
          <w:szCs w:val="24"/>
          <w:lang w:eastAsia="lt-LT"/>
        </w:rPr>
      </w:pPr>
      <w:r w:rsidRPr="00FF22CC">
        <w:rPr>
          <w:rFonts w:ascii="Times New Roman" w:eastAsia="Times New Roman" w:hAnsi="Times New Roman" w:cs="Times New Roman"/>
          <w:sz w:val="24"/>
          <w:szCs w:val="24"/>
          <w:lang w:eastAsia="lt-LT"/>
        </w:rPr>
        <w:t>Lietuvos Respublikos Seimo</w:t>
      </w:r>
      <w:r w:rsidRPr="00FF22CC">
        <w:rPr>
          <w:rFonts w:ascii="Times New Roman" w:eastAsia="Times New Roman" w:hAnsi="Times New Roman" w:cs="Times New Roman"/>
          <w:sz w:val="24"/>
          <w:szCs w:val="24"/>
          <w:lang w:eastAsia="lt-LT"/>
        </w:rPr>
        <w:tab/>
      </w:r>
      <w:r w:rsidRPr="00FF22CC">
        <w:rPr>
          <w:rFonts w:ascii="Times New Roman" w:eastAsia="Times New Roman" w:hAnsi="Times New Roman" w:cs="Times New Roman"/>
          <w:sz w:val="24"/>
          <w:szCs w:val="24"/>
          <w:lang w:eastAsia="lt-LT"/>
        </w:rPr>
        <w:tab/>
      </w:r>
      <w:r w:rsidRPr="00FF22CC">
        <w:rPr>
          <w:rFonts w:ascii="Times New Roman" w:eastAsia="Times New Roman" w:hAnsi="Times New Roman" w:cs="Times New Roman"/>
          <w:sz w:val="24"/>
          <w:szCs w:val="24"/>
          <w:lang w:eastAsia="lt-LT"/>
        </w:rPr>
        <w:tab/>
        <w:t>2026-04-27 Nr. V-2026-</w:t>
      </w:r>
    </w:p>
    <w:p w:rsidR="00CF5B93" w:rsidRPr="00FF22CC" w:rsidRDefault="00CF5B93" w:rsidP="00CF5B93">
      <w:pPr>
        <w:spacing w:after="0" w:line="360" w:lineRule="auto"/>
        <w:textAlignment w:val="baseline"/>
        <w:rPr>
          <w:rFonts w:ascii="Times New Roman" w:eastAsia="Times New Roman" w:hAnsi="Times New Roman" w:cs="Times New Roman"/>
          <w:sz w:val="24"/>
          <w:szCs w:val="24"/>
          <w:lang w:eastAsia="lt-LT"/>
        </w:rPr>
      </w:pPr>
      <w:r w:rsidRPr="00FF22CC">
        <w:rPr>
          <w:rFonts w:ascii="Times New Roman" w:eastAsia="Times New Roman" w:hAnsi="Times New Roman" w:cs="Times New Roman"/>
          <w:sz w:val="24"/>
          <w:szCs w:val="24"/>
          <w:lang w:eastAsia="lt-LT"/>
        </w:rPr>
        <w:t>Peticijų komisijai</w:t>
      </w:r>
      <w:r w:rsidRPr="00FF22CC">
        <w:rPr>
          <w:rFonts w:ascii="Times New Roman" w:eastAsia="Times New Roman" w:hAnsi="Times New Roman" w:cs="Times New Roman"/>
          <w:sz w:val="24"/>
          <w:szCs w:val="24"/>
          <w:lang w:eastAsia="lt-LT"/>
        </w:rPr>
        <w:tab/>
      </w:r>
      <w:r w:rsidRPr="00FF22CC">
        <w:rPr>
          <w:rFonts w:ascii="Times New Roman" w:eastAsia="Times New Roman" w:hAnsi="Times New Roman" w:cs="Times New Roman"/>
          <w:sz w:val="24"/>
          <w:szCs w:val="24"/>
          <w:lang w:eastAsia="lt-LT"/>
        </w:rPr>
        <w:tab/>
      </w:r>
      <w:r w:rsidRPr="00FF22CC">
        <w:rPr>
          <w:rFonts w:ascii="Times New Roman" w:eastAsia="Times New Roman" w:hAnsi="Times New Roman" w:cs="Times New Roman"/>
          <w:sz w:val="24"/>
          <w:szCs w:val="24"/>
          <w:lang w:eastAsia="lt-LT"/>
        </w:rPr>
        <w:tab/>
      </w:r>
      <w:r w:rsidRPr="00FF22CC">
        <w:rPr>
          <w:rFonts w:ascii="Times New Roman" w:eastAsia="Times New Roman" w:hAnsi="Times New Roman" w:cs="Times New Roman"/>
          <w:sz w:val="24"/>
          <w:szCs w:val="24"/>
          <w:lang w:eastAsia="lt-LT"/>
        </w:rPr>
        <w:tab/>
        <w:t>Į 2026-04-20 Nr. V-2026-7266</w:t>
      </w:r>
    </w:p>
    <w:p w:rsidR="00CF5B93" w:rsidRPr="00FF22CC" w:rsidRDefault="00CF5B93" w:rsidP="00CF5B93">
      <w:pPr>
        <w:spacing w:after="0" w:line="360" w:lineRule="auto"/>
        <w:textAlignment w:val="baseline"/>
        <w:rPr>
          <w:rFonts w:ascii="Times New Roman" w:eastAsia="Times New Roman" w:hAnsi="Times New Roman" w:cs="Times New Roman"/>
          <w:b/>
          <w:bCs/>
          <w:sz w:val="24"/>
          <w:szCs w:val="24"/>
          <w:lang w:eastAsia="lt-LT"/>
        </w:rPr>
      </w:pPr>
    </w:p>
    <w:p w:rsidR="00CF5B93" w:rsidRPr="00FF22CC" w:rsidRDefault="00CF5B93" w:rsidP="00CF5B93">
      <w:pPr>
        <w:spacing w:after="0" w:line="360" w:lineRule="auto"/>
        <w:rPr>
          <w:rFonts w:ascii="Times New Roman" w:eastAsia="Calibri" w:hAnsi="Times New Roman" w:cs="Times New Roman"/>
          <w:b/>
          <w:sz w:val="24"/>
          <w:szCs w:val="24"/>
        </w:rPr>
      </w:pPr>
      <w:r w:rsidRPr="00FF22CC">
        <w:rPr>
          <w:rFonts w:ascii="Times New Roman" w:eastAsia="Calibri" w:hAnsi="Times New Roman" w:cs="Times New Roman"/>
          <w:b/>
          <w:sz w:val="24"/>
          <w:szCs w:val="24"/>
        </w:rPr>
        <w:t>DĖL NUOMONĖS PATEIKIMO</w:t>
      </w:r>
    </w:p>
    <w:p w:rsidR="00CF5B93" w:rsidRPr="00FF22CC" w:rsidRDefault="00CF5B93" w:rsidP="00CF5B93">
      <w:pPr>
        <w:spacing w:after="0" w:line="360" w:lineRule="auto"/>
        <w:jc w:val="both"/>
        <w:textAlignment w:val="baseline"/>
        <w:rPr>
          <w:rFonts w:ascii="Times New Roman" w:eastAsia="Times New Roman" w:hAnsi="Times New Roman" w:cs="Times New Roman"/>
          <w:color w:val="000000"/>
          <w:sz w:val="24"/>
          <w:szCs w:val="24"/>
          <w:lang w:eastAsia="lt-LT"/>
        </w:rPr>
      </w:pPr>
    </w:p>
    <w:p w:rsidR="008C7099" w:rsidRPr="00FF22CC" w:rsidRDefault="00CF5B93" w:rsidP="008C7099">
      <w:pPr>
        <w:spacing w:after="0" w:line="360" w:lineRule="auto"/>
        <w:ind w:firstLine="720"/>
        <w:jc w:val="both"/>
        <w:rPr>
          <w:rFonts w:ascii="Times New Roman" w:eastAsia="Calibri" w:hAnsi="Times New Roman" w:cs="Times New Roman"/>
          <w:sz w:val="24"/>
          <w:szCs w:val="24"/>
        </w:rPr>
      </w:pPr>
      <w:r w:rsidRPr="00FF22CC">
        <w:rPr>
          <w:rFonts w:ascii="Times New Roman" w:eastAsia="Calibri" w:hAnsi="Times New Roman" w:cs="Times New Roman"/>
          <w:sz w:val="24"/>
          <w:szCs w:val="24"/>
        </w:rPr>
        <w:t xml:space="preserve">Teisės departamente, vadovaujantis Lietuvos Respublikos peticijų konstitucinio įstatymo 4 straipsnio 5 dalies 2 punktu, gautas Lietuvos Respublikos Seimo peticijų komisijos raštas, prašant pateikti nuomonę dėl Virginijaus Jurgaičio (toliau – Pareiškėjas) peticijos. Ja siūloma papildyti </w:t>
      </w:r>
      <w:r w:rsidR="00734270" w:rsidRPr="00FF22CC">
        <w:rPr>
          <w:rFonts w:ascii="Times New Roman" w:eastAsia="Calibri" w:hAnsi="Times New Roman" w:cs="Times New Roman"/>
          <w:sz w:val="24"/>
          <w:szCs w:val="24"/>
        </w:rPr>
        <w:t>Lietuvos Respublikos civilinio proceso kodekso (toliau – CPK)</w:t>
      </w:r>
      <w:r w:rsidR="00FF22CC">
        <w:rPr>
          <w:rFonts w:ascii="Times New Roman" w:eastAsia="Calibri" w:hAnsi="Times New Roman" w:cs="Times New Roman"/>
          <w:sz w:val="24"/>
          <w:szCs w:val="24"/>
        </w:rPr>
        <w:t xml:space="preserve"> 4 straipsnį </w:t>
      </w:r>
      <w:r w:rsidR="00492BFA" w:rsidRPr="00FF22CC">
        <w:rPr>
          <w:rFonts w:ascii="Times New Roman" w:eastAsia="Calibri" w:hAnsi="Times New Roman" w:cs="Times New Roman"/>
          <w:sz w:val="24"/>
          <w:szCs w:val="24"/>
        </w:rPr>
        <w:t xml:space="preserve">ir Lietuvos Respublikos administracinių bylų teisenos įstatymo (toliau – ABTĮ) 15 straipsnio </w:t>
      </w:r>
      <w:r w:rsidR="00FF22CC">
        <w:rPr>
          <w:rFonts w:ascii="Times New Roman" w:eastAsia="Calibri" w:hAnsi="Times New Roman" w:cs="Times New Roman"/>
          <w:sz w:val="24"/>
          <w:szCs w:val="24"/>
        </w:rPr>
        <w:t xml:space="preserve">1 dalį </w:t>
      </w:r>
      <w:r w:rsidR="00492BFA" w:rsidRPr="00FF22CC">
        <w:rPr>
          <w:rFonts w:ascii="Times New Roman" w:eastAsia="Calibri" w:hAnsi="Times New Roman" w:cs="Times New Roman"/>
          <w:sz w:val="24"/>
          <w:szCs w:val="24"/>
        </w:rPr>
        <w:t>nuostat</w:t>
      </w:r>
      <w:r w:rsidR="00FF22CC">
        <w:rPr>
          <w:rFonts w:ascii="Times New Roman" w:eastAsia="Calibri" w:hAnsi="Times New Roman" w:cs="Times New Roman"/>
          <w:sz w:val="24"/>
          <w:szCs w:val="24"/>
        </w:rPr>
        <w:t>a, kad draudžiama bylose remtis senesne</w:t>
      </w:r>
      <w:r w:rsidR="00492BFA" w:rsidRPr="00FF22CC">
        <w:rPr>
          <w:rFonts w:ascii="Times New Roman" w:eastAsia="Calibri" w:hAnsi="Times New Roman" w:cs="Times New Roman"/>
          <w:sz w:val="24"/>
          <w:szCs w:val="24"/>
        </w:rPr>
        <w:t xml:space="preserve"> nei penkerių metų Lietuvos Aukščiausiojo Teismo (toliau – </w:t>
      </w:r>
      <w:r w:rsidR="00FF22CC">
        <w:rPr>
          <w:rFonts w:ascii="Times New Roman" w:eastAsia="Calibri" w:hAnsi="Times New Roman" w:cs="Times New Roman"/>
          <w:sz w:val="24"/>
          <w:szCs w:val="24"/>
        </w:rPr>
        <w:t xml:space="preserve">ir </w:t>
      </w:r>
      <w:r w:rsidR="00492BFA" w:rsidRPr="00FF22CC">
        <w:rPr>
          <w:rFonts w:ascii="Times New Roman" w:eastAsia="Calibri" w:hAnsi="Times New Roman" w:cs="Times New Roman"/>
          <w:sz w:val="24"/>
          <w:szCs w:val="24"/>
        </w:rPr>
        <w:t>LAT) ir Lietuvos vyriausiojo administracinio t</w:t>
      </w:r>
      <w:r w:rsidR="00FF22CC">
        <w:rPr>
          <w:rFonts w:ascii="Times New Roman" w:eastAsia="Calibri" w:hAnsi="Times New Roman" w:cs="Times New Roman"/>
          <w:sz w:val="24"/>
          <w:szCs w:val="24"/>
        </w:rPr>
        <w:t>eismo (toliau – ir LVAT) suformuota praktika</w:t>
      </w:r>
      <w:r w:rsidR="00492BFA" w:rsidRPr="00FF22CC">
        <w:rPr>
          <w:rFonts w:ascii="Times New Roman" w:eastAsia="Calibri" w:hAnsi="Times New Roman" w:cs="Times New Roman"/>
          <w:sz w:val="24"/>
          <w:szCs w:val="24"/>
        </w:rPr>
        <w:t xml:space="preserve">. Savo prašymą Pareiškėjas argumentuoja tuo, kad dėl pasikeitusių technologijų, geopolitinės šalies situacijos, CPK, Civilinio kodekso, ABTĮ nuostatų, piliečių gyvenimo būdo ir nuomonių apie dabarties ir ateities gyvenimą, rėmimasis ankstesne nei prieš penkerius metus iki įvykio, dėl kurio vyksta ginčas, kilimo, suformuota </w:t>
      </w:r>
      <w:r w:rsidR="001C3A91" w:rsidRPr="00FF22CC">
        <w:rPr>
          <w:rFonts w:ascii="Times New Roman" w:eastAsia="Calibri" w:hAnsi="Times New Roman" w:cs="Times New Roman"/>
          <w:sz w:val="24"/>
          <w:szCs w:val="24"/>
        </w:rPr>
        <w:t xml:space="preserve">teismų </w:t>
      </w:r>
      <w:r w:rsidR="00492BFA" w:rsidRPr="00FF22CC">
        <w:rPr>
          <w:rFonts w:ascii="Times New Roman" w:eastAsia="Calibri" w:hAnsi="Times New Roman" w:cs="Times New Roman"/>
          <w:sz w:val="24"/>
          <w:szCs w:val="24"/>
        </w:rPr>
        <w:t xml:space="preserve">praktika, nebeatitinka gyvenimo realijų. </w:t>
      </w:r>
      <w:r w:rsidRPr="00FF22CC">
        <w:rPr>
          <w:rFonts w:ascii="Times New Roman" w:eastAsia="Calibri" w:hAnsi="Times New Roman" w:cs="Times New Roman"/>
          <w:sz w:val="24"/>
          <w:szCs w:val="24"/>
        </w:rPr>
        <w:t>Teisės departamentas, susipažinęs su Pareiškėjo peticija, laikosi nuomo</w:t>
      </w:r>
      <w:r w:rsidR="00492BFA" w:rsidRPr="00FF22CC">
        <w:rPr>
          <w:rFonts w:ascii="Times New Roman" w:eastAsia="Calibri" w:hAnsi="Times New Roman" w:cs="Times New Roman"/>
          <w:sz w:val="24"/>
          <w:szCs w:val="24"/>
        </w:rPr>
        <w:t xml:space="preserve">nės, kad Pareiškėjo siūlomas </w:t>
      </w:r>
      <w:r w:rsidR="00774A1A" w:rsidRPr="00FF22CC">
        <w:rPr>
          <w:rFonts w:ascii="Times New Roman" w:eastAsia="Calibri" w:hAnsi="Times New Roman" w:cs="Times New Roman"/>
          <w:sz w:val="24"/>
          <w:szCs w:val="24"/>
        </w:rPr>
        <w:t>CPK 4 straipsnio ir ABTĮ 15 straipsnio 1 dalies papildymas taisykl</w:t>
      </w:r>
      <w:r w:rsidR="00FF22CC">
        <w:rPr>
          <w:rFonts w:ascii="Times New Roman" w:eastAsia="Calibri" w:hAnsi="Times New Roman" w:cs="Times New Roman"/>
          <w:sz w:val="24"/>
          <w:szCs w:val="24"/>
        </w:rPr>
        <w:t>e, kad draudžiama bylose remtis senesne</w:t>
      </w:r>
      <w:r w:rsidR="00774A1A" w:rsidRPr="00FF22CC">
        <w:rPr>
          <w:rFonts w:ascii="Times New Roman" w:eastAsia="Calibri" w:hAnsi="Times New Roman" w:cs="Times New Roman"/>
          <w:sz w:val="24"/>
          <w:szCs w:val="24"/>
        </w:rPr>
        <w:t xml:space="preserve"> nei penk</w:t>
      </w:r>
      <w:r w:rsidR="00FF22CC">
        <w:rPr>
          <w:rFonts w:ascii="Times New Roman" w:eastAsia="Calibri" w:hAnsi="Times New Roman" w:cs="Times New Roman"/>
          <w:sz w:val="24"/>
          <w:szCs w:val="24"/>
        </w:rPr>
        <w:t>erių metų LAT ir LVAT suformuota praktika</w:t>
      </w:r>
      <w:r w:rsidR="00774A1A" w:rsidRPr="00FF22CC">
        <w:rPr>
          <w:rFonts w:ascii="Times New Roman" w:eastAsia="Calibri" w:hAnsi="Times New Roman" w:cs="Times New Roman"/>
          <w:sz w:val="24"/>
          <w:szCs w:val="24"/>
        </w:rPr>
        <w:t>,</w:t>
      </w:r>
      <w:r w:rsidRPr="00FF22CC">
        <w:rPr>
          <w:rFonts w:ascii="Times New Roman" w:eastAsia="Calibri" w:hAnsi="Times New Roman" w:cs="Times New Roman"/>
          <w:sz w:val="24"/>
          <w:szCs w:val="24"/>
        </w:rPr>
        <w:t xml:space="preserve"> yra </w:t>
      </w:r>
      <w:r w:rsidR="00774A1A" w:rsidRPr="00FF22CC">
        <w:rPr>
          <w:rFonts w:ascii="Times New Roman" w:eastAsia="Calibri" w:hAnsi="Times New Roman" w:cs="Times New Roman"/>
          <w:sz w:val="24"/>
          <w:szCs w:val="24"/>
        </w:rPr>
        <w:t>ne</w:t>
      </w:r>
      <w:r w:rsidRPr="00FF22CC">
        <w:rPr>
          <w:rFonts w:ascii="Times New Roman" w:eastAsia="Calibri" w:hAnsi="Times New Roman" w:cs="Times New Roman"/>
          <w:sz w:val="24"/>
          <w:szCs w:val="24"/>
        </w:rPr>
        <w:t>pagrįstas. Savo nuomonę grindžiame šiais argumentais.</w:t>
      </w:r>
    </w:p>
    <w:p w:rsidR="006227DA" w:rsidRPr="00FF22CC" w:rsidRDefault="006227DA" w:rsidP="00821B28">
      <w:pPr>
        <w:spacing w:after="0" w:line="360" w:lineRule="auto"/>
        <w:ind w:firstLine="720"/>
        <w:jc w:val="both"/>
        <w:rPr>
          <w:rStyle w:val="app-text--selectable"/>
          <w:rFonts w:ascii="Times New Roman" w:hAnsi="Times New Roman" w:cs="Times New Roman"/>
          <w:sz w:val="24"/>
          <w:szCs w:val="24"/>
        </w:rPr>
      </w:pPr>
      <w:r w:rsidRPr="00FF22CC">
        <w:rPr>
          <w:rFonts w:ascii="Times New Roman" w:eastAsia="Calibri" w:hAnsi="Times New Roman" w:cs="Times New Roman"/>
          <w:sz w:val="24"/>
          <w:szCs w:val="24"/>
        </w:rPr>
        <w:t xml:space="preserve">Pagal Lietuvos Respublikos teismų įstatymo 23 straipsnio 2 dalį, Aukščiausiasis Teismas formuoja vienodą </w:t>
      </w:r>
      <w:r w:rsidR="008C7099" w:rsidRPr="00FF22CC">
        <w:rPr>
          <w:rFonts w:ascii="Times New Roman" w:eastAsia="Calibri" w:hAnsi="Times New Roman" w:cs="Times New Roman"/>
          <w:sz w:val="24"/>
          <w:szCs w:val="24"/>
        </w:rPr>
        <w:t xml:space="preserve">bendrosios kompetencijos teismų praktiką aiškinant ir taikant įstatymus ir kitus teisės aktus. </w:t>
      </w:r>
      <w:r w:rsidR="008C7099" w:rsidRPr="00FF22CC">
        <w:rPr>
          <w:rFonts w:ascii="Times New Roman" w:hAnsi="Times New Roman" w:cs="Times New Roman"/>
          <w:sz w:val="24"/>
          <w:szCs w:val="24"/>
        </w:rPr>
        <w:t xml:space="preserve">Į Aukščiausiojo Teismo nutartyse esančius įstatymų ir kitų teisės aktų taikymo išaiškinimus atsižvelgia valstybės ir kitos institucijos, taip pat kiti asmenys, taikydami tuos pačius įstatymus ir kitus teisės aktus. Plėtodamas ir užtikrindamas vienodą teisės aiškinimą ir taikymą bendrosios kompetencijos teismuose, Aukščiausiasis Teismas analizuoja nacionalinių, Europos Sąjungos ir tarptautinių teismų praktiką, kitus teisės šaltinius, rengia teismų praktikos </w:t>
      </w:r>
      <w:r w:rsidR="008C7099" w:rsidRPr="00FF22CC">
        <w:rPr>
          <w:rFonts w:ascii="Times New Roman" w:hAnsi="Times New Roman" w:cs="Times New Roman"/>
          <w:sz w:val="24"/>
          <w:szCs w:val="24"/>
        </w:rPr>
        <w:lastRenderedPageBreak/>
        <w:t>apibendrinimus, apžvalgas, viešai skelbia informaciją apie savo veiklą (Teismų įstatymo 23 straipsnio 3 ir 4 dalys). Pagal Teismų įstatymo 31 straipsnio 2 dalį</w:t>
      </w:r>
      <w:r w:rsidRPr="00FF22CC">
        <w:rPr>
          <w:rFonts w:ascii="Times New Roman" w:hAnsi="Times New Roman" w:cs="Times New Roman"/>
          <w:sz w:val="24"/>
          <w:szCs w:val="24"/>
        </w:rPr>
        <w:t xml:space="preserve"> Vyriausiasis administracinis teismas formuoja vienodą administracinių teismų praktiką aiškinant ir taikant į</w:t>
      </w:r>
      <w:r w:rsidR="008C7099" w:rsidRPr="00FF22CC">
        <w:rPr>
          <w:rFonts w:ascii="Times New Roman" w:hAnsi="Times New Roman" w:cs="Times New Roman"/>
          <w:sz w:val="24"/>
          <w:szCs w:val="24"/>
        </w:rPr>
        <w:t>statymus ir kitus teisės aktus.</w:t>
      </w:r>
      <w:r w:rsidRPr="00FF22CC">
        <w:rPr>
          <w:rFonts w:ascii="Times New Roman" w:hAnsi="Times New Roman" w:cs="Times New Roman"/>
          <w:bCs/>
          <w:sz w:val="24"/>
          <w:szCs w:val="24"/>
        </w:rPr>
        <w:t xml:space="preserve"> </w:t>
      </w:r>
      <w:r w:rsidRPr="00FF22CC">
        <w:rPr>
          <w:rFonts w:ascii="Times New Roman" w:hAnsi="Times New Roman" w:cs="Times New Roman"/>
          <w:sz w:val="24"/>
          <w:szCs w:val="24"/>
        </w:rPr>
        <w:t>Į Vyriausiojo administracinio teismo sprendimuose ir nutartyse esančius įstatymų ir kitų teisės aktų taikymo išaiškinimus atsižvelgia</w:t>
      </w:r>
      <w:r w:rsidRPr="00FF22CC">
        <w:rPr>
          <w:rFonts w:ascii="Times New Roman" w:hAnsi="Times New Roman" w:cs="Times New Roman"/>
          <w:b/>
          <w:bCs/>
          <w:sz w:val="24"/>
          <w:szCs w:val="24"/>
        </w:rPr>
        <w:t xml:space="preserve"> </w:t>
      </w:r>
      <w:r w:rsidRPr="00FF22CC">
        <w:rPr>
          <w:rFonts w:ascii="Times New Roman" w:hAnsi="Times New Roman" w:cs="Times New Roman"/>
          <w:sz w:val="24"/>
          <w:szCs w:val="24"/>
        </w:rPr>
        <w:t>valstybės ir kitos institucijos, taip pat kiti asmenys, taikydami tuos pačius įstatymus ir kitus teisės aktus.</w:t>
      </w:r>
      <w:r w:rsidR="008C7099" w:rsidRPr="00FF22CC">
        <w:rPr>
          <w:rFonts w:ascii="Times New Roman" w:hAnsi="Times New Roman" w:cs="Times New Roman"/>
          <w:sz w:val="24"/>
          <w:szCs w:val="24"/>
        </w:rPr>
        <w:t xml:space="preserve"> </w:t>
      </w:r>
      <w:r w:rsidRPr="00FF22CC">
        <w:rPr>
          <w:rFonts w:ascii="Times New Roman" w:hAnsi="Times New Roman" w:cs="Times New Roman"/>
          <w:sz w:val="24"/>
          <w:szCs w:val="24"/>
        </w:rPr>
        <w:t>Plėtodamas ir užtikrindamas vienodą teisės aiškinimą ir taikymą administraciniuose teismuose, Vyriausiasis administracinis teismas analizuoja nacionalinių, Europos Sąjungos ir tarptautinių teismų praktiką, kitus teisės šaltinius, rengia teismų praktikos apibendrinimus, apžvalgas, viešai skelb</w:t>
      </w:r>
      <w:r w:rsidR="008C7099" w:rsidRPr="00FF22CC">
        <w:rPr>
          <w:rFonts w:ascii="Times New Roman" w:hAnsi="Times New Roman" w:cs="Times New Roman"/>
          <w:sz w:val="24"/>
          <w:szCs w:val="24"/>
        </w:rPr>
        <w:t>ia informaciją apie savo veiklą (Teismų įstatymo</w:t>
      </w:r>
      <w:r w:rsidR="00821B28">
        <w:rPr>
          <w:rFonts w:ascii="Times New Roman" w:hAnsi="Times New Roman" w:cs="Times New Roman"/>
          <w:sz w:val="24"/>
          <w:szCs w:val="24"/>
        </w:rPr>
        <w:t xml:space="preserve"> 31 straipsnio 3 ir 4 dalys). </w:t>
      </w:r>
      <w:r w:rsidR="008C7099" w:rsidRPr="00FF22CC">
        <w:rPr>
          <w:rFonts w:ascii="Times New Roman" w:eastAsia="Calibri" w:hAnsi="Times New Roman" w:cs="Times New Roman"/>
          <w:sz w:val="24"/>
          <w:szCs w:val="24"/>
        </w:rPr>
        <w:t xml:space="preserve">Pagal </w:t>
      </w:r>
      <w:r w:rsidR="008C7099" w:rsidRPr="00FF22CC">
        <w:rPr>
          <w:rFonts w:ascii="Times New Roman" w:hAnsi="Times New Roman" w:cs="Times New Roman"/>
          <w:sz w:val="24"/>
          <w:szCs w:val="24"/>
        </w:rPr>
        <w:t xml:space="preserve">CPK 4 straipsnį, </w:t>
      </w:r>
      <w:r w:rsidR="00FF22CC">
        <w:rPr>
          <w:rStyle w:val="app-text--selectable"/>
          <w:rFonts w:ascii="Times New Roman" w:hAnsi="Times New Roman" w:cs="Times New Roman"/>
          <w:sz w:val="24"/>
          <w:szCs w:val="24"/>
        </w:rPr>
        <w:t>v</w:t>
      </w:r>
      <w:r w:rsidRPr="00FF22CC">
        <w:rPr>
          <w:rStyle w:val="app-text--selectable"/>
          <w:rFonts w:ascii="Times New Roman" w:hAnsi="Times New Roman" w:cs="Times New Roman"/>
          <w:sz w:val="24"/>
          <w:szCs w:val="24"/>
        </w:rPr>
        <w:t>ienodos teismų praktikos formavimą įstatymų nustatyta tvarka užtikrina Lietuvos Aukščiausiasis Teismas.</w:t>
      </w:r>
      <w:r w:rsidR="00D3389A" w:rsidRPr="00FF22CC">
        <w:rPr>
          <w:rStyle w:val="app-text--selectable"/>
          <w:rFonts w:ascii="Times New Roman" w:hAnsi="Times New Roman" w:cs="Times New Roman"/>
          <w:sz w:val="24"/>
          <w:szCs w:val="24"/>
        </w:rPr>
        <w:t xml:space="preserve"> Pagal ABTĮ 15 straipsnio 1 dalį</w:t>
      </w:r>
      <w:r w:rsidR="008C7099" w:rsidRPr="00FF22CC">
        <w:rPr>
          <w:rStyle w:val="app-text--selectable"/>
          <w:rFonts w:ascii="Times New Roman" w:hAnsi="Times New Roman" w:cs="Times New Roman"/>
          <w:sz w:val="24"/>
          <w:szCs w:val="24"/>
        </w:rPr>
        <w:t>,</w:t>
      </w:r>
      <w:r w:rsidR="00D3389A" w:rsidRPr="00FF22CC">
        <w:rPr>
          <w:rFonts w:ascii="Times New Roman" w:hAnsi="Times New Roman" w:cs="Times New Roman"/>
          <w:sz w:val="24"/>
          <w:szCs w:val="24"/>
        </w:rPr>
        <w:t xml:space="preserve"> v</w:t>
      </w:r>
      <w:r w:rsidRPr="00FF22CC">
        <w:rPr>
          <w:rFonts w:ascii="Times New Roman" w:hAnsi="Times New Roman" w:cs="Times New Roman"/>
          <w:sz w:val="24"/>
          <w:szCs w:val="24"/>
        </w:rPr>
        <w:t>ienodą administracinių teismų praktiką aiškinant ir taikant įstatymus bei kitus teisės aktus formuoja Lietuvos vyriausiasis administracinis teismas.</w:t>
      </w:r>
      <w:r w:rsidR="008C7099" w:rsidRPr="00FF22CC">
        <w:rPr>
          <w:rFonts w:ascii="Times New Roman" w:hAnsi="Times New Roman" w:cs="Times New Roman"/>
          <w:sz w:val="24"/>
          <w:szCs w:val="24"/>
        </w:rPr>
        <w:t xml:space="preserve"> </w:t>
      </w:r>
      <w:r w:rsidR="00D3389A" w:rsidRPr="00FF22CC">
        <w:rPr>
          <w:rFonts w:ascii="Times New Roman" w:hAnsi="Times New Roman" w:cs="Times New Roman"/>
          <w:sz w:val="24"/>
          <w:szCs w:val="24"/>
        </w:rPr>
        <w:t>Taigi, Teismų įstatymo,</w:t>
      </w:r>
      <w:r w:rsidR="008C7099" w:rsidRPr="00FF22CC">
        <w:rPr>
          <w:rFonts w:ascii="Times New Roman" w:hAnsi="Times New Roman" w:cs="Times New Roman"/>
          <w:sz w:val="24"/>
          <w:szCs w:val="24"/>
        </w:rPr>
        <w:t xml:space="preserve"> CPK ir ABTĮ nuostatos reiškia, kad teismų kuriami precedentai </w:t>
      </w:r>
      <w:r w:rsidR="00B84CA0" w:rsidRPr="00FF22CC">
        <w:rPr>
          <w:rFonts w:ascii="Times New Roman" w:hAnsi="Times New Roman" w:cs="Times New Roman"/>
          <w:sz w:val="24"/>
          <w:szCs w:val="24"/>
        </w:rPr>
        <w:t xml:space="preserve">ir numatoma pareiga jais vadovautis </w:t>
      </w:r>
      <w:r w:rsidR="008C7099" w:rsidRPr="00FF22CC">
        <w:rPr>
          <w:rFonts w:ascii="Times New Roman" w:hAnsi="Times New Roman" w:cs="Times New Roman"/>
          <w:sz w:val="24"/>
          <w:szCs w:val="24"/>
        </w:rPr>
        <w:t>užtikrina teisės aiškinimo ir taikym</w:t>
      </w:r>
      <w:r w:rsidR="00677620" w:rsidRPr="00FF22CC">
        <w:rPr>
          <w:rFonts w:ascii="Times New Roman" w:hAnsi="Times New Roman" w:cs="Times New Roman"/>
          <w:sz w:val="24"/>
          <w:szCs w:val="24"/>
        </w:rPr>
        <w:t>o</w:t>
      </w:r>
      <w:r w:rsidR="008C7099" w:rsidRPr="00FF22CC">
        <w:rPr>
          <w:rFonts w:ascii="Times New Roman" w:hAnsi="Times New Roman" w:cs="Times New Roman"/>
          <w:sz w:val="24"/>
          <w:szCs w:val="24"/>
        </w:rPr>
        <w:t xml:space="preserve"> vienodumą</w:t>
      </w:r>
      <w:r w:rsidR="00B84CA0" w:rsidRPr="00FF22CC">
        <w:rPr>
          <w:rFonts w:ascii="Times New Roman" w:hAnsi="Times New Roman" w:cs="Times New Roman"/>
          <w:sz w:val="24"/>
          <w:szCs w:val="24"/>
        </w:rPr>
        <w:t>. Į</w:t>
      </w:r>
      <w:r w:rsidR="00D3389A" w:rsidRPr="00FF22CC">
        <w:rPr>
          <w:rFonts w:ascii="Times New Roman" w:hAnsi="Times New Roman" w:cs="Times New Roman"/>
          <w:sz w:val="24"/>
          <w:szCs w:val="24"/>
        </w:rPr>
        <w:t xml:space="preserve">statymuose </w:t>
      </w:r>
      <w:r w:rsidR="00677620" w:rsidRPr="00FF22CC">
        <w:rPr>
          <w:rFonts w:ascii="Times New Roman" w:hAnsi="Times New Roman" w:cs="Times New Roman"/>
          <w:sz w:val="24"/>
          <w:szCs w:val="24"/>
        </w:rPr>
        <w:t>nepateikia</w:t>
      </w:r>
      <w:r w:rsidR="00D3389A" w:rsidRPr="00FF22CC">
        <w:rPr>
          <w:rFonts w:ascii="Times New Roman" w:hAnsi="Times New Roman" w:cs="Times New Roman"/>
          <w:sz w:val="24"/>
          <w:szCs w:val="24"/>
        </w:rPr>
        <w:t>ma</w:t>
      </w:r>
      <w:r w:rsidR="00677620" w:rsidRPr="00FF22CC">
        <w:rPr>
          <w:rFonts w:ascii="Times New Roman" w:hAnsi="Times New Roman" w:cs="Times New Roman"/>
          <w:sz w:val="24"/>
          <w:szCs w:val="24"/>
        </w:rPr>
        <w:t xml:space="preserve"> jokių nuorodų apie </w:t>
      </w:r>
      <w:r w:rsidR="00B84CA0" w:rsidRPr="00FF22CC">
        <w:rPr>
          <w:rFonts w:ascii="Times New Roman" w:hAnsi="Times New Roman" w:cs="Times New Roman"/>
          <w:sz w:val="24"/>
          <w:szCs w:val="24"/>
        </w:rPr>
        <w:t xml:space="preserve">teismo </w:t>
      </w:r>
      <w:r w:rsidR="00677620" w:rsidRPr="00FF22CC">
        <w:rPr>
          <w:rFonts w:ascii="Times New Roman" w:hAnsi="Times New Roman" w:cs="Times New Roman"/>
          <w:sz w:val="24"/>
          <w:szCs w:val="24"/>
        </w:rPr>
        <w:t xml:space="preserve">precedento </w:t>
      </w:r>
      <w:r w:rsidR="00D3389A" w:rsidRPr="00FF22CC">
        <w:rPr>
          <w:rFonts w:ascii="Times New Roman" w:hAnsi="Times New Roman" w:cs="Times New Roman"/>
          <w:sz w:val="24"/>
          <w:szCs w:val="24"/>
        </w:rPr>
        <w:t>privalomumą, priklausomai nuo jo sukūrimo laiko, naujo precedento formulavimą, atsižvelgiant vien į ankstesnio precedento sukūrimo laiko faktorių.</w:t>
      </w:r>
      <w:r w:rsidR="00677620" w:rsidRPr="00FF22CC">
        <w:rPr>
          <w:rFonts w:ascii="Times New Roman" w:hAnsi="Times New Roman" w:cs="Times New Roman"/>
          <w:sz w:val="24"/>
          <w:szCs w:val="24"/>
        </w:rPr>
        <w:t xml:space="preserve"> Toks teisinis reglamentavimas, mūsų nuomone, yra tikslingas.</w:t>
      </w:r>
    </w:p>
    <w:p w:rsidR="00677620" w:rsidRPr="00FF22CC" w:rsidRDefault="006227DA" w:rsidP="006227DA">
      <w:pPr>
        <w:spacing w:after="0" w:line="360" w:lineRule="auto"/>
        <w:ind w:firstLine="851"/>
        <w:jc w:val="both"/>
        <w:rPr>
          <w:rFonts w:ascii="Times New Roman" w:hAnsi="Times New Roman" w:cs="Times New Roman"/>
          <w:sz w:val="24"/>
          <w:szCs w:val="24"/>
        </w:rPr>
      </w:pPr>
      <w:r w:rsidRPr="00FF22CC">
        <w:rPr>
          <w:rFonts w:ascii="Times New Roman" w:hAnsi="Times New Roman" w:cs="Times New Roman"/>
          <w:sz w:val="24"/>
          <w:szCs w:val="24"/>
        </w:rPr>
        <w:t xml:space="preserve">Bendrąja prasme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 tai konkrečioje byloje teismo suformuluota teisės aiškinimo taisyklė, kurios viena taikymo sąlygų yra aplinkybė, kad ši taisyklė buvo sukurta sprendžiant tapatų ginčą, t. y.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kaip teisės aiškinimo taisyklė taikomas tik tose bylose, kurių faktinės aplinkybės yra tapačios arba labai panašios į tos bylos, kurioje buvo sukurtas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faktines aplinkybes ir kurioms turi būti taikoma ta pati teisė, kaip toje byloje, kurioje buvo sukurtas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Kasacinis teismas nuosekliai pabrėžia teismų pareigą laikytis savo pačių ar aukštesnės instancijos teismų analogiškose ar iš esmės panašiose bylose sukurtų precedentų, taip užtikrinant teismų praktikos nuoseklumą ir nuspėjamumą. Kasacinis teismas yra nurodęs, kad vienoje byloje priimtas įsiteisėjęs teismo sprendimas kaip teismo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gali būti taikomas kitoje byloje tik tada, kai pastarosios nagrinėjamos bylos esminės faktinės aplinkybės, lemiančios tos pačios teisės taikymą, yra tapačios arba iš esmės panašios kaip toje byloje, kurioje buvo sukurtas </w:t>
      </w:r>
      <w:r w:rsidRPr="00FF22CC">
        <w:rPr>
          <w:rStyle w:val="bkg-highlight-red"/>
          <w:rFonts w:ascii="Times New Roman" w:hAnsi="Times New Roman" w:cs="Times New Roman"/>
          <w:sz w:val="24"/>
          <w:szCs w:val="24"/>
        </w:rPr>
        <w:t>precedentas</w:t>
      </w:r>
      <w:r w:rsidRPr="00FF22CC">
        <w:rPr>
          <w:rFonts w:ascii="Times New Roman" w:hAnsi="Times New Roman" w:cs="Times New Roman"/>
          <w:sz w:val="24"/>
          <w:szCs w:val="24"/>
        </w:rPr>
        <w:t xml:space="preserve">. Tam, kad būtų teisinis pagrindas atsižvelgti į ankstesnėse bylose suformuluotas teisės aiškinimo ir taikymo taisykles, nebūtina, kad visiškai sutaptų gretinamų bylų faktinių aplinkybių visuma, o pakanka, kad būtų tapačios arba esminių panašumų turėtų būtent tos aplinkybės, kurios buvo suformuluotų teisės aiškinimo ir taikymo taisyklių </w:t>
      </w:r>
      <w:r w:rsidRPr="00FF22CC">
        <w:rPr>
          <w:rFonts w:ascii="Times New Roman" w:hAnsi="Times New Roman" w:cs="Times New Roman"/>
          <w:i/>
          <w:sz w:val="24"/>
          <w:szCs w:val="24"/>
        </w:rPr>
        <w:t>ratio decidendi</w:t>
      </w:r>
      <w:r w:rsidRPr="00FF22CC">
        <w:rPr>
          <w:rFonts w:ascii="Times New Roman" w:hAnsi="Times New Roman" w:cs="Times New Roman"/>
          <w:sz w:val="24"/>
          <w:szCs w:val="24"/>
        </w:rPr>
        <w:t xml:space="preserve"> (argumentas, kuriuo grindžiamas sprendimas), t. y. kad būtų tapačios arba esminių panašumų turėtų (tik) tos teisiškai reikšmingos aplinkybės, kurių pagrindu ir buvo suformuluota atitinkama taisyklė. Tuo tarpu tapatumo arba esminio panašumo reikalavimai netaikytini toms teisiškai nereikšmingoms bylos aplinkybėms, kurios </w:t>
      </w:r>
      <w:r w:rsidRPr="00FF22CC">
        <w:rPr>
          <w:rFonts w:ascii="Times New Roman" w:hAnsi="Times New Roman" w:cs="Times New Roman"/>
          <w:sz w:val="24"/>
          <w:szCs w:val="24"/>
        </w:rPr>
        <w:lastRenderedPageBreak/>
        <w:t xml:space="preserve">neturėjo teisinės reikšmės ir (arba) įtakos formuluojant atitinkamą teisės aiškinimo ir taikymo taisyklę (žr., pvz., Lietuvos Aukščiausiojo Teismo 2025 m. kovo 28 d. nutarties civilinėje </w:t>
      </w:r>
      <w:r w:rsidR="00B84CA0" w:rsidRPr="00FF22CC">
        <w:rPr>
          <w:rFonts w:ascii="Times New Roman" w:hAnsi="Times New Roman" w:cs="Times New Roman"/>
          <w:sz w:val="24"/>
          <w:szCs w:val="24"/>
        </w:rPr>
        <w:t xml:space="preserve">byloje Nr. e3K-3-66-403/2025 41 </w:t>
      </w:r>
      <w:r w:rsidRPr="00FF22CC">
        <w:rPr>
          <w:rFonts w:ascii="Times New Roman" w:hAnsi="Times New Roman" w:cs="Times New Roman"/>
          <w:sz w:val="24"/>
          <w:szCs w:val="24"/>
        </w:rPr>
        <w:t>punktą ir jame nurodytą kasacinio teismo praktiką).</w:t>
      </w:r>
      <w:r w:rsidR="00677620" w:rsidRPr="00FF22CC">
        <w:rPr>
          <w:rFonts w:ascii="Times New Roman" w:hAnsi="Times New Roman" w:cs="Times New Roman"/>
          <w:sz w:val="24"/>
          <w:szCs w:val="24"/>
        </w:rPr>
        <w:t xml:space="preserve"> Taigi, galimos ir situacijos, kada byla, kurioje suformuluota teisės aiškinimo taisyklė, yra vienintelė naujos bylos, kurioje esminės fa</w:t>
      </w:r>
      <w:r w:rsidR="00B84CA0" w:rsidRPr="00FF22CC">
        <w:rPr>
          <w:rFonts w:ascii="Times New Roman" w:hAnsi="Times New Roman" w:cs="Times New Roman"/>
          <w:sz w:val="24"/>
          <w:szCs w:val="24"/>
        </w:rPr>
        <w:t xml:space="preserve">ktinės aplinkybės yra iš esmės panašios į faktines aplinkybes pirminėje byloje, atžvilgiu, tačiau abi bylas </w:t>
      </w:r>
      <w:r w:rsidR="00677620" w:rsidRPr="00FF22CC">
        <w:rPr>
          <w:rFonts w:ascii="Times New Roman" w:hAnsi="Times New Roman" w:cs="Times New Roman"/>
          <w:sz w:val="24"/>
          <w:szCs w:val="24"/>
        </w:rPr>
        <w:t xml:space="preserve">skiria didelis laiko tarpas, ir taip pat </w:t>
      </w:r>
      <w:r w:rsidR="00821B28">
        <w:rPr>
          <w:rFonts w:ascii="Times New Roman" w:hAnsi="Times New Roman" w:cs="Times New Roman"/>
          <w:sz w:val="24"/>
          <w:szCs w:val="24"/>
        </w:rPr>
        <w:t xml:space="preserve">galimi </w:t>
      </w:r>
      <w:r w:rsidR="00677620" w:rsidRPr="00FF22CC">
        <w:rPr>
          <w:rFonts w:ascii="Times New Roman" w:hAnsi="Times New Roman" w:cs="Times New Roman"/>
          <w:sz w:val="24"/>
          <w:szCs w:val="24"/>
        </w:rPr>
        <w:t xml:space="preserve">atvejai, kada yra daug bylų, kuriose suformuluotos teisės aiškinimo taisyklės yra analogiškos, </w:t>
      </w:r>
      <w:r w:rsidR="00B84CA0" w:rsidRPr="00FF22CC">
        <w:rPr>
          <w:rFonts w:ascii="Times New Roman" w:hAnsi="Times New Roman" w:cs="Times New Roman"/>
          <w:sz w:val="24"/>
          <w:szCs w:val="24"/>
        </w:rPr>
        <w:t xml:space="preserve">jų esminės faktinės aplinkybės yra </w:t>
      </w:r>
      <w:r w:rsidR="00BD7D91" w:rsidRPr="00FF22CC">
        <w:rPr>
          <w:rFonts w:ascii="Times New Roman" w:hAnsi="Times New Roman" w:cs="Times New Roman"/>
          <w:sz w:val="24"/>
          <w:szCs w:val="24"/>
        </w:rPr>
        <w:t xml:space="preserve">iš esmės panašios, lyginant su naujoje byloje esančiomis faktinėmis aplinkybėmis, </w:t>
      </w:r>
      <w:r w:rsidR="00677620" w:rsidRPr="00FF22CC">
        <w:rPr>
          <w:rFonts w:ascii="Times New Roman" w:hAnsi="Times New Roman" w:cs="Times New Roman"/>
          <w:sz w:val="24"/>
          <w:szCs w:val="24"/>
        </w:rPr>
        <w:t xml:space="preserve">tačiau tarp pirmosios ir nagrinėjamosios bylos yra didelis laiko tarpas, nors tarp kitų </w:t>
      </w:r>
      <w:r w:rsidR="00665CDC" w:rsidRPr="00FF22CC">
        <w:rPr>
          <w:rFonts w:ascii="Times New Roman" w:hAnsi="Times New Roman" w:cs="Times New Roman"/>
          <w:sz w:val="24"/>
          <w:szCs w:val="24"/>
        </w:rPr>
        <w:t xml:space="preserve">bylose priimtų sprendimų </w:t>
      </w:r>
      <w:r w:rsidR="00677620" w:rsidRPr="00FF22CC">
        <w:rPr>
          <w:rFonts w:ascii="Times New Roman" w:hAnsi="Times New Roman" w:cs="Times New Roman"/>
          <w:sz w:val="24"/>
          <w:szCs w:val="24"/>
        </w:rPr>
        <w:t xml:space="preserve">gali būti ir, pvz., Pareiškėjo peticijoje minimas laikotarpis. </w:t>
      </w:r>
      <w:r w:rsidR="00BD7D91" w:rsidRPr="00FF22CC">
        <w:rPr>
          <w:rFonts w:ascii="Times New Roman" w:hAnsi="Times New Roman" w:cs="Times New Roman"/>
          <w:sz w:val="24"/>
          <w:szCs w:val="24"/>
        </w:rPr>
        <w:t xml:space="preserve">Abiem atvejais, </w:t>
      </w:r>
      <w:r w:rsidR="00665CDC" w:rsidRPr="00FF22CC">
        <w:rPr>
          <w:rFonts w:ascii="Times New Roman" w:hAnsi="Times New Roman" w:cs="Times New Roman"/>
          <w:sz w:val="24"/>
          <w:szCs w:val="24"/>
        </w:rPr>
        <w:t xml:space="preserve">įtvirtinus Pareiškėjo siūlomą taisyklę, būtų paneigiama precedento reikšmė, </w:t>
      </w:r>
      <w:r w:rsidR="00821B28">
        <w:rPr>
          <w:rFonts w:ascii="Times New Roman" w:hAnsi="Times New Roman" w:cs="Times New Roman"/>
          <w:sz w:val="24"/>
          <w:szCs w:val="24"/>
        </w:rPr>
        <w:t xml:space="preserve">precedento vystymosi nuoseklumas, </w:t>
      </w:r>
      <w:r w:rsidR="00665CDC" w:rsidRPr="00FF22CC">
        <w:rPr>
          <w:rFonts w:ascii="Times New Roman" w:hAnsi="Times New Roman" w:cs="Times New Roman"/>
          <w:sz w:val="24"/>
          <w:szCs w:val="24"/>
        </w:rPr>
        <w:t>naujo precedento</w:t>
      </w:r>
      <w:r w:rsidR="00923A85" w:rsidRPr="00FF22CC">
        <w:rPr>
          <w:rFonts w:ascii="Times New Roman" w:hAnsi="Times New Roman" w:cs="Times New Roman"/>
          <w:sz w:val="24"/>
          <w:szCs w:val="24"/>
        </w:rPr>
        <w:t xml:space="preserve"> formulavimo kriterijai.</w:t>
      </w:r>
    </w:p>
    <w:p w:rsidR="00350467" w:rsidRPr="00FF22CC" w:rsidRDefault="001C3A91" w:rsidP="00350467">
      <w:pPr>
        <w:spacing w:after="0" w:line="360" w:lineRule="auto"/>
        <w:ind w:firstLine="851"/>
        <w:jc w:val="both"/>
        <w:rPr>
          <w:rFonts w:ascii="Times New Roman" w:hAnsi="Times New Roman" w:cs="Times New Roman"/>
          <w:i/>
          <w:color w:val="000000"/>
          <w:sz w:val="24"/>
          <w:szCs w:val="24"/>
        </w:rPr>
      </w:pPr>
      <w:r w:rsidRPr="00FF22CC">
        <w:rPr>
          <w:rFonts w:ascii="Times New Roman" w:hAnsi="Times New Roman" w:cs="Times New Roman"/>
          <w:sz w:val="24"/>
          <w:szCs w:val="24"/>
        </w:rPr>
        <w:t>Konstitucinis Teismas savo 2006 m. kovo 28 d. nutarime pažymėjo, kad</w:t>
      </w:r>
      <w:r w:rsidRPr="00FF22CC">
        <w:rPr>
          <w:rFonts w:ascii="Times New Roman" w:hAnsi="Times New Roman" w:cs="Times New Roman"/>
          <w:color w:val="000000"/>
          <w:sz w:val="24"/>
          <w:szCs w:val="24"/>
        </w:rPr>
        <w:t xml:space="preserve"> </w:t>
      </w:r>
      <w:r w:rsidR="00665CDC" w:rsidRPr="00FF22CC">
        <w:rPr>
          <w:rFonts w:ascii="Times New Roman" w:hAnsi="Times New Roman" w:cs="Times New Roman"/>
          <w:i/>
          <w:color w:val="000000"/>
          <w:sz w:val="24"/>
          <w:szCs w:val="24"/>
        </w:rPr>
        <w:t>k</w:t>
      </w:r>
      <w:r w:rsidRPr="00FF22CC">
        <w:rPr>
          <w:rFonts w:ascii="Times New Roman" w:hAnsi="Times New Roman" w:cs="Times New Roman"/>
          <w:i/>
          <w:color w:val="000000"/>
          <w:sz w:val="24"/>
          <w:szCs w:val="24"/>
        </w:rPr>
        <w:t>onstitucinis teisinės valstybės principas suponuoja jurisprudencijos tęstinumą.</w:t>
      </w:r>
      <w:r w:rsidRPr="00FF22CC">
        <w:rPr>
          <w:rFonts w:ascii="Times New Roman" w:hAnsi="Times New Roman" w:cs="Times New Roman"/>
          <w:color w:val="000000"/>
          <w:sz w:val="24"/>
          <w:szCs w:val="24"/>
        </w:rPr>
        <w:t xml:space="preserve"> Konstitucijoje įtvirtinta bendrosios kompetencijos teismų instancinė sistema turi funkcionuoti taip, kad būtų sudarytos prielaidos formuotis vienodai (nuosekliai, neprieštaringai) bendrosios kompetencijos teismų praktikai – būtent tokiai, kuri būtų grindžiama su Konstitucijoje įtvirtintais teisinės valstybės, teisingumo, asmenų lygybės teismui principais (bei kitais konstituciniais principais) neatskiriamai susijusia ir iš jų kylančia maksima, kad tokios pat (analogiškos) bylos turi būti sprendžiamos taip pat, t. y. jos turi būti sprendžiamos ne sukuriant naujus teismo precedentus, konkuruojančius su esamais, bet paisant jau įtvirtintų. </w:t>
      </w:r>
      <w:r w:rsidRPr="00FF22CC">
        <w:rPr>
          <w:rFonts w:ascii="Times New Roman" w:hAnsi="Times New Roman" w:cs="Times New Roman"/>
          <w:i/>
          <w:color w:val="000000"/>
          <w:sz w:val="24"/>
          <w:szCs w:val="24"/>
        </w:rPr>
        <w:t>Iš Konstitucijos kylančios maksimos, kad tokios pat (analogiškos) bylos turi būti sprendžiamos taip pat, nepaisymas reikštų ir Konstitucijos nuostatų dėl teisingumo vykdymo, konstitucinių teisinės valstybės, teisingumo, asmenų lygybės teismui principų, kitų konstitucinių principų nepaisymą.</w:t>
      </w:r>
      <w:r w:rsidRPr="00FF22CC">
        <w:rPr>
          <w:rFonts w:ascii="Times New Roman" w:hAnsi="Times New Roman" w:cs="Times New Roman"/>
          <w:color w:val="000000"/>
          <w:sz w:val="24"/>
          <w:szCs w:val="24"/>
        </w:rPr>
        <w:t xml:space="preserve"> </w:t>
      </w:r>
      <w:r w:rsidRPr="00FF22CC">
        <w:rPr>
          <w:rFonts w:ascii="Times New Roman" w:hAnsi="Times New Roman" w:cs="Times New Roman"/>
          <w:i/>
          <w:color w:val="000000"/>
          <w:sz w:val="24"/>
          <w:szCs w:val="24"/>
        </w:rPr>
        <w:t xml:space="preserve">Bendrosios kompetencijos teismų praktika atitinkamų kategorijų bylose turi būti koreguojama ir nauji teismo precedentai tų kategorijų bylose gali būti kuriami tik tada, kai tai yra neišvengiamai, objektyviai būtina, konstituciškai pagrindžiama ir pateisinama. Toks bendrosios kompetencijos teismų praktikos koregavimas (nukrypimas nuo teismus ligi tol saisčiusių ankstesnių precedentų ir naujų precedentų kūrimas) visais atvejais turi būti deramai (aiškiai ir racionaliai) argumentuojamas atitinkamuose bendrosios kompetencijos teismų sprendimuose. Nei naujų teismo precedentų kūrimas, nei teismo precedentų argumentavimas (pagrindimas) negali būti tokie valiniai aktai, kurie nėra racionaliai teisiškai motyvuoti. Jokio naujo teismo precedento sukūrimo ar argumentavimo negali lemti atsitiktiniai (teisės atžvilgiu) veiksniai. </w:t>
      </w:r>
    </w:p>
    <w:p w:rsidR="00350467" w:rsidRPr="00FF22CC" w:rsidRDefault="00350467" w:rsidP="00350467">
      <w:pPr>
        <w:spacing w:after="0" w:line="360" w:lineRule="auto"/>
        <w:ind w:firstLine="851"/>
        <w:jc w:val="both"/>
        <w:rPr>
          <w:rFonts w:ascii="Times New Roman" w:hAnsi="Times New Roman" w:cs="Times New Roman"/>
          <w:sz w:val="24"/>
          <w:szCs w:val="24"/>
        </w:rPr>
      </w:pPr>
      <w:r w:rsidRPr="00FF22CC">
        <w:rPr>
          <w:rFonts w:ascii="Times New Roman" w:hAnsi="Times New Roman" w:cs="Times New Roman"/>
          <w:color w:val="000000"/>
          <w:sz w:val="24"/>
          <w:szCs w:val="24"/>
        </w:rPr>
        <w:t xml:space="preserve">Taigi, atitinkamas precedento sukūrimo laikas gali būti svarbus, tačiau ne vienintelis veiksnys, LAT ar LVAT sprendžiant dėl naujo precedento suformulavimo poreikio; Pareiškėjo siūlomos taisyklės įtvirtinimas reikštų teismų funkcijos vykdyti teisingumą apribojimą, nes </w:t>
      </w:r>
      <w:r w:rsidRPr="00FF22CC">
        <w:rPr>
          <w:rFonts w:ascii="Times New Roman" w:hAnsi="Times New Roman" w:cs="Times New Roman"/>
          <w:color w:val="000000"/>
          <w:sz w:val="24"/>
          <w:szCs w:val="24"/>
        </w:rPr>
        <w:lastRenderedPageBreak/>
        <w:t xml:space="preserve">rėmimasis precedentu priklausytų tik nuo vienintelio, tam tikru aspektu atsitiktinio, – precedento suformulavimo laiko – kriterijaus. </w:t>
      </w:r>
    </w:p>
    <w:p w:rsidR="006227DA" w:rsidRPr="00FF22CC" w:rsidRDefault="0014772C" w:rsidP="00350467">
      <w:pPr>
        <w:spacing w:after="0" w:line="360" w:lineRule="auto"/>
        <w:ind w:firstLine="851"/>
        <w:jc w:val="both"/>
        <w:rPr>
          <w:rFonts w:ascii="Times New Roman" w:hAnsi="Times New Roman" w:cs="Times New Roman"/>
          <w:i/>
          <w:sz w:val="24"/>
          <w:szCs w:val="24"/>
        </w:rPr>
      </w:pPr>
      <w:r w:rsidRPr="00FF22CC">
        <w:rPr>
          <w:rFonts w:ascii="Times New Roman" w:hAnsi="Times New Roman" w:cs="Times New Roman"/>
          <w:sz w:val="24"/>
          <w:szCs w:val="24"/>
        </w:rPr>
        <w:t xml:space="preserve">Konstitucinis Teismas savo 2007 m. </w:t>
      </w:r>
      <w:r w:rsidR="00923A85" w:rsidRPr="00FF22CC">
        <w:rPr>
          <w:rFonts w:ascii="Times New Roman" w:hAnsi="Times New Roman" w:cs="Times New Roman"/>
          <w:sz w:val="24"/>
          <w:szCs w:val="24"/>
        </w:rPr>
        <w:t xml:space="preserve">spalio 24 d. nutarime pažymėjo, </w:t>
      </w:r>
      <w:r w:rsidR="00923A85" w:rsidRPr="00FF22CC">
        <w:rPr>
          <w:rFonts w:ascii="Times New Roman" w:hAnsi="Times New Roman" w:cs="Times New Roman"/>
          <w:i/>
          <w:sz w:val="24"/>
          <w:szCs w:val="24"/>
        </w:rPr>
        <w:t>kad p</w:t>
      </w:r>
      <w:r w:rsidR="006227DA" w:rsidRPr="00FF22CC">
        <w:rPr>
          <w:rFonts w:ascii="Times New Roman" w:hAnsi="Times New Roman" w:cs="Times New Roman"/>
          <w:i/>
          <w:sz w:val="24"/>
          <w:szCs w:val="24"/>
        </w:rPr>
        <w:t xml:space="preserve">recedentų konkurencijos atveju (t. y. kai yra keli skirtingi analogiškose bylose priimti teismų sprendimai) turi būti vadovaujamasi aukštesnės instancijos (aukštesnės grandies) teismo sukurtu precedentu. Taip pat atsižvelgtina į precedento sukūrimo laiką ir į kitus turinčius reikšmės veiksnius, kaip antai: į tai, ar </w:t>
      </w:r>
      <w:r w:rsidR="006227DA" w:rsidRPr="00FF22CC">
        <w:rPr>
          <w:rStyle w:val="bkg-highlight-red"/>
          <w:rFonts w:ascii="Times New Roman" w:hAnsi="Times New Roman" w:cs="Times New Roman"/>
          <w:i/>
          <w:sz w:val="24"/>
          <w:szCs w:val="24"/>
        </w:rPr>
        <w:t>precedentas</w:t>
      </w:r>
      <w:r w:rsidR="006227DA" w:rsidRPr="00FF22CC">
        <w:rPr>
          <w:rFonts w:ascii="Times New Roman" w:hAnsi="Times New Roman" w:cs="Times New Roman"/>
          <w:i/>
          <w:sz w:val="24"/>
          <w:szCs w:val="24"/>
        </w:rPr>
        <w:t xml:space="preserve"> atspindi susiformavusią teismų praktiką, ar yra pavienis atvejis; į sprendimo argumentacijos įtikinamumą; į sprendimą priėmusio teismo sudėtį (į tai, ar sprendimą priėmė vienas teisėjas, ar teisėjų kolegija, ar išplėstinė teisėjų kolegija, ar visa teismo (jo skyriaus) sudėtis); į tai, ar dėl ankstesnio teismo sprendimo buvo pareikšta teisėjų atskirųjų nuomonių; į galimus reikšmingus pokyčius (socialinius, ekonominius ir kt.), įvykusius priėmus precedento reikšmę turintį teismo sprendimą</w:t>
      </w:r>
      <w:r w:rsidRPr="00FF22CC">
        <w:rPr>
          <w:rFonts w:ascii="Times New Roman" w:hAnsi="Times New Roman" w:cs="Times New Roman"/>
          <w:i/>
          <w:sz w:val="24"/>
          <w:szCs w:val="24"/>
        </w:rPr>
        <w:t xml:space="preserve">, ir kt. </w:t>
      </w:r>
    </w:p>
    <w:p w:rsidR="00923A85" w:rsidRPr="00FF22CC" w:rsidRDefault="00923A85" w:rsidP="00350467">
      <w:pPr>
        <w:spacing w:after="0" w:line="360" w:lineRule="auto"/>
        <w:ind w:firstLine="851"/>
        <w:jc w:val="both"/>
        <w:rPr>
          <w:rFonts w:ascii="Times New Roman" w:hAnsi="Times New Roman" w:cs="Times New Roman"/>
          <w:sz w:val="24"/>
          <w:szCs w:val="24"/>
        </w:rPr>
      </w:pPr>
      <w:r w:rsidRPr="00FF22CC">
        <w:rPr>
          <w:rFonts w:ascii="Times New Roman" w:hAnsi="Times New Roman" w:cs="Times New Roman"/>
          <w:sz w:val="24"/>
          <w:szCs w:val="24"/>
        </w:rPr>
        <w:t>Iš Konstitucinio Teismo jurisprudencijos</w:t>
      </w:r>
      <w:r w:rsidR="001F1C33" w:rsidRPr="00FF22CC">
        <w:rPr>
          <w:rFonts w:ascii="Times New Roman" w:hAnsi="Times New Roman" w:cs="Times New Roman"/>
          <w:sz w:val="24"/>
          <w:szCs w:val="24"/>
        </w:rPr>
        <w:t xml:space="preserve"> </w:t>
      </w:r>
      <w:r w:rsidRPr="00FF22CC">
        <w:rPr>
          <w:rFonts w:ascii="Times New Roman" w:hAnsi="Times New Roman" w:cs="Times New Roman"/>
          <w:sz w:val="24"/>
          <w:szCs w:val="24"/>
        </w:rPr>
        <w:t>matyti, kad precedento sukūrimo laikas taip pat gali būti svarbus, tačiau ne vienintelis kriterijus, sprendžiant precedentų konkurencijos įveikimo klausimą; Pareiškėjo siūlomos</w:t>
      </w:r>
      <w:r w:rsidR="00B50DD7">
        <w:rPr>
          <w:rFonts w:ascii="Times New Roman" w:hAnsi="Times New Roman" w:cs="Times New Roman"/>
          <w:sz w:val="24"/>
          <w:szCs w:val="24"/>
        </w:rPr>
        <w:t xml:space="preserve"> taisyklės įtvirtinimas</w:t>
      </w:r>
      <w:r w:rsidRPr="00FF22CC">
        <w:rPr>
          <w:rFonts w:ascii="Times New Roman" w:hAnsi="Times New Roman" w:cs="Times New Roman"/>
          <w:sz w:val="24"/>
          <w:szCs w:val="24"/>
        </w:rPr>
        <w:t xml:space="preserve"> reikštų teismų funkcijos vykdyti teisingumą apribojimą ir tuo aspektu, kad minėta taisyklė iš esmės apribotų teismų galimybes spręsti precedentų konkurencijos klausimą.</w:t>
      </w:r>
    </w:p>
    <w:p w:rsidR="00923A85" w:rsidRPr="00FF22CC" w:rsidRDefault="00923A85" w:rsidP="00350467">
      <w:pPr>
        <w:spacing w:after="0" w:line="360" w:lineRule="auto"/>
        <w:ind w:firstLine="851"/>
        <w:jc w:val="both"/>
        <w:rPr>
          <w:rFonts w:ascii="Times New Roman" w:hAnsi="Times New Roman" w:cs="Times New Roman"/>
          <w:color w:val="000000"/>
          <w:sz w:val="24"/>
          <w:szCs w:val="24"/>
        </w:rPr>
      </w:pPr>
      <w:r w:rsidRPr="00FF22CC">
        <w:rPr>
          <w:rFonts w:ascii="Times New Roman" w:hAnsi="Times New Roman" w:cs="Times New Roman"/>
          <w:sz w:val="24"/>
          <w:szCs w:val="24"/>
        </w:rPr>
        <w:t xml:space="preserve">Atsižvelgiant į tai, kas išdėstyta, teikiame nuomonę, kad Pareiškėjo peticijoje siūlomas teisinis reguliavimas </w:t>
      </w:r>
      <w:r w:rsidR="00454683" w:rsidRPr="00FF22CC">
        <w:rPr>
          <w:rFonts w:ascii="Times New Roman" w:hAnsi="Times New Roman" w:cs="Times New Roman"/>
          <w:sz w:val="24"/>
          <w:szCs w:val="24"/>
        </w:rPr>
        <w:t>paneigtų precedent</w:t>
      </w:r>
      <w:r w:rsidR="00FF22CC">
        <w:rPr>
          <w:rFonts w:ascii="Times New Roman" w:hAnsi="Times New Roman" w:cs="Times New Roman"/>
          <w:sz w:val="24"/>
          <w:szCs w:val="24"/>
        </w:rPr>
        <w:t>o</w:t>
      </w:r>
      <w:r w:rsidR="00454683" w:rsidRPr="00FF22CC">
        <w:rPr>
          <w:rFonts w:ascii="Times New Roman" w:hAnsi="Times New Roman" w:cs="Times New Roman"/>
          <w:sz w:val="24"/>
          <w:szCs w:val="24"/>
        </w:rPr>
        <w:t xml:space="preserve"> sampratą ir reikšmę, naujo precedento formulavimo bei precedent</w:t>
      </w:r>
      <w:r w:rsidR="00FF22CC">
        <w:rPr>
          <w:rFonts w:ascii="Times New Roman" w:hAnsi="Times New Roman" w:cs="Times New Roman"/>
          <w:sz w:val="24"/>
          <w:szCs w:val="24"/>
        </w:rPr>
        <w:t>ų</w:t>
      </w:r>
      <w:r w:rsidR="00454683" w:rsidRPr="00FF22CC">
        <w:rPr>
          <w:rFonts w:ascii="Times New Roman" w:hAnsi="Times New Roman" w:cs="Times New Roman"/>
          <w:sz w:val="24"/>
          <w:szCs w:val="24"/>
        </w:rPr>
        <w:t xml:space="preserve"> konkurencijos įveikimo kriterijų sistemą, taip pat kiltų grėsmė pažeisti konstitucinį teisinės </w:t>
      </w:r>
      <w:r w:rsidR="00821B28">
        <w:rPr>
          <w:rFonts w:ascii="Times New Roman" w:hAnsi="Times New Roman" w:cs="Times New Roman"/>
          <w:sz w:val="24"/>
          <w:szCs w:val="24"/>
        </w:rPr>
        <w:t>v</w:t>
      </w:r>
      <w:r w:rsidR="00454683" w:rsidRPr="00FF22CC">
        <w:rPr>
          <w:rFonts w:ascii="Times New Roman" w:hAnsi="Times New Roman" w:cs="Times New Roman"/>
          <w:sz w:val="24"/>
          <w:szCs w:val="24"/>
        </w:rPr>
        <w:t>alstybės principą, suponuojantį teismų jurispr</w:t>
      </w:r>
      <w:r w:rsidR="00FF22CC">
        <w:rPr>
          <w:rFonts w:ascii="Times New Roman" w:hAnsi="Times New Roman" w:cs="Times New Roman"/>
          <w:sz w:val="24"/>
          <w:szCs w:val="24"/>
        </w:rPr>
        <w:t>u</w:t>
      </w:r>
      <w:r w:rsidR="00454683" w:rsidRPr="00FF22CC">
        <w:rPr>
          <w:rFonts w:ascii="Times New Roman" w:hAnsi="Times New Roman" w:cs="Times New Roman"/>
          <w:sz w:val="24"/>
          <w:szCs w:val="24"/>
        </w:rPr>
        <w:t xml:space="preserve">dencijos tęstinumą. Pareiškėjo peticijoje nurodomi argumentai nepagrindžia CPK 4 straipsnio ir ABTĮ 15 straipsnio 1 dalies pildymo Pareiškėjo nurodoma nuostata būtinumo. </w:t>
      </w:r>
    </w:p>
    <w:p w:rsidR="00CF5B93" w:rsidRPr="00FF22CC" w:rsidRDefault="00CF5B93" w:rsidP="00C078B7">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F5B93" w:rsidRPr="00FF22CC" w:rsidRDefault="00CF5B93"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F5B93" w:rsidRPr="00FF22CC" w:rsidRDefault="00CF5B93"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F5B93" w:rsidRPr="00FF22CC" w:rsidRDefault="00774A1A" w:rsidP="00CF5B93">
      <w:pPr>
        <w:spacing w:after="0" w:line="360" w:lineRule="auto"/>
        <w:jc w:val="both"/>
        <w:rPr>
          <w:rFonts w:ascii="Times New Roman" w:eastAsia="Times New Roman" w:hAnsi="Times New Roman" w:cs="Times New Roman"/>
          <w:color w:val="000000"/>
          <w:sz w:val="24"/>
          <w:szCs w:val="24"/>
          <w:lang w:eastAsia="lt-LT"/>
        </w:rPr>
      </w:pPr>
      <w:r w:rsidRPr="00FF22CC">
        <w:rPr>
          <w:rFonts w:ascii="Times New Roman" w:eastAsia="Times New Roman" w:hAnsi="Times New Roman" w:cs="Times New Roman"/>
          <w:color w:val="000000"/>
          <w:sz w:val="24"/>
          <w:szCs w:val="24"/>
        </w:rPr>
        <w:t>Departamento direktorius                                                                                                Dainius Zebleckis</w:t>
      </w:r>
    </w:p>
    <w:p w:rsidR="00CF5B93" w:rsidRPr="00FF22CC" w:rsidRDefault="00CF5B93"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F5B93" w:rsidRPr="00FF22CC" w:rsidRDefault="00CF5B93"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078B7" w:rsidRDefault="00C078B7"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821B28" w:rsidRDefault="00821B28"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821B28" w:rsidRDefault="00821B28"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821B28" w:rsidRPr="00FF22CC" w:rsidRDefault="00821B28" w:rsidP="00CF5B93">
      <w:pPr>
        <w:spacing w:after="0" w:line="360" w:lineRule="auto"/>
        <w:jc w:val="both"/>
        <w:textAlignment w:val="baseline"/>
        <w:rPr>
          <w:rFonts w:ascii="Times New Roman" w:eastAsia="Times New Roman" w:hAnsi="Times New Roman" w:cs="Times New Roman"/>
          <w:color w:val="000000"/>
          <w:sz w:val="24"/>
          <w:szCs w:val="24"/>
          <w:shd w:val="clear" w:color="auto" w:fill="FFFFFF"/>
          <w:lang w:eastAsia="lt-LT"/>
        </w:rPr>
      </w:pPr>
    </w:p>
    <w:p w:rsidR="00CF5B93" w:rsidRPr="00FF22CC" w:rsidRDefault="00CF5B93" w:rsidP="00CF5B93">
      <w:pPr>
        <w:tabs>
          <w:tab w:val="left" w:pos="993"/>
        </w:tabs>
        <w:spacing w:after="0" w:line="360" w:lineRule="auto"/>
        <w:jc w:val="both"/>
        <w:rPr>
          <w:rFonts w:ascii="Times New Roman" w:eastAsia="Times New Roman" w:hAnsi="Times New Roman" w:cs="Times New Roman"/>
          <w:color w:val="000000"/>
          <w:sz w:val="24"/>
          <w:szCs w:val="24"/>
          <w:lang w:eastAsia="lt-LT"/>
        </w:rPr>
      </w:pPr>
      <w:r w:rsidRPr="00FF22CC">
        <w:rPr>
          <w:rFonts w:ascii="Times New Roman" w:eastAsia="Times New Roman" w:hAnsi="Times New Roman" w:cs="Times New Roman"/>
          <w:color w:val="000000"/>
          <w:sz w:val="24"/>
          <w:szCs w:val="24"/>
          <w:lang w:eastAsia="lt-LT"/>
        </w:rPr>
        <w:t>K. Capel Cuevas, tel. (0 5)  209 6168, el. p. kristina.capel@lrs.lt</w:t>
      </w:r>
    </w:p>
    <w:p w:rsidR="0024146F" w:rsidRPr="00FF22CC" w:rsidRDefault="00774A1A" w:rsidP="00774A1A">
      <w:pPr>
        <w:spacing w:after="0" w:line="360" w:lineRule="auto"/>
        <w:jc w:val="both"/>
        <w:rPr>
          <w:rFonts w:ascii="Times New Roman" w:eastAsia="Times New Roman" w:hAnsi="Times New Roman" w:cs="Times New Roman"/>
          <w:sz w:val="24"/>
          <w:szCs w:val="24"/>
          <w:lang w:eastAsia="lt-LT"/>
        </w:rPr>
      </w:pPr>
      <w:r w:rsidRPr="00FF22CC">
        <w:rPr>
          <w:rFonts w:ascii="Times New Roman" w:eastAsia="Times New Roman" w:hAnsi="Times New Roman" w:cs="Times New Roman"/>
          <w:sz w:val="24"/>
          <w:szCs w:val="24"/>
        </w:rPr>
        <w:t>D. Šataitytė-Molienė, tel. (0 5)  209 6159, el. p. diana.sataityte@lrs.lt</w:t>
      </w:r>
    </w:p>
    <w:sectPr w:rsidR="0024146F" w:rsidRPr="00FF22CC" w:rsidSect="00350467">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1B28" w:rsidRDefault="00821B28" w:rsidP="00E95F5D">
      <w:pPr>
        <w:spacing w:after="0" w:line="240" w:lineRule="auto"/>
      </w:pPr>
      <w:r>
        <w:separator/>
      </w:r>
    </w:p>
  </w:endnote>
  <w:endnote w:type="continuationSeparator" w:id="0">
    <w:p w:rsidR="00821B28" w:rsidRDefault="00821B28" w:rsidP="00E95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1B28" w:rsidRDefault="00821B28" w:rsidP="00E95F5D">
      <w:pPr>
        <w:spacing w:after="0" w:line="240" w:lineRule="auto"/>
      </w:pPr>
      <w:r>
        <w:separator/>
      </w:r>
    </w:p>
  </w:footnote>
  <w:footnote w:type="continuationSeparator" w:id="0">
    <w:p w:rsidR="00821B28" w:rsidRDefault="00821B28" w:rsidP="00E95F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28" w:rsidRPr="00E95F5D" w:rsidRDefault="00821B28" w:rsidP="00350467">
    <w:pPr>
      <w:pStyle w:val="Antrats"/>
      <w:tabs>
        <w:tab w:val="clear" w:pos="4819"/>
      </w:tabs>
      <w:jc w:val="center"/>
      <w:rPr>
        <w:rFonts w:ascii="Times New Roman" w:hAnsi="Times New Roman" w:cs="Times New Roman"/>
        <w:sz w:val="24"/>
        <w:szCs w:val="24"/>
      </w:rPr>
    </w:pPr>
    <w:r w:rsidRPr="00E95F5D">
      <w:rPr>
        <w:rFonts w:ascii="Times New Roman" w:hAnsi="Times New Roman" w:cs="Times New Roman"/>
        <w:sz w:val="24"/>
        <w:szCs w:val="24"/>
      </w:rPr>
      <w:fldChar w:fldCharType="begin"/>
    </w:r>
    <w:r w:rsidRPr="00E95F5D">
      <w:rPr>
        <w:rFonts w:ascii="Times New Roman" w:hAnsi="Times New Roman" w:cs="Times New Roman"/>
        <w:sz w:val="24"/>
        <w:szCs w:val="24"/>
      </w:rPr>
      <w:instrText>PAGE   \* MERGEFORMAT</w:instrText>
    </w:r>
    <w:r w:rsidRPr="00E95F5D">
      <w:rPr>
        <w:rFonts w:ascii="Times New Roman" w:hAnsi="Times New Roman" w:cs="Times New Roman"/>
        <w:sz w:val="24"/>
        <w:szCs w:val="24"/>
      </w:rPr>
      <w:fldChar w:fldCharType="separate"/>
    </w:r>
    <w:r w:rsidR="002B1E55">
      <w:rPr>
        <w:rFonts w:ascii="Times New Roman" w:hAnsi="Times New Roman" w:cs="Times New Roman"/>
        <w:noProof/>
        <w:sz w:val="24"/>
        <w:szCs w:val="24"/>
      </w:rPr>
      <w:t>4</w:t>
    </w:r>
    <w:r w:rsidRPr="00E95F5D">
      <w:rPr>
        <w:rFonts w:ascii="Times New Roman" w:hAnsi="Times New Roman" w:cs="Times New Roman"/>
        <w:sz w:val="24"/>
        <w:szCs w:val="24"/>
      </w:rPr>
      <w:fldChar w:fldCharType="end"/>
    </w:r>
  </w:p>
  <w:p w:rsidR="00821B28" w:rsidRDefault="00821B2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B28" w:rsidRDefault="00821B28" w:rsidP="00350467">
    <w:pPr>
      <w:pStyle w:val="Antrats"/>
      <w:tabs>
        <w:tab w:val="clear" w:pos="4819"/>
        <w:tab w:val="clear"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B93"/>
    <w:rsid w:val="000C6287"/>
    <w:rsid w:val="0014772C"/>
    <w:rsid w:val="001C3A91"/>
    <w:rsid w:val="001F1C33"/>
    <w:rsid w:val="0024146F"/>
    <w:rsid w:val="002B1E55"/>
    <w:rsid w:val="00350467"/>
    <w:rsid w:val="003D4E53"/>
    <w:rsid w:val="00454683"/>
    <w:rsid w:val="00492BFA"/>
    <w:rsid w:val="006227DA"/>
    <w:rsid w:val="00665CDC"/>
    <w:rsid w:val="00677620"/>
    <w:rsid w:val="00734270"/>
    <w:rsid w:val="00774A1A"/>
    <w:rsid w:val="00821B28"/>
    <w:rsid w:val="008C7099"/>
    <w:rsid w:val="00923A85"/>
    <w:rsid w:val="00B50DD7"/>
    <w:rsid w:val="00B84CA0"/>
    <w:rsid w:val="00BD7D91"/>
    <w:rsid w:val="00C078B7"/>
    <w:rsid w:val="00C26DFA"/>
    <w:rsid w:val="00CF5B93"/>
    <w:rsid w:val="00D3389A"/>
    <w:rsid w:val="00E95F5D"/>
    <w:rsid w:val="00EE7FB6"/>
    <w:rsid w:val="00FF22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CB4BC9-7547-4D83-9AA5-FAEFF1DDC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CF5B9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F5B93"/>
  </w:style>
  <w:style w:type="paragraph" w:customStyle="1" w:styleId="taltipfb">
    <w:name w:val="taltipfb"/>
    <w:basedOn w:val="prastasis"/>
    <w:rsid w:val="006227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rtip">
    <w:name w:val="tartip"/>
    <w:basedOn w:val="prastasis"/>
    <w:rsid w:val="006227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6227DA"/>
    <w:rPr>
      <w:color w:val="0000FF"/>
      <w:u w:val="single"/>
    </w:rPr>
  </w:style>
  <w:style w:type="paragraph" w:customStyle="1" w:styleId="tajtip">
    <w:name w:val="tajtip"/>
    <w:basedOn w:val="prastasis"/>
    <w:rsid w:val="006227DA"/>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n">
    <w:name w:val="n"/>
    <w:basedOn w:val="prastasis"/>
    <w:rsid w:val="006227DA"/>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text--selectable">
    <w:name w:val="app-text--selectable"/>
    <w:basedOn w:val="Numatytasispastraiposriftas"/>
    <w:rsid w:val="006227DA"/>
  </w:style>
  <w:style w:type="character" w:customStyle="1" w:styleId="bkg-highlight-red">
    <w:name w:val="bkg-highlight-red"/>
    <w:basedOn w:val="Numatytasispastraiposriftas"/>
    <w:rsid w:val="006227DA"/>
  </w:style>
  <w:style w:type="paragraph" w:styleId="Porat">
    <w:name w:val="footer"/>
    <w:basedOn w:val="prastasis"/>
    <w:link w:val="PoratDiagrama"/>
    <w:uiPriority w:val="99"/>
    <w:unhideWhenUsed/>
    <w:rsid w:val="00E95F5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95F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Z6YWEJNPDQQR-896559167-636</_dlc_DocId>
    <_dlc_DocIdUrl xmlns="28130d43-1b56-4a10-ad88-2cd38123f4c1">
      <Url>https://intranetas.lrs.lt/29/_layouts/15/DocIdRedir.aspx?ID=Z6YWEJNPDQQR-896559167-636</Url>
      <Description>Z6YWEJNPDQQR-896559167-636</Description>
    </_dlc_DocIdUrl>
  </documentManagement>
</p:properties>
</file>

<file path=customXml/itemProps1.xml><?xml version="1.0" encoding="utf-8"?>
<ds:datastoreItem xmlns:ds="http://schemas.openxmlformats.org/officeDocument/2006/customXml" ds:itemID="{2881612A-3805-4547-B70F-7EA5B0467977}"/>
</file>

<file path=customXml/itemProps2.xml><?xml version="1.0" encoding="utf-8"?>
<ds:datastoreItem xmlns:ds="http://schemas.openxmlformats.org/officeDocument/2006/customXml" ds:itemID="{0265F4B3-C869-4209-A6B7-FFCA98E4829A}"/>
</file>

<file path=customXml/itemProps3.xml><?xml version="1.0" encoding="utf-8"?>
<ds:datastoreItem xmlns:ds="http://schemas.openxmlformats.org/officeDocument/2006/customXml" ds:itemID="{6A8EC235-914C-4675-9E94-1B9F02D9475A}"/>
</file>

<file path=customXml/itemProps4.xml><?xml version="1.0" encoding="utf-8"?>
<ds:datastoreItem xmlns:ds="http://schemas.openxmlformats.org/officeDocument/2006/customXml" ds:itemID="{D498104C-81E4-4AA2-AEFE-8C06BF7A16E6}"/>
</file>

<file path=docProps/app.xml><?xml version="1.0" encoding="utf-8"?>
<Properties xmlns="http://schemas.openxmlformats.org/officeDocument/2006/extended-properties" xmlns:vt="http://schemas.openxmlformats.org/officeDocument/2006/docPropsVTypes">
  <Template>Normal</Template>
  <TotalTime>1</TotalTime>
  <Pages>4</Pages>
  <Words>7275</Words>
  <Characters>4147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LRSK TD</dc:creator>
  <cp:keywords/>
  <dc:description/>
  <cp:lastModifiedBy>KNIUKŠTIENĖ Rimantė</cp:lastModifiedBy>
  <cp:revision>2</cp:revision>
  <dcterms:created xsi:type="dcterms:W3CDTF">2026-04-27T09:47:00Z</dcterms:created>
  <dcterms:modified xsi:type="dcterms:W3CDTF">2026-04-27T09:47:00Z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6321def8-de64-4061-8f48-ca7df1c193a8</vt:lpwstr>
  </property>
</Properties>
</file>