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2ED" w:rsidRPr="007E72ED" w:rsidRDefault="007E72ED" w:rsidP="007E72ED">
      <w:pPr>
        <w:spacing w:after="0" w:line="240" w:lineRule="auto"/>
        <w:jc w:val="center"/>
        <w:rPr>
          <w:rFonts w:ascii="Times New Roman" w:eastAsia="Calibri" w:hAnsi="Times New Roman" w:cs="Times New Roman"/>
          <w:sz w:val="24"/>
        </w:rPr>
      </w:pPr>
      <w:bookmarkStart w:id="0" w:name="_GoBack"/>
      <w:bookmarkEnd w:id="0"/>
      <w:r w:rsidRPr="007E72ED">
        <w:rPr>
          <w:rFonts w:ascii="Times New Roman" w:eastAsia="Calibri" w:hAnsi="Times New Roman" w:cs="Times New Roman"/>
          <w:noProof/>
          <w:sz w:val="24"/>
          <w:lang w:eastAsia="lt-LT"/>
        </w:rPr>
        <w:drawing>
          <wp:inline distT="0" distB="0" distL="0" distR="0" wp14:anchorId="0754E687" wp14:editId="5F1C8AFA">
            <wp:extent cx="527685" cy="61531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685" cy="615315"/>
                    </a:xfrm>
                    <a:prstGeom prst="rect">
                      <a:avLst/>
                    </a:prstGeom>
                    <a:noFill/>
                    <a:ln>
                      <a:noFill/>
                    </a:ln>
                  </pic:spPr>
                </pic:pic>
              </a:graphicData>
            </a:graphic>
          </wp:inline>
        </w:drawing>
      </w:r>
    </w:p>
    <w:p w:rsidR="007E72ED" w:rsidRPr="007E72ED" w:rsidRDefault="007E72ED" w:rsidP="007E72ED">
      <w:pPr>
        <w:spacing w:after="0" w:line="240" w:lineRule="auto"/>
        <w:jc w:val="center"/>
        <w:rPr>
          <w:rFonts w:ascii="Times New Roman" w:eastAsia="Calibri" w:hAnsi="Times New Roman" w:cs="Times New Roman"/>
          <w:sz w:val="12"/>
          <w:szCs w:val="12"/>
        </w:rPr>
      </w:pPr>
    </w:p>
    <w:p w:rsidR="007E72ED" w:rsidRPr="007E72ED" w:rsidRDefault="007E72ED" w:rsidP="007E72ED">
      <w:pPr>
        <w:spacing w:after="0" w:line="240" w:lineRule="auto"/>
        <w:jc w:val="center"/>
        <w:rPr>
          <w:rFonts w:ascii="Times New Roman" w:eastAsia="Times New Roman" w:hAnsi="Times New Roman" w:cs="Times New Roman"/>
          <w:b/>
          <w:sz w:val="24"/>
          <w:szCs w:val="24"/>
        </w:rPr>
      </w:pPr>
      <w:r w:rsidRPr="007E72ED">
        <w:rPr>
          <w:rFonts w:ascii="Times New Roman" w:eastAsia="Times New Roman" w:hAnsi="Times New Roman" w:cs="Times New Roman"/>
          <w:b/>
          <w:sz w:val="24"/>
          <w:szCs w:val="24"/>
        </w:rPr>
        <w:t>LIETUVOS RESPUBLIKOS SEIMO KANCELIARIJOS</w:t>
      </w:r>
    </w:p>
    <w:p w:rsidR="007E72ED" w:rsidRPr="007E72ED" w:rsidRDefault="007E72ED" w:rsidP="007E72ED">
      <w:pPr>
        <w:spacing w:after="0" w:line="240" w:lineRule="auto"/>
        <w:jc w:val="center"/>
        <w:rPr>
          <w:rFonts w:ascii="Times New Roman" w:eastAsia="Times New Roman" w:hAnsi="Times New Roman" w:cs="Times New Roman"/>
          <w:b/>
          <w:spacing w:val="4"/>
          <w:sz w:val="24"/>
          <w:szCs w:val="24"/>
        </w:rPr>
      </w:pPr>
      <w:r w:rsidRPr="007E72ED">
        <w:rPr>
          <w:rFonts w:ascii="Times New Roman" w:eastAsia="Times New Roman" w:hAnsi="Times New Roman" w:cs="Times New Roman"/>
          <w:b/>
          <w:spacing w:val="4"/>
          <w:sz w:val="24"/>
          <w:szCs w:val="24"/>
        </w:rPr>
        <w:t>TEISĖS DEPARTAMENTAS</w:t>
      </w:r>
    </w:p>
    <w:p w:rsidR="007E72ED" w:rsidRPr="007E72ED" w:rsidRDefault="007E72ED" w:rsidP="007E72ED">
      <w:pPr>
        <w:spacing w:after="0" w:line="240" w:lineRule="auto"/>
        <w:ind w:right="11"/>
        <w:jc w:val="center"/>
        <w:rPr>
          <w:rFonts w:ascii="Times New Roman" w:eastAsia="Times New Roman" w:hAnsi="Times New Roman" w:cs="Times New Roman"/>
          <w:b/>
          <w:spacing w:val="4"/>
          <w:sz w:val="12"/>
          <w:szCs w:val="12"/>
        </w:rPr>
      </w:pPr>
    </w:p>
    <w:p w:rsidR="007E72ED" w:rsidRPr="007E72ED" w:rsidRDefault="007E72ED" w:rsidP="007E72ED">
      <w:pPr>
        <w:spacing w:after="0" w:line="240" w:lineRule="auto"/>
        <w:ind w:right="11"/>
        <w:jc w:val="center"/>
        <w:rPr>
          <w:rFonts w:ascii="Times New Roman" w:eastAsia="Times New Roman" w:hAnsi="Times New Roman" w:cs="Times New Roman"/>
          <w:sz w:val="18"/>
          <w:szCs w:val="18"/>
        </w:rPr>
      </w:pPr>
      <w:r w:rsidRPr="007E72ED">
        <w:rPr>
          <w:rFonts w:ascii="Times New Roman" w:eastAsia="Times New Roman" w:hAnsi="Times New Roman" w:cs="Times New Roman"/>
          <w:sz w:val="18"/>
          <w:szCs w:val="18"/>
        </w:rPr>
        <w:t>Biudžetinė įstaiga  Gedimino pr. 53,  01109 Vilnius    Tel. (0 5)  209 6169    El. p. td@lrs.lt</w:t>
      </w:r>
    </w:p>
    <w:p w:rsidR="007E72ED" w:rsidRPr="007E72ED" w:rsidRDefault="007E72ED" w:rsidP="007E72ED">
      <w:pPr>
        <w:spacing w:after="0" w:line="240" w:lineRule="auto"/>
        <w:jc w:val="center"/>
        <w:rPr>
          <w:rFonts w:ascii="Times New Roman" w:eastAsia="Times New Roman" w:hAnsi="Times New Roman" w:cs="Times New Roman"/>
          <w:sz w:val="18"/>
          <w:szCs w:val="20"/>
        </w:rPr>
      </w:pPr>
      <w:r w:rsidRPr="007E72ED">
        <w:rPr>
          <w:rFonts w:ascii="Times New Roman" w:eastAsia="Times New Roman" w:hAnsi="Times New Roman" w:cs="Times New Roman"/>
          <w:sz w:val="18"/>
          <w:szCs w:val="20"/>
        </w:rPr>
        <w:t>Duomenys kaupiami ir saugomi  Juridinių asmenų registre  Kodas 188605295</w:t>
      </w:r>
    </w:p>
    <w:p w:rsidR="007E72ED" w:rsidRPr="007E72ED" w:rsidRDefault="007E72ED" w:rsidP="007E72ED">
      <w:pPr>
        <w:spacing w:after="0" w:line="240" w:lineRule="auto"/>
        <w:jc w:val="both"/>
        <w:rPr>
          <w:rFonts w:ascii="Times New Roman" w:eastAsia="Times New Roman" w:hAnsi="Times New Roman" w:cs="Times New Roman"/>
          <w:sz w:val="16"/>
          <w:szCs w:val="16"/>
        </w:rPr>
      </w:pPr>
      <w:r w:rsidRPr="007E72ED">
        <w:rPr>
          <w:rFonts w:ascii="Times New Roman" w:eastAsia="Times New Roman" w:hAnsi="Times New Roman" w:cs="Times New Roman"/>
          <w:sz w:val="16"/>
          <w:szCs w:val="16"/>
        </w:rPr>
        <w:t>________________________________________________________________________________________________________________________</w:t>
      </w:r>
    </w:p>
    <w:p w:rsidR="007E72ED" w:rsidRPr="007E72ED" w:rsidRDefault="007E72ED" w:rsidP="007E72ED">
      <w:pPr>
        <w:spacing w:after="0" w:line="240" w:lineRule="auto"/>
        <w:jc w:val="both"/>
        <w:rPr>
          <w:rFonts w:ascii="Times New Roman" w:eastAsia="Times New Roman" w:hAnsi="Times New Roman" w:cs="Times New Roman"/>
          <w:sz w:val="8"/>
          <w:szCs w:val="8"/>
        </w:rPr>
      </w:pPr>
    </w:p>
    <w:p w:rsidR="007E72ED" w:rsidRPr="007E72ED" w:rsidRDefault="007E72ED" w:rsidP="007E72ED">
      <w:pPr>
        <w:spacing w:after="0" w:line="240" w:lineRule="auto"/>
        <w:jc w:val="both"/>
        <w:rPr>
          <w:rFonts w:ascii="Times New Roman" w:eastAsia="Calibri" w:hAnsi="Times New Roman" w:cs="Times New Roman"/>
          <w:sz w:val="24"/>
          <w:szCs w:val="24"/>
        </w:rPr>
        <w:sectPr w:rsidR="007E72ED" w:rsidRPr="007E72ED" w:rsidSect="004C3735">
          <w:headerReference w:type="default" r:id="rId7"/>
          <w:headerReference w:type="first" r:id="rId8"/>
          <w:pgSz w:w="11906" w:h="16838"/>
          <w:pgMar w:top="1134" w:right="567" w:bottom="1134" w:left="1701" w:header="567" w:footer="567" w:gutter="0"/>
          <w:cols w:space="1296"/>
          <w:titlePg/>
          <w:docGrid w:linePitch="360"/>
        </w:sectPr>
      </w:pPr>
    </w:p>
    <w:p w:rsidR="007E72ED" w:rsidRPr="007E72ED" w:rsidRDefault="007E72ED" w:rsidP="007E72ED">
      <w:pPr>
        <w:spacing w:after="0" w:line="360" w:lineRule="auto"/>
        <w:jc w:val="both"/>
        <w:rPr>
          <w:rFonts w:ascii="Times New Roman" w:eastAsia="Calibri" w:hAnsi="Times New Roman" w:cs="Times New Roman"/>
          <w:sz w:val="24"/>
          <w:szCs w:val="24"/>
        </w:rPr>
      </w:pPr>
    </w:p>
    <w:p w:rsidR="007E72ED" w:rsidRPr="007E72ED" w:rsidRDefault="007E72ED" w:rsidP="007E72ED">
      <w:pPr>
        <w:spacing w:after="0" w:line="360" w:lineRule="auto"/>
        <w:textAlignment w:val="baseline"/>
        <w:rPr>
          <w:rFonts w:ascii="Segoe UI" w:eastAsia="Times New Roman" w:hAnsi="Segoe UI" w:cs="Segoe UI"/>
          <w:sz w:val="18"/>
          <w:szCs w:val="18"/>
          <w:lang w:eastAsia="lt-LT"/>
        </w:rPr>
      </w:pPr>
      <w:r w:rsidRPr="007E72ED">
        <w:rPr>
          <w:rFonts w:ascii="Times New Roman" w:eastAsia="Times New Roman" w:hAnsi="Times New Roman" w:cs="Times New Roman"/>
          <w:sz w:val="24"/>
          <w:szCs w:val="24"/>
          <w:lang w:eastAsia="lt-LT"/>
        </w:rPr>
        <w:t>Lietuvos Respublikos Seimo</w:t>
      </w:r>
      <w:r>
        <w:rPr>
          <w:rFonts w:ascii="Calibri" w:eastAsia="Times New Roman" w:hAnsi="Calibri" w:cs="Calibri"/>
          <w:sz w:val="24"/>
          <w:szCs w:val="24"/>
          <w:lang w:eastAsia="lt-LT"/>
        </w:rPr>
        <w:tab/>
      </w:r>
      <w:r>
        <w:rPr>
          <w:rFonts w:ascii="Calibri" w:eastAsia="Times New Roman" w:hAnsi="Calibri" w:cs="Calibri"/>
          <w:sz w:val="24"/>
          <w:szCs w:val="24"/>
          <w:lang w:eastAsia="lt-LT"/>
        </w:rPr>
        <w:tab/>
      </w:r>
      <w:r>
        <w:rPr>
          <w:rFonts w:ascii="Calibri" w:eastAsia="Times New Roman" w:hAnsi="Calibri" w:cs="Calibri"/>
          <w:sz w:val="24"/>
          <w:szCs w:val="24"/>
          <w:lang w:eastAsia="lt-LT"/>
        </w:rPr>
        <w:tab/>
      </w:r>
      <w:r w:rsidRPr="007E72ED">
        <w:rPr>
          <w:rFonts w:ascii="Calibri" w:eastAsia="Times New Roman" w:hAnsi="Calibri" w:cs="Calibri"/>
          <w:sz w:val="24"/>
          <w:szCs w:val="24"/>
          <w:lang w:eastAsia="lt-LT"/>
        </w:rPr>
        <w:t xml:space="preserve">  </w:t>
      </w:r>
      <w:r w:rsidRPr="007E72ED">
        <w:rPr>
          <w:rFonts w:ascii="Times New Roman" w:eastAsia="Times New Roman" w:hAnsi="Times New Roman" w:cs="Times New Roman"/>
          <w:sz w:val="24"/>
          <w:szCs w:val="24"/>
          <w:lang w:eastAsia="lt-LT"/>
        </w:rPr>
        <w:t>2025-0</w:t>
      </w:r>
      <w:r>
        <w:rPr>
          <w:rFonts w:ascii="Times New Roman" w:eastAsia="Times New Roman" w:hAnsi="Times New Roman" w:cs="Times New Roman"/>
          <w:sz w:val="24"/>
          <w:szCs w:val="24"/>
          <w:lang w:eastAsia="lt-LT"/>
        </w:rPr>
        <w:t>6</w:t>
      </w:r>
      <w:r w:rsidRPr="007E72ED">
        <w:rPr>
          <w:rFonts w:ascii="Times New Roman" w:eastAsia="Times New Roman" w:hAnsi="Times New Roman" w:cs="Times New Roman"/>
          <w:sz w:val="24"/>
          <w:szCs w:val="24"/>
          <w:lang w:eastAsia="lt-LT"/>
        </w:rPr>
        <w:t>-</w:t>
      </w:r>
      <w:r w:rsidR="001E6C52">
        <w:rPr>
          <w:rFonts w:ascii="Times New Roman" w:eastAsia="Times New Roman" w:hAnsi="Times New Roman" w:cs="Times New Roman"/>
          <w:sz w:val="24"/>
          <w:szCs w:val="24"/>
          <w:lang w:eastAsia="lt-LT"/>
        </w:rPr>
        <w:t>10</w:t>
      </w:r>
      <w:r w:rsidRPr="007E72ED">
        <w:rPr>
          <w:rFonts w:ascii="Times New Roman" w:eastAsia="Times New Roman" w:hAnsi="Times New Roman" w:cs="Times New Roman"/>
          <w:sz w:val="24"/>
          <w:szCs w:val="24"/>
          <w:lang w:eastAsia="lt-LT"/>
        </w:rPr>
        <w:t xml:space="preserve"> Nr. V-2025- </w:t>
      </w:r>
    </w:p>
    <w:p w:rsidR="007E72ED" w:rsidRPr="007E72ED" w:rsidRDefault="007E72ED" w:rsidP="007E72ED">
      <w:pPr>
        <w:spacing w:after="0" w:line="360" w:lineRule="auto"/>
        <w:textAlignment w:val="baseline"/>
        <w:rPr>
          <w:rFonts w:ascii="Times New Roman" w:eastAsia="Times New Roman" w:hAnsi="Times New Roman" w:cs="Times New Roman"/>
          <w:sz w:val="24"/>
          <w:szCs w:val="24"/>
          <w:lang w:eastAsia="lt-LT"/>
        </w:rPr>
      </w:pPr>
      <w:r w:rsidRPr="007E72ED">
        <w:rPr>
          <w:rFonts w:ascii="Times New Roman" w:eastAsia="Times New Roman" w:hAnsi="Times New Roman" w:cs="Times New Roman"/>
          <w:sz w:val="24"/>
          <w:szCs w:val="24"/>
          <w:lang w:eastAsia="lt-LT"/>
        </w:rPr>
        <w:t>Peticijų komisijai</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7E72ED">
        <w:rPr>
          <w:rFonts w:ascii="Times New Roman" w:eastAsia="Times New Roman" w:hAnsi="Times New Roman" w:cs="Times New Roman"/>
          <w:sz w:val="24"/>
          <w:szCs w:val="24"/>
          <w:lang w:eastAsia="lt-LT"/>
        </w:rPr>
        <w:t>Į 2025-0</w:t>
      </w:r>
      <w:r>
        <w:rPr>
          <w:rFonts w:ascii="Times New Roman" w:eastAsia="Times New Roman" w:hAnsi="Times New Roman" w:cs="Times New Roman"/>
          <w:sz w:val="24"/>
          <w:szCs w:val="24"/>
          <w:lang w:eastAsia="lt-LT"/>
        </w:rPr>
        <w:t>5-</w:t>
      </w:r>
      <w:r w:rsidR="00413B93">
        <w:rPr>
          <w:rFonts w:ascii="Times New Roman" w:eastAsia="Times New Roman" w:hAnsi="Times New Roman" w:cs="Times New Roman"/>
          <w:sz w:val="24"/>
          <w:szCs w:val="24"/>
          <w:lang w:eastAsia="lt-LT"/>
        </w:rPr>
        <w:t>21</w:t>
      </w:r>
      <w:r w:rsidRPr="007E72ED">
        <w:rPr>
          <w:rFonts w:ascii="Times New Roman" w:eastAsia="Times New Roman" w:hAnsi="Times New Roman" w:cs="Times New Roman"/>
          <w:sz w:val="24"/>
          <w:szCs w:val="24"/>
          <w:lang w:eastAsia="lt-LT"/>
        </w:rPr>
        <w:t xml:space="preserve"> Nr. V-2025-</w:t>
      </w:r>
      <w:r w:rsidR="00413B93">
        <w:rPr>
          <w:rFonts w:ascii="Times New Roman" w:eastAsia="Times New Roman" w:hAnsi="Times New Roman" w:cs="Times New Roman"/>
          <w:sz w:val="24"/>
          <w:szCs w:val="24"/>
          <w:lang w:eastAsia="lt-LT"/>
        </w:rPr>
        <w:t>9813</w:t>
      </w:r>
    </w:p>
    <w:p w:rsidR="007E72ED" w:rsidRPr="007E72ED" w:rsidRDefault="007E72ED" w:rsidP="007E72ED">
      <w:pPr>
        <w:spacing w:after="0" w:line="360" w:lineRule="auto"/>
        <w:textAlignment w:val="baseline"/>
        <w:rPr>
          <w:rFonts w:ascii="Times New Roman" w:eastAsia="Times New Roman" w:hAnsi="Times New Roman" w:cs="Times New Roman"/>
          <w:b/>
          <w:bCs/>
          <w:sz w:val="24"/>
          <w:szCs w:val="24"/>
          <w:lang w:eastAsia="lt-LT"/>
        </w:rPr>
      </w:pPr>
    </w:p>
    <w:p w:rsidR="007E72ED" w:rsidRPr="007E72ED" w:rsidRDefault="007E72ED" w:rsidP="007E72ED">
      <w:pPr>
        <w:spacing w:after="0" w:line="360" w:lineRule="auto"/>
        <w:rPr>
          <w:rFonts w:ascii="Times New Roman" w:eastAsia="Calibri" w:hAnsi="Times New Roman" w:cs="Times New Roman"/>
          <w:b/>
          <w:sz w:val="24"/>
          <w:szCs w:val="24"/>
        </w:rPr>
      </w:pPr>
      <w:r w:rsidRPr="007E72ED">
        <w:rPr>
          <w:rFonts w:ascii="Times New Roman" w:eastAsia="Calibri" w:hAnsi="Times New Roman" w:cs="Times New Roman"/>
          <w:b/>
          <w:sz w:val="24"/>
          <w:szCs w:val="24"/>
        </w:rPr>
        <w:t>DĖL NUOMONĖS PATEIKIMO</w:t>
      </w:r>
    </w:p>
    <w:p w:rsidR="007E72ED" w:rsidRPr="007E72ED" w:rsidRDefault="007E72ED" w:rsidP="007E72ED">
      <w:pPr>
        <w:spacing w:after="0" w:line="360" w:lineRule="auto"/>
        <w:jc w:val="both"/>
        <w:textAlignment w:val="baseline"/>
        <w:rPr>
          <w:rFonts w:ascii="Times New Roman" w:eastAsia="Times New Roman" w:hAnsi="Times New Roman" w:cs="Times New Roman"/>
          <w:color w:val="000000"/>
          <w:sz w:val="24"/>
          <w:szCs w:val="24"/>
          <w:lang w:eastAsia="lt-LT"/>
        </w:rPr>
      </w:pPr>
    </w:p>
    <w:p w:rsidR="00BB43AF" w:rsidRDefault="007E72ED" w:rsidP="007E72ED">
      <w:pPr>
        <w:spacing w:after="0" w:line="360" w:lineRule="auto"/>
        <w:ind w:firstLine="720"/>
        <w:jc w:val="both"/>
        <w:rPr>
          <w:rFonts w:ascii="Times New Roman" w:eastAsia="Calibri" w:hAnsi="Times New Roman" w:cs="Times New Roman"/>
          <w:sz w:val="24"/>
          <w:szCs w:val="24"/>
        </w:rPr>
      </w:pPr>
      <w:r w:rsidRPr="007E72ED">
        <w:rPr>
          <w:rFonts w:ascii="Times New Roman" w:eastAsia="Calibri" w:hAnsi="Times New Roman" w:cs="Times New Roman"/>
          <w:sz w:val="24"/>
          <w:szCs w:val="24"/>
        </w:rPr>
        <w:t xml:space="preserve">Teisės departamente, vadovaujantis Lietuvos Respublikos peticijų konstitucinio įstatymo 4 straipsnio 5 dalies 2 punktu, gautas Lietuvos Respublikos Seimo peticijų komisijos raštas, prašant pateikti nuomonę dėl Arūno </w:t>
      </w:r>
      <w:proofErr w:type="spellStart"/>
      <w:r w:rsidRPr="007E72ED">
        <w:rPr>
          <w:rFonts w:ascii="Times New Roman" w:eastAsia="Calibri" w:hAnsi="Times New Roman" w:cs="Times New Roman"/>
          <w:sz w:val="24"/>
          <w:szCs w:val="24"/>
        </w:rPr>
        <w:t>Sodonio</w:t>
      </w:r>
      <w:proofErr w:type="spellEnd"/>
      <w:r w:rsidRPr="007E72ED">
        <w:rPr>
          <w:rFonts w:ascii="Times New Roman" w:eastAsia="Calibri" w:hAnsi="Times New Roman" w:cs="Times New Roman"/>
          <w:sz w:val="24"/>
          <w:szCs w:val="24"/>
        </w:rPr>
        <w:t xml:space="preserve"> (toliau – Pareiškėjas) peticijos. Ja siūloma pa</w:t>
      </w:r>
      <w:r w:rsidR="00413B93">
        <w:rPr>
          <w:rFonts w:ascii="Times New Roman" w:eastAsia="Calibri" w:hAnsi="Times New Roman" w:cs="Times New Roman"/>
          <w:sz w:val="24"/>
          <w:szCs w:val="24"/>
        </w:rPr>
        <w:t>pildyti Lietuvos Respublikos baudžiamojo</w:t>
      </w:r>
      <w:r w:rsidR="00B02AC2">
        <w:rPr>
          <w:rFonts w:ascii="Times New Roman" w:eastAsia="Calibri" w:hAnsi="Times New Roman" w:cs="Times New Roman"/>
          <w:sz w:val="24"/>
          <w:szCs w:val="24"/>
        </w:rPr>
        <w:t xml:space="preserve"> proceso kodeksą (toliau –</w:t>
      </w:r>
      <w:r w:rsidR="00413B93">
        <w:rPr>
          <w:rFonts w:ascii="Times New Roman" w:eastAsia="Calibri" w:hAnsi="Times New Roman" w:cs="Times New Roman"/>
          <w:sz w:val="24"/>
          <w:szCs w:val="24"/>
        </w:rPr>
        <w:t xml:space="preserve"> BPK</w:t>
      </w:r>
      <w:r w:rsidRPr="007E72ED">
        <w:rPr>
          <w:rFonts w:ascii="Times New Roman" w:eastAsia="Calibri" w:hAnsi="Times New Roman" w:cs="Times New Roman"/>
          <w:sz w:val="24"/>
          <w:szCs w:val="24"/>
        </w:rPr>
        <w:t xml:space="preserve">) </w:t>
      </w:r>
      <w:r w:rsidR="00413B93">
        <w:rPr>
          <w:rFonts w:ascii="Times New Roman" w:eastAsia="Calibri" w:hAnsi="Times New Roman" w:cs="Times New Roman"/>
          <w:sz w:val="24"/>
          <w:szCs w:val="24"/>
        </w:rPr>
        <w:t xml:space="preserve">nuostatomis, </w:t>
      </w:r>
      <w:r w:rsidR="00370720">
        <w:rPr>
          <w:rFonts w:ascii="Times New Roman" w:eastAsia="Calibri" w:hAnsi="Times New Roman" w:cs="Times New Roman"/>
          <w:sz w:val="24"/>
          <w:szCs w:val="24"/>
        </w:rPr>
        <w:t xml:space="preserve">susijusiomis su nutarimo nutraukti ikiteisminį tyrimą klaidų ir netikslumų ištaisymu, nekeičiant nutarimo esmės, </w:t>
      </w:r>
      <w:r w:rsidR="00B02AC2">
        <w:rPr>
          <w:rFonts w:ascii="Times New Roman" w:eastAsia="Calibri" w:hAnsi="Times New Roman" w:cs="Times New Roman"/>
          <w:sz w:val="24"/>
          <w:szCs w:val="24"/>
        </w:rPr>
        <w:t>BPK papildymo poreikį argumentuojant tuo, kad</w:t>
      </w:r>
      <w:r w:rsidR="00370720">
        <w:rPr>
          <w:rFonts w:ascii="Times New Roman" w:eastAsia="Calibri" w:hAnsi="Times New Roman" w:cs="Times New Roman"/>
          <w:sz w:val="24"/>
          <w:szCs w:val="24"/>
        </w:rPr>
        <w:t xml:space="preserve"> nutraukiant baudžiamąją bylą teismo nuosprendžiu</w:t>
      </w:r>
      <w:r w:rsidR="00B02AC2">
        <w:rPr>
          <w:rFonts w:ascii="Times New Roman" w:eastAsia="Calibri" w:hAnsi="Times New Roman" w:cs="Times New Roman"/>
          <w:sz w:val="24"/>
          <w:szCs w:val="24"/>
        </w:rPr>
        <w:t xml:space="preserve">, BPK yra numatytas nuosprendžio metu kylančių abejonių ir </w:t>
      </w:r>
      <w:proofErr w:type="spellStart"/>
      <w:r w:rsidR="00B02AC2">
        <w:rPr>
          <w:rFonts w:ascii="Times New Roman" w:eastAsia="Calibri" w:hAnsi="Times New Roman" w:cs="Times New Roman"/>
          <w:sz w:val="24"/>
          <w:szCs w:val="24"/>
        </w:rPr>
        <w:t>neaiškumų</w:t>
      </w:r>
      <w:proofErr w:type="spellEnd"/>
      <w:r w:rsidR="00B02AC2">
        <w:rPr>
          <w:rFonts w:ascii="Times New Roman" w:eastAsia="Calibri" w:hAnsi="Times New Roman" w:cs="Times New Roman"/>
          <w:sz w:val="24"/>
          <w:szCs w:val="24"/>
        </w:rPr>
        <w:t xml:space="preserve"> paš</w:t>
      </w:r>
      <w:r w:rsidR="00C94664">
        <w:rPr>
          <w:rFonts w:ascii="Times New Roman" w:eastAsia="Calibri" w:hAnsi="Times New Roman" w:cs="Times New Roman"/>
          <w:sz w:val="24"/>
          <w:szCs w:val="24"/>
        </w:rPr>
        <w:t>alin</w:t>
      </w:r>
      <w:r w:rsidR="00835963">
        <w:rPr>
          <w:rFonts w:ascii="Times New Roman" w:eastAsia="Calibri" w:hAnsi="Times New Roman" w:cs="Times New Roman"/>
          <w:sz w:val="24"/>
          <w:szCs w:val="24"/>
        </w:rPr>
        <w:t>imas (BPK 361 straipsnis);</w:t>
      </w:r>
      <w:r w:rsidR="00B02AC2">
        <w:rPr>
          <w:rFonts w:ascii="Times New Roman" w:eastAsia="Calibri" w:hAnsi="Times New Roman" w:cs="Times New Roman"/>
          <w:sz w:val="24"/>
          <w:szCs w:val="24"/>
        </w:rPr>
        <w:t xml:space="preserve"> nesant analogiškų nuostatų dėl nutari</w:t>
      </w:r>
      <w:r w:rsidR="00835963">
        <w:rPr>
          <w:rFonts w:ascii="Times New Roman" w:eastAsia="Calibri" w:hAnsi="Times New Roman" w:cs="Times New Roman"/>
          <w:sz w:val="24"/>
          <w:szCs w:val="24"/>
        </w:rPr>
        <w:t>mo nutraukti ikiteisminį tyrimą</w:t>
      </w:r>
      <w:r w:rsidR="00F974FD">
        <w:rPr>
          <w:rFonts w:ascii="Times New Roman" w:eastAsia="Calibri" w:hAnsi="Times New Roman" w:cs="Times New Roman"/>
          <w:sz w:val="24"/>
          <w:szCs w:val="24"/>
        </w:rPr>
        <w:t>, pasinaudojimas BPK 217 </w:t>
      </w:r>
      <w:r w:rsidR="00BB43AF">
        <w:rPr>
          <w:rFonts w:ascii="Times New Roman" w:eastAsia="Calibri" w:hAnsi="Times New Roman" w:cs="Times New Roman"/>
          <w:sz w:val="24"/>
          <w:szCs w:val="24"/>
        </w:rPr>
        <w:t>straipsnio 2 dalyje nustatytu ikiteisminio tyrimo atnaujinimo institutu ne visais atv</w:t>
      </w:r>
      <w:r w:rsidR="003340A4">
        <w:rPr>
          <w:rFonts w:ascii="Times New Roman" w:eastAsia="Calibri" w:hAnsi="Times New Roman" w:cs="Times New Roman"/>
          <w:sz w:val="24"/>
          <w:szCs w:val="24"/>
        </w:rPr>
        <w:t>ejais būtų tikslingas (pvz.,</w:t>
      </w:r>
      <w:r w:rsidR="00BB43AF">
        <w:rPr>
          <w:rFonts w:ascii="Times New Roman" w:eastAsia="Calibri" w:hAnsi="Times New Roman" w:cs="Times New Roman"/>
          <w:sz w:val="24"/>
          <w:szCs w:val="24"/>
        </w:rPr>
        <w:t xml:space="preserve"> daiktinių įrodymų likimo neišsprendimas nutarime). Įvertinę Pareiškėjo peticijoje pateiktą siūlymą, teikiame savo nuomonę.</w:t>
      </w:r>
    </w:p>
    <w:p w:rsidR="00835963" w:rsidRDefault="00A91352" w:rsidP="007E72E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Iš Pareiškėjo peticijoje pateikto siūlymo matyti, kad Pareiškėjas atkreipia dėmesį į nuosprendžio vykdymo stadijoje kilusių </w:t>
      </w:r>
      <w:proofErr w:type="spellStart"/>
      <w:r>
        <w:rPr>
          <w:rFonts w:ascii="Times New Roman" w:eastAsia="Calibri" w:hAnsi="Times New Roman" w:cs="Times New Roman"/>
          <w:sz w:val="24"/>
          <w:szCs w:val="24"/>
        </w:rPr>
        <w:t>neaiškumų</w:t>
      </w:r>
      <w:proofErr w:type="spellEnd"/>
      <w:r>
        <w:rPr>
          <w:rFonts w:ascii="Times New Roman" w:eastAsia="Calibri" w:hAnsi="Times New Roman" w:cs="Times New Roman"/>
          <w:sz w:val="24"/>
          <w:szCs w:val="24"/>
        </w:rPr>
        <w:t xml:space="preserve"> pašalinimo proc</w:t>
      </w:r>
      <w:r w:rsidR="00AE3BE5">
        <w:rPr>
          <w:rFonts w:ascii="Times New Roman" w:eastAsia="Calibri" w:hAnsi="Times New Roman" w:cs="Times New Roman"/>
          <w:sz w:val="24"/>
          <w:szCs w:val="24"/>
        </w:rPr>
        <w:t>eso reglamentavimą ir pasigenda</w:t>
      </w:r>
      <w:r>
        <w:rPr>
          <w:rFonts w:ascii="Times New Roman" w:eastAsia="Calibri" w:hAnsi="Times New Roman" w:cs="Times New Roman"/>
          <w:sz w:val="24"/>
          <w:szCs w:val="24"/>
        </w:rPr>
        <w:t xml:space="preserve"> teisinio reguliavimo dėl nutarime nutraukti ikiteisminį tyrimą esančių </w:t>
      </w:r>
      <w:proofErr w:type="spellStart"/>
      <w:r>
        <w:rPr>
          <w:rFonts w:ascii="Times New Roman" w:eastAsia="Calibri" w:hAnsi="Times New Roman" w:cs="Times New Roman"/>
          <w:sz w:val="24"/>
          <w:szCs w:val="24"/>
        </w:rPr>
        <w:t>neaiškumų</w:t>
      </w:r>
      <w:proofErr w:type="spellEnd"/>
      <w:r>
        <w:rPr>
          <w:rFonts w:ascii="Times New Roman" w:eastAsia="Calibri" w:hAnsi="Times New Roman" w:cs="Times New Roman"/>
          <w:sz w:val="24"/>
          <w:szCs w:val="24"/>
        </w:rPr>
        <w:t xml:space="preserve"> pašalinimo</w:t>
      </w:r>
      <w:r w:rsidR="008949A9">
        <w:rPr>
          <w:rFonts w:ascii="Times New Roman" w:eastAsia="Calibri" w:hAnsi="Times New Roman" w:cs="Times New Roman"/>
          <w:sz w:val="24"/>
          <w:szCs w:val="24"/>
        </w:rPr>
        <w:t xml:space="preserve"> tvarkos</w:t>
      </w:r>
      <w:r>
        <w:rPr>
          <w:rFonts w:ascii="Times New Roman" w:eastAsia="Calibri" w:hAnsi="Times New Roman" w:cs="Times New Roman"/>
          <w:sz w:val="24"/>
          <w:szCs w:val="24"/>
        </w:rPr>
        <w:t>.</w:t>
      </w:r>
      <w:r w:rsidR="00361B0F">
        <w:rPr>
          <w:rFonts w:ascii="Times New Roman" w:eastAsia="Calibri" w:hAnsi="Times New Roman" w:cs="Times New Roman"/>
          <w:sz w:val="24"/>
          <w:szCs w:val="24"/>
        </w:rPr>
        <w:t xml:space="preserve"> </w:t>
      </w:r>
      <w:r w:rsidR="001A0778">
        <w:rPr>
          <w:rFonts w:ascii="Times New Roman" w:eastAsia="Calibri" w:hAnsi="Times New Roman" w:cs="Times New Roman"/>
          <w:sz w:val="24"/>
          <w:szCs w:val="24"/>
        </w:rPr>
        <w:t xml:space="preserve">Pažymėtina, kad nutarimo, kuriuo nutraukiamas ikiteisminis tyrimas, netikslumų, </w:t>
      </w:r>
      <w:proofErr w:type="spellStart"/>
      <w:r w:rsidR="001A0778">
        <w:rPr>
          <w:rFonts w:ascii="Times New Roman" w:eastAsia="Calibri" w:hAnsi="Times New Roman" w:cs="Times New Roman"/>
          <w:sz w:val="24"/>
          <w:szCs w:val="24"/>
        </w:rPr>
        <w:t>neaiškumų</w:t>
      </w:r>
      <w:proofErr w:type="spellEnd"/>
      <w:r w:rsidR="001A0778">
        <w:rPr>
          <w:rFonts w:ascii="Times New Roman" w:eastAsia="Calibri" w:hAnsi="Times New Roman" w:cs="Times New Roman"/>
          <w:sz w:val="24"/>
          <w:szCs w:val="24"/>
        </w:rPr>
        <w:t>, kaip tai apibrėžiama Pareiškėjo peticijoje, pašalinimo proce</w:t>
      </w:r>
      <w:r w:rsidR="00835963">
        <w:rPr>
          <w:rFonts w:ascii="Times New Roman" w:eastAsia="Calibri" w:hAnsi="Times New Roman" w:cs="Times New Roman"/>
          <w:sz w:val="24"/>
          <w:szCs w:val="24"/>
        </w:rPr>
        <w:t>sas jau yra reglamentuotas BPK.</w:t>
      </w:r>
    </w:p>
    <w:p w:rsidR="00F974FD" w:rsidRPr="00F974FD" w:rsidRDefault="00361B0F" w:rsidP="007E72ED">
      <w:pPr>
        <w:spacing w:after="0" w:line="360" w:lineRule="auto"/>
        <w:ind w:firstLine="720"/>
        <w:jc w:val="both"/>
        <w:rPr>
          <w:rFonts w:ascii="Times New Roman" w:hAnsi="Times New Roman" w:cs="Times New Roman"/>
          <w:i/>
          <w:iCs/>
          <w:sz w:val="24"/>
          <w:szCs w:val="24"/>
        </w:rPr>
      </w:pPr>
      <w:r>
        <w:rPr>
          <w:rFonts w:ascii="Times New Roman" w:eastAsia="Calibri" w:hAnsi="Times New Roman" w:cs="Times New Roman"/>
          <w:sz w:val="24"/>
          <w:szCs w:val="24"/>
        </w:rPr>
        <w:t>BPK 212 straipsnyje yra nustatytas baigtinis ikiteisminio tyrimo nutraukimo atvejų sąrašas. Ikiteisminio tyrimo nutraukimo tvarka, atsižvelgiant į ikiteisminio tyrimo nutraukimo pagrin</w:t>
      </w:r>
      <w:r w:rsidR="001A0778">
        <w:rPr>
          <w:rFonts w:ascii="Times New Roman" w:eastAsia="Calibri" w:hAnsi="Times New Roman" w:cs="Times New Roman"/>
          <w:sz w:val="24"/>
          <w:szCs w:val="24"/>
        </w:rPr>
        <w:t>dą, skiriasi: 1) BPK 212 straipsnio 1 ir 2 punktuose numatytais atvejais ikiteisminį tyrimą nutraukia prokuroras nutarimu arba ikiteisminio tyrimo teisėjas nutartimi</w:t>
      </w:r>
      <w:r w:rsidR="00AE3BE5">
        <w:rPr>
          <w:rFonts w:ascii="Times New Roman" w:eastAsia="Calibri" w:hAnsi="Times New Roman" w:cs="Times New Roman"/>
          <w:sz w:val="24"/>
          <w:szCs w:val="24"/>
        </w:rPr>
        <w:t xml:space="preserve"> (BPK </w:t>
      </w:r>
      <w:r w:rsidR="004931D2">
        <w:rPr>
          <w:rFonts w:ascii="Times New Roman" w:eastAsia="Calibri" w:hAnsi="Times New Roman" w:cs="Times New Roman"/>
          <w:sz w:val="24"/>
          <w:szCs w:val="24"/>
        </w:rPr>
        <w:t>214 straipsnio 1 dalis)</w:t>
      </w:r>
      <w:r w:rsidR="00F974FD">
        <w:rPr>
          <w:rFonts w:ascii="Times New Roman" w:eastAsia="Calibri" w:hAnsi="Times New Roman" w:cs="Times New Roman"/>
          <w:sz w:val="24"/>
          <w:szCs w:val="24"/>
        </w:rPr>
        <w:t>; 2) BPK </w:t>
      </w:r>
      <w:r w:rsidR="001A0778">
        <w:rPr>
          <w:rFonts w:ascii="Times New Roman" w:eastAsia="Calibri" w:hAnsi="Times New Roman" w:cs="Times New Roman"/>
          <w:sz w:val="24"/>
          <w:szCs w:val="24"/>
        </w:rPr>
        <w:t>212 straipsnio 3–9 punktuose numatytais atvejais ikiteisminis tyrimas nutraukiamas ikiteisminio tyrimo teisėjo sprendimu, kuris patvirtina prokuroro nutarimą dėl ikiteisminio tyrimo nutraukimo</w:t>
      </w:r>
      <w:r w:rsidR="004931D2">
        <w:rPr>
          <w:rFonts w:ascii="Times New Roman" w:eastAsia="Calibri" w:hAnsi="Times New Roman" w:cs="Times New Roman"/>
          <w:sz w:val="24"/>
          <w:szCs w:val="24"/>
        </w:rPr>
        <w:t xml:space="preserve"> (BPK 214 straipsnio 2 dalis)</w:t>
      </w:r>
      <w:r w:rsidR="001A0778">
        <w:rPr>
          <w:rFonts w:ascii="Times New Roman" w:eastAsia="Calibri" w:hAnsi="Times New Roman" w:cs="Times New Roman"/>
          <w:sz w:val="24"/>
          <w:szCs w:val="24"/>
        </w:rPr>
        <w:t xml:space="preserve">; 3) </w:t>
      </w:r>
      <w:r w:rsidR="00AE3BE5">
        <w:rPr>
          <w:rFonts w:ascii="Times New Roman" w:eastAsia="Calibri" w:hAnsi="Times New Roman" w:cs="Times New Roman"/>
          <w:sz w:val="24"/>
          <w:szCs w:val="24"/>
        </w:rPr>
        <w:t xml:space="preserve">BPK 212 straipsnio 10 punkte numatytu atveju – </w:t>
      </w:r>
      <w:r w:rsidR="00AE3BE5">
        <w:rPr>
          <w:rFonts w:ascii="Times New Roman" w:eastAsia="Calibri" w:hAnsi="Times New Roman" w:cs="Times New Roman"/>
          <w:sz w:val="24"/>
          <w:szCs w:val="24"/>
        </w:rPr>
        <w:lastRenderedPageBreak/>
        <w:t xml:space="preserve">ikiteisminio tyrimo </w:t>
      </w:r>
      <w:r w:rsidR="00AE3BE5" w:rsidRPr="00F974FD">
        <w:rPr>
          <w:rFonts w:ascii="Times New Roman" w:eastAsia="Calibri" w:hAnsi="Times New Roman" w:cs="Times New Roman"/>
          <w:sz w:val="24"/>
          <w:szCs w:val="24"/>
        </w:rPr>
        <w:t>teisėjo nutartimi</w:t>
      </w:r>
      <w:r w:rsidR="00B60313" w:rsidRPr="00F974FD">
        <w:rPr>
          <w:rFonts w:ascii="Times New Roman" w:eastAsia="Calibri" w:hAnsi="Times New Roman" w:cs="Times New Roman"/>
          <w:sz w:val="24"/>
          <w:szCs w:val="24"/>
        </w:rPr>
        <w:t xml:space="preserve"> (BPK 215 straipsnis). BPK 216 straipsnyje yra nustatyta</w:t>
      </w:r>
      <w:r w:rsidR="00442DC7" w:rsidRPr="00F974FD">
        <w:rPr>
          <w:rFonts w:ascii="Times New Roman" w:eastAsia="Calibri" w:hAnsi="Times New Roman" w:cs="Times New Roman"/>
          <w:sz w:val="24"/>
          <w:szCs w:val="24"/>
        </w:rPr>
        <w:t>s</w:t>
      </w:r>
      <w:r w:rsidR="00B60313" w:rsidRPr="00F974FD">
        <w:rPr>
          <w:rFonts w:ascii="Times New Roman" w:eastAsia="Calibri" w:hAnsi="Times New Roman" w:cs="Times New Roman"/>
          <w:sz w:val="24"/>
          <w:szCs w:val="24"/>
        </w:rPr>
        <w:t xml:space="preserve"> </w:t>
      </w:r>
      <w:r w:rsidR="00442DC7" w:rsidRPr="00F974FD">
        <w:rPr>
          <w:rFonts w:ascii="Times New Roman" w:eastAsia="Calibri" w:hAnsi="Times New Roman" w:cs="Times New Roman"/>
          <w:sz w:val="24"/>
          <w:szCs w:val="24"/>
        </w:rPr>
        <w:t>nutarimo nutraukti ikiteisminį tyrimą turinys: nutarime nutraukti ikiteisminį tyrimą išdėstoma nusikalstamos veikos esmė, tyrimo nutraukimo pagrindai ir motyvai (BPK 216 straipsnio 1 dalis), nutarime turi būti BPK 94 straipsnyje nustatyta tvarka išspręstas daiktų, turinčių reikšmės nusikalstamai veikai ištirti, klausimas; be to, nutarime nurodoma, kad panaikinama kardomoji priemonė, taip pat civilinio ieškinio, turto konfiskavimo ir išplėstinio turto konfiskavimo užtikrinimo priemonės</w:t>
      </w:r>
      <w:r w:rsidR="00F974FD">
        <w:rPr>
          <w:rFonts w:ascii="Times New Roman" w:eastAsia="Calibri" w:hAnsi="Times New Roman" w:cs="Times New Roman"/>
          <w:sz w:val="24"/>
          <w:szCs w:val="24"/>
        </w:rPr>
        <w:t xml:space="preserve"> (BPK 216 straipsnio 2 dalis)</w:t>
      </w:r>
      <w:r w:rsidR="00442DC7" w:rsidRPr="00F974FD">
        <w:rPr>
          <w:rFonts w:ascii="Times New Roman" w:eastAsia="Calibri" w:hAnsi="Times New Roman" w:cs="Times New Roman"/>
          <w:sz w:val="24"/>
          <w:szCs w:val="24"/>
        </w:rPr>
        <w:t xml:space="preserve">. </w:t>
      </w:r>
      <w:r w:rsidR="00B33240" w:rsidRPr="00F974FD">
        <w:rPr>
          <w:rFonts w:ascii="Times New Roman" w:eastAsia="Calibri" w:hAnsi="Times New Roman" w:cs="Times New Roman"/>
          <w:sz w:val="24"/>
          <w:szCs w:val="24"/>
        </w:rPr>
        <w:t>BPK yra nustatyta tiek prokuroro nutarimo, tiek ikiteisminio tyrimo teisėjo sprendimo ar nutar</w:t>
      </w:r>
      <w:r w:rsidR="00E3584F" w:rsidRPr="00F974FD">
        <w:rPr>
          <w:rFonts w:ascii="Times New Roman" w:eastAsia="Calibri" w:hAnsi="Times New Roman" w:cs="Times New Roman"/>
          <w:sz w:val="24"/>
          <w:szCs w:val="24"/>
        </w:rPr>
        <w:t>ties</w:t>
      </w:r>
      <w:r w:rsidR="00B33240" w:rsidRPr="00F974FD">
        <w:rPr>
          <w:rFonts w:ascii="Times New Roman" w:eastAsia="Calibri" w:hAnsi="Times New Roman" w:cs="Times New Roman"/>
          <w:sz w:val="24"/>
          <w:szCs w:val="24"/>
        </w:rPr>
        <w:t xml:space="preserve"> apskundimo tvarka</w:t>
      </w:r>
      <w:r w:rsidR="008949A9" w:rsidRPr="00F974FD">
        <w:rPr>
          <w:rFonts w:ascii="Times New Roman" w:eastAsia="Calibri" w:hAnsi="Times New Roman" w:cs="Times New Roman"/>
          <w:sz w:val="24"/>
          <w:szCs w:val="24"/>
        </w:rPr>
        <w:t>.</w:t>
      </w:r>
      <w:r w:rsidR="007C00BF" w:rsidRPr="00F974FD">
        <w:rPr>
          <w:rFonts w:ascii="Times New Roman" w:eastAsia="Calibri" w:hAnsi="Times New Roman" w:cs="Times New Roman"/>
          <w:sz w:val="24"/>
          <w:szCs w:val="24"/>
        </w:rPr>
        <w:t xml:space="preserve"> BPK 214 straipsnio 1 dalyje numatytas nutarimas gali būti skundžiamas aukštesniajam prokurorui, kuris privalo išnagrinėti skundą ne vėliau kaip per dvidešimt dienų nuo jo gavimo. Jei aukštesnysis prokuroras atsisako patenkinti skundą, šis jo nutarimas gali būti skundžiamas ikiteisminio tyrimo teisėjui. Ikiteisminio tyrimo teisėjo spr</w:t>
      </w:r>
      <w:r w:rsidR="00F974FD">
        <w:rPr>
          <w:rFonts w:ascii="Times New Roman" w:eastAsia="Calibri" w:hAnsi="Times New Roman" w:cs="Times New Roman"/>
          <w:sz w:val="24"/>
          <w:szCs w:val="24"/>
        </w:rPr>
        <w:t>endimas dėl skundo, taip pat BPK 214</w:t>
      </w:r>
      <w:r w:rsidR="007C00BF" w:rsidRPr="00F974FD">
        <w:rPr>
          <w:rFonts w:ascii="Times New Roman" w:eastAsia="Calibri" w:hAnsi="Times New Roman" w:cs="Times New Roman"/>
          <w:sz w:val="24"/>
          <w:szCs w:val="24"/>
        </w:rPr>
        <w:t xml:space="preserve"> straipsnio 2 dalyje numatytas ikiteisminio tyrimo teisėjo sprendimas gali būti skundžiamas BPK X dalyje nustatyta tvarka. Ikiteisminio tyrimo teisėjo nutartis, priimta dėl BPK 212 straipsnio 10 punkte nustatyto atvejo</w:t>
      </w:r>
      <w:r w:rsidR="008949A9" w:rsidRPr="00F974FD">
        <w:rPr>
          <w:rFonts w:ascii="Times New Roman" w:eastAsia="Calibri" w:hAnsi="Times New Roman" w:cs="Times New Roman"/>
          <w:sz w:val="24"/>
          <w:szCs w:val="24"/>
        </w:rPr>
        <w:t>,</w:t>
      </w:r>
      <w:r w:rsidR="007C00BF" w:rsidRPr="00F974FD">
        <w:rPr>
          <w:rFonts w:ascii="Times New Roman" w:eastAsia="Calibri" w:hAnsi="Times New Roman" w:cs="Times New Roman"/>
          <w:sz w:val="24"/>
          <w:szCs w:val="24"/>
        </w:rPr>
        <w:t xml:space="preserve"> gali būti skundžiama BPK 65 straipsnyje nustatyta tvarka. </w:t>
      </w:r>
      <w:r w:rsidR="007C00BF" w:rsidRPr="00F974FD">
        <w:rPr>
          <w:rFonts w:ascii="Times New Roman" w:eastAsia="Calibri" w:hAnsi="Times New Roman" w:cs="Times New Roman"/>
          <w:i/>
          <w:sz w:val="24"/>
          <w:szCs w:val="24"/>
        </w:rPr>
        <w:t xml:space="preserve">BPK nereglamentuotas paduodamo skundo dėl ikiteisminio tyrimo nutraukimo turinys, taigi skundas gali būti paduodamas dėl visų nutarimo ar nutarties nutraukti ikiteisminį tyrimą turinio aspektų, iš jų </w:t>
      </w:r>
      <w:r w:rsidR="00F974FD" w:rsidRPr="00F974FD">
        <w:rPr>
          <w:rFonts w:ascii="Times New Roman" w:hAnsi="Times New Roman" w:cs="Times New Roman"/>
          <w:i/>
          <w:iCs/>
          <w:sz w:val="24"/>
          <w:szCs w:val="24"/>
        </w:rPr>
        <w:t>ir dėl to, kad neišspręsti ar netinkamai išspręsti BPK 216 straipsnio 2 dalyje nurodyti klausimai.</w:t>
      </w:r>
    </w:p>
    <w:p w:rsidR="004C3735" w:rsidRPr="00B33240" w:rsidRDefault="004C3735" w:rsidP="007E72ED">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Atsižvelgiant į tai, kas išdėstyta, manytina, kad </w:t>
      </w:r>
      <w:r w:rsidR="003340A4">
        <w:rPr>
          <w:rFonts w:ascii="Times New Roman" w:eastAsia="Calibri" w:hAnsi="Times New Roman" w:cs="Times New Roman"/>
          <w:sz w:val="24"/>
          <w:szCs w:val="24"/>
        </w:rPr>
        <w:t xml:space="preserve">BPK yra nustatyta </w:t>
      </w:r>
      <w:proofErr w:type="spellStart"/>
      <w:r w:rsidR="003340A4">
        <w:rPr>
          <w:rFonts w:ascii="Times New Roman" w:eastAsia="Calibri" w:hAnsi="Times New Roman" w:cs="Times New Roman"/>
          <w:sz w:val="24"/>
          <w:szCs w:val="24"/>
        </w:rPr>
        <w:t>neaiškumų</w:t>
      </w:r>
      <w:proofErr w:type="spellEnd"/>
      <w:r w:rsidR="003340A4">
        <w:rPr>
          <w:rFonts w:ascii="Times New Roman" w:eastAsia="Calibri" w:hAnsi="Times New Roman" w:cs="Times New Roman"/>
          <w:sz w:val="24"/>
          <w:szCs w:val="24"/>
        </w:rPr>
        <w:t xml:space="preserve"> nutraukiant ikiteisminį tyrimą </w:t>
      </w:r>
      <w:r w:rsidR="008949A9">
        <w:rPr>
          <w:rFonts w:ascii="Times New Roman" w:eastAsia="Calibri" w:hAnsi="Times New Roman" w:cs="Times New Roman"/>
          <w:sz w:val="24"/>
          <w:szCs w:val="24"/>
        </w:rPr>
        <w:t>pašalinimo</w:t>
      </w:r>
      <w:r w:rsidR="003340A4">
        <w:rPr>
          <w:rFonts w:ascii="Times New Roman" w:eastAsia="Calibri" w:hAnsi="Times New Roman" w:cs="Times New Roman"/>
          <w:sz w:val="24"/>
          <w:szCs w:val="24"/>
        </w:rPr>
        <w:t xml:space="preserve"> tvarka. Pareiškėjo peticijoje pateikiama argumentacija nepagrindžia BPK papildymo būtinumo.</w:t>
      </w:r>
      <w:r w:rsidR="008949A9">
        <w:rPr>
          <w:rFonts w:ascii="Times New Roman" w:eastAsia="Calibri" w:hAnsi="Times New Roman" w:cs="Times New Roman"/>
          <w:sz w:val="24"/>
          <w:szCs w:val="24"/>
        </w:rPr>
        <w:t xml:space="preserve"> </w:t>
      </w:r>
    </w:p>
    <w:p w:rsidR="007E72ED" w:rsidRPr="007E72ED" w:rsidRDefault="007E72ED" w:rsidP="007E72ED">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7E72ED" w:rsidRPr="007E72ED" w:rsidRDefault="007E72ED" w:rsidP="007E72ED">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7E72ED" w:rsidRPr="007E72ED" w:rsidRDefault="007E72ED" w:rsidP="007E72ED">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7E72ED" w:rsidRPr="007E72ED" w:rsidRDefault="00BB43AF" w:rsidP="007E72ED">
      <w:pPr>
        <w:spacing w:after="0" w:line="36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rPr>
        <w:t>Teisės departamento direktorius</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Dainius </w:t>
      </w:r>
      <w:proofErr w:type="spellStart"/>
      <w:r>
        <w:rPr>
          <w:rFonts w:ascii="Times New Roman" w:eastAsia="Times New Roman" w:hAnsi="Times New Roman" w:cs="Times New Roman"/>
          <w:color w:val="000000"/>
          <w:sz w:val="24"/>
        </w:rPr>
        <w:t>Zebleckis</w:t>
      </w:r>
      <w:proofErr w:type="spellEnd"/>
    </w:p>
    <w:p w:rsidR="007E72ED" w:rsidRPr="007E72ED" w:rsidRDefault="007E72ED" w:rsidP="007E72ED">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7E72ED" w:rsidRPr="007E72ED" w:rsidRDefault="007E72ED" w:rsidP="007E72ED">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7E72ED" w:rsidRPr="007E72ED" w:rsidRDefault="007E72ED" w:rsidP="007E72ED">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7E72ED" w:rsidRPr="007E72ED" w:rsidRDefault="007E72ED" w:rsidP="007E72ED">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7E72ED" w:rsidRPr="007E72ED" w:rsidRDefault="007E72ED" w:rsidP="007E72ED">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7E72ED" w:rsidRPr="007E72ED" w:rsidRDefault="007E72ED" w:rsidP="007E72ED">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7E72ED" w:rsidRPr="007E72ED" w:rsidRDefault="007E72ED" w:rsidP="007E72ED">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7E72ED" w:rsidRPr="007E72ED" w:rsidRDefault="007E72ED" w:rsidP="007E72ED">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7E72ED" w:rsidRPr="007E72ED" w:rsidRDefault="007E72ED" w:rsidP="007E72ED">
      <w:pPr>
        <w:tabs>
          <w:tab w:val="left" w:pos="993"/>
        </w:tabs>
        <w:spacing w:after="0" w:line="360" w:lineRule="auto"/>
        <w:jc w:val="both"/>
        <w:rPr>
          <w:rFonts w:ascii="Times New Roman" w:eastAsia="Times New Roman" w:hAnsi="Times New Roman" w:cs="Times New Roman"/>
          <w:color w:val="000000"/>
          <w:sz w:val="24"/>
          <w:szCs w:val="24"/>
          <w:lang w:eastAsia="lt-LT"/>
        </w:rPr>
      </w:pPr>
      <w:r w:rsidRPr="007E72ED">
        <w:rPr>
          <w:rFonts w:ascii="Times New Roman" w:eastAsia="Times New Roman" w:hAnsi="Times New Roman" w:cs="Times New Roman"/>
          <w:color w:val="000000"/>
          <w:sz w:val="24"/>
          <w:szCs w:val="24"/>
          <w:lang w:eastAsia="lt-LT"/>
        </w:rPr>
        <w:t>K. Capel Cuevas, tel. (0 5)  209 6168, el. p. kristina.capel@lrs.lt</w:t>
      </w:r>
    </w:p>
    <w:p w:rsidR="00E80D51" w:rsidRPr="004C3735" w:rsidRDefault="00BB43AF">
      <w:pPr>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Šataitytė-Molienė</w:t>
      </w:r>
      <w:proofErr w:type="spellEnd"/>
      <w:r>
        <w:rPr>
          <w:rFonts w:ascii="Times New Roman" w:hAnsi="Times New Roman" w:cs="Times New Roman"/>
          <w:sz w:val="24"/>
          <w:szCs w:val="24"/>
        </w:rPr>
        <w:t>, (0 5)  209 6159, el. p. diana.</w:t>
      </w:r>
      <w:r w:rsidR="007C2966">
        <w:rPr>
          <w:rFonts w:ascii="Times New Roman" w:hAnsi="Times New Roman" w:cs="Times New Roman"/>
          <w:sz w:val="24"/>
          <w:szCs w:val="24"/>
        </w:rPr>
        <w:t>sataityte@lrs.lt</w:t>
      </w:r>
    </w:p>
    <w:sectPr w:rsidR="00E80D51" w:rsidRPr="004C3735" w:rsidSect="004C3735">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735" w:rsidRDefault="004C3735">
      <w:pPr>
        <w:spacing w:after="0" w:line="240" w:lineRule="auto"/>
      </w:pPr>
      <w:r>
        <w:separator/>
      </w:r>
    </w:p>
  </w:endnote>
  <w:endnote w:type="continuationSeparator" w:id="0">
    <w:p w:rsidR="004C3735" w:rsidRDefault="004C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735" w:rsidRDefault="004C3735">
      <w:pPr>
        <w:spacing w:after="0" w:line="240" w:lineRule="auto"/>
      </w:pPr>
      <w:r>
        <w:separator/>
      </w:r>
    </w:p>
  </w:footnote>
  <w:footnote w:type="continuationSeparator" w:id="0">
    <w:p w:rsidR="004C3735" w:rsidRDefault="004C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35" w:rsidRDefault="004C3735" w:rsidP="004C3735">
    <w:pPr>
      <w:pStyle w:val="Antrats"/>
      <w:tabs>
        <w:tab w:val="clear" w:pos="4819"/>
      </w:tabs>
      <w:jc w:val="center"/>
    </w:pPr>
    <w:r>
      <w:fldChar w:fldCharType="begin"/>
    </w:r>
    <w:r>
      <w:instrText>PAGE   \* MERGEFORMAT</w:instrText>
    </w:r>
    <w:r>
      <w:fldChar w:fldCharType="separate"/>
    </w:r>
    <w:r w:rsidR="00E5357D">
      <w:rPr>
        <w:noProof/>
      </w:rPr>
      <w:t>2</w:t>
    </w:r>
    <w:r>
      <w:fldChar w:fldCharType="end"/>
    </w:r>
  </w:p>
  <w:p w:rsidR="004C3735" w:rsidRDefault="004C37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35" w:rsidRDefault="004C3735" w:rsidP="004C3735">
    <w:pPr>
      <w:pStyle w:val="Antrats"/>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ED"/>
    <w:rsid w:val="001A0778"/>
    <w:rsid w:val="001E6C52"/>
    <w:rsid w:val="003340A4"/>
    <w:rsid w:val="00361B0F"/>
    <w:rsid w:val="00370720"/>
    <w:rsid w:val="00413B93"/>
    <w:rsid w:val="00442DC7"/>
    <w:rsid w:val="004931D2"/>
    <w:rsid w:val="004C3735"/>
    <w:rsid w:val="007C00BF"/>
    <w:rsid w:val="007C2966"/>
    <w:rsid w:val="007E72ED"/>
    <w:rsid w:val="00835963"/>
    <w:rsid w:val="008949A9"/>
    <w:rsid w:val="00A91352"/>
    <w:rsid w:val="00AE3BE5"/>
    <w:rsid w:val="00B02AC2"/>
    <w:rsid w:val="00B33240"/>
    <w:rsid w:val="00B60313"/>
    <w:rsid w:val="00BB43AF"/>
    <w:rsid w:val="00C27599"/>
    <w:rsid w:val="00C94664"/>
    <w:rsid w:val="00E3584F"/>
    <w:rsid w:val="00E5357D"/>
    <w:rsid w:val="00E80D51"/>
    <w:rsid w:val="00F974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414F"/>
  <w15:chartTrackingRefBased/>
  <w15:docId w15:val="{D5DC2DF7-C7B1-4A9B-873A-CB4C3CB1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E72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E7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Z6YWEJNPDQQR-896559167-540</_dlc_DocId>
    <_dlc_DocIdUrl xmlns="28130d43-1b56-4a10-ad88-2cd38123f4c1">
      <Url>https://intranetas.lrs.lt/29/_layouts/15/DocIdRedir.aspx?ID=Z6YWEJNPDQQR-896559167-540</Url>
      <Description>Z6YWEJNPDQQR-896559167-540</Description>
    </_dlc_DocIdUrl>
  </documentManagement>
</p:properties>
</file>

<file path=customXml/itemProps1.xml><?xml version="1.0" encoding="utf-8"?>
<ds:datastoreItem xmlns:ds="http://schemas.openxmlformats.org/officeDocument/2006/customXml" ds:itemID="{D6024F29-C64E-44C8-9796-C456FEDD1AE6}"/>
</file>

<file path=customXml/itemProps2.xml><?xml version="1.0" encoding="utf-8"?>
<ds:datastoreItem xmlns:ds="http://schemas.openxmlformats.org/officeDocument/2006/customXml" ds:itemID="{2EAC01BE-B503-4DD7-85A8-946A1D58F7F5}"/>
</file>

<file path=customXml/itemProps3.xml><?xml version="1.0" encoding="utf-8"?>
<ds:datastoreItem xmlns:ds="http://schemas.openxmlformats.org/officeDocument/2006/customXml" ds:itemID="{4CBD0474-87E4-4870-919C-C315C6B9A481}"/>
</file>

<file path=customXml/itemProps4.xml><?xml version="1.0" encoding="utf-8"?>
<ds:datastoreItem xmlns:ds="http://schemas.openxmlformats.org/officeDocument/2006/customXml" ds:itemID="{7AE9CE25-9543-488C-815B-A458AC6BB56A}"/>
</file>

<file path=docProps/app.xml><?xml version="1.0" encoding="utf-8"?>
<Properties xmlns="http://schemas.openxmlformats.org/officeDocument/2006/extended-properties" xmlns:vt="http://schemas.openxmlformats.org/officeDocument/2006/docPropsVTypes">
  <Template>Normal</Template>
  <TotalTime>1</TotalTime>
  <Pages>2</Pages>
  <Words>2997</Words>
  <Characters>1709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CAPEL CUEVAS Kristina</dc:creator>
  <cp:keywords/>
  <dc:description/>
  <cp:lastModifiedBy>KNIUKŠTIENĖ Rimantė</cp:lastModifiedBy>
  <cp:revision>2</cp:revision>
  <dcterms:created xsi:type="dcterms:W3CDTF">2025-06-10T10:38:00Z</dcterms:created>
  <dcterms:modified xsi:type="dcterms:W3CDTF">2025-06-10T10:38:00Z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0147dd80-6599-4831-864f-833403576aca</vt:lpwstr>
  </property>
</Properties>
</file>