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284"/>
        <w:gridCol w:w="2920"/>
        <w:gridCol w:w="3629"/>
      </w:tblGrid>
      <w:tr w:rsidR="008C56AC" w14:paraId="384B055E" w14:textId="77777777">
        <w:trPr>
          <w:jc w:val="center"/>
        </w:trPr>
        <w:tc>
          <w:tcPr>
            <w:tcW w:w="3284" w:type="dxa"/>
          </w:tcPr>
          <w:p w14:paraId="1E272B45" w14:textId="77777777" w:rsidR="008C56AC" w:rsidRDefault="008C56AC">
            <w:pPr>
              <w:jc w:val="center"/>
            </w:pPr>
            <w:bookmarkStart w:id="0" w:name="_GoBack"/>
            <w:bookmarkEnd w:id="0"/>
          </w:p>
        </w:tc>
        <w:tc>
          <w:tcPr>
            <w:tcW w:w="2920" w:type="dxa"/>
          </w:tcPr>
          <w:p w14:paraId="5FB3A5DE" w14:textId="77777777" w:rsidR="008C56AC" w:rsidRDefault="008C56AC">
            <w:pPr>
              <w:jc w:val="center"/>
            </w:pPr>
          </w:p>
        </w:tc>
        <w:sdt>
          <w:sdtPr>
            <w:rPr>
              <w:b/>
              <w:sz w:val="24"/>
            </w:rPr>
            <w:id w:val="875204231"/>
            <w:placeholder>
              <w:docPart w:val="A9892293B8994EFEB517C4D5CAE57D2A"/>
            </w:placeholder>
            <w:temporary/>
            <w:showingPlcHdr/>
          </w:sdtPr>
          <w:sdtEndPr/>
          <w:sdtContent>
            <w:tc>
              <w:tcPr>
                <w:tcW w:w="3629" w:type="dxa"/>
              </w:tcPr>
              <w:p w14:paraId="09EF3182" w14:textId="77777777" w:rsidR="008C56AC" w:rsidRDefault="00A77D9C" w:rsidP="00A77D9C">
                <w:pPr>
                  <w:jc w:val="center"/>
                  <w:rPr>
                    <w:b/>
                    <w:sz w:val="24"/>
                  </w:rPr>
                </w:pPr>
                <w:r w:rsidRPr="00F362A0">
                  <w:rPr>
                    <w:rStyle w:val="Vietosrezervavimoenklotekstas"/>
                  </w:rPr>
                  <w:t>.</w:t>
                </w:r>
              </w:p>
            </w:tc>
          </w:sdtContent>
        </w:sdt>
      </w:tr>
      <w:tr w:rsidR="008C56AC" w14:paraId="485DBF40" w14:textId="77777777">
        <w:trPr>
          <w:jc w:val="center"/>
        </w:trPr>
        <w:tc>
          <w:tcPr>
            <w:tcW w:w="3284" w:type="dxa"/>
          </w:tcPr>
          <w:p w14:paraId="3119C961" w14:textId="77777777" w:rsidR="008C56AC" w:rsidRDefault="008C56AC">
            <w:pPr>
              <w:jc w:val="center"/>
            </w:pPr>
          </w:p>
        </w:tc>
        <w:tc>
          <w:tcPr>
            <w:tcW w:w="2920" w:type="dxa"/>
          </w:tcPr>
          <w:p w14:paraId="454F6D19" w14:textId="77777777" w:rsidR="008C56AC" w:rsidRDefault="00995F21">
            <w:pPr>
              <w:jc w:val="center"/>
            </w:pPr>
            <w:bookmarkStart w:id="1" w:name="_MON_1051091062"/>
            <w:bookmarkStart w:id="2" w:name="_MON_1051000241"/>
            <w:bookmarkStart w:id="3" w:name="_MON_1051000405"/>
            <w:bookmarkStart w:id="4" w:name="_MON_1051000430"/>
            <w:bookmarkStart w:id="5" w:name="_MON_1051000472"/>
            <w:bookmarkStart w:id="6" w:name="_MON_1051000718"/>
            <w:bookmarkEnd w:id="1"/>
            <w:bookmarkEnd w:id="2"/>
            <w:bookmarkEnd w:id="3"/>
            <w:bookmarkEnd w:id="4"/>
            <w:bookmarkEnd w:id="5"/>
            <w:bookmarkEnd w:id="6"/>
            <w:r w:rsidRPr="00E0433B">
              <w:rPr>
                <w:noProof/>
                <w:lang w:eastAsia="lt-LT"/>
              </w:rPr>
              <w:drawing>
                <wp:inline distT="0" distB="0" distL="0" distR="0" wp14:anchorId="676FB705" wp14:editId="43CD160F">
                  <wp:extent cx="482600" cy="546947"/>
                  <wp:effectExtent l="0" t="0" r="0" b="5715"/>
                  <wp:docPr id="17" name="Paveikslėlis 17" descr="Lietuvos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veikslėlis 17" descr="Lietuvos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104" cy="558852"/>
                          </a:xfrm>
                          <a:prstGeom prst="rect">
                            <a:avLst/>
                          </a:prstGeom>
                          <a:noFill/>
                          <a:ln>
                            <a:noFill/>
                          </a:ln>
                        </pic:spPr>
                      </pic:pic>
                    </a:graphicData>
                  </a:graphic>
                </wp:inline>
              </w:drawing>
            </w:r>
          </w:p>
        </w:tc>
        <w:tc>
          <w:tcPr>
            <w:tcW w:w="3629" w:type="dxa"/>
          </w:tcPr>
          <w:p w14:paraId="13193047" w14:textId="77777777" w:rsidR="008C56AC" w:rsidRDefault="008C56AC">
            <w:pPr>
              <w:jc w:val="center"/>
            </w:pPr>
          </w:p>
        </w:tc>
      </w:tr>
    </w:tbl>
    <w:p w14:paraId="4F7EE193" w14:textId="77777777" w:rsidR="008C56AC" w:rsidRDefault="008C56AC">
      <w:pPr>
        <w:jc w:val="center"/>
        <w:rPr>
          <w:sz w:val="26"/>
        </w:rPr>
      </w:pPr>
    </w:p>
    <w:p w14:paraId="51A0B0BF" w14:textId="77777777" w:rsidR="008C56AC" w:rsidRDefault="00B331FB">
      <w:pPr>
        <w:jc w:val="center"/>
        <w:rPr>
          <w:b/>
          <w:sz w:val="28"/>
        </w:rPr>
      </w:pPr>
      <w:r w:rsidRPr="00B331FB">
        <w:rPr>
          <w:b/>
          <w:sz w:val="28"/>
        </w:rPr>
        <w:t>LIETUVOS RESPUBLIKOS SUSISIEKIMO MINISTERIJA</w:t>
      </w:r>
    </w:p>
    <w:p w14:paraId="1CA98241" w14:textId="77777777" w:rsidR="008C56AC" w:rsidRDefault="008C56AC">
      <w:pPr>
        <w:jc w:val="center"/>
        <w:rPr>
          <w:sz w:val="24"/>
        </w:rPr>
      </w:pPr>
    </w:p>
    <w:p w14:paraId="2DF6BC8C" w14:textId="77777777" w:rsidR="008C56AC" w:rsidRDefault="00B331FB" w:rsidP="007F6C67">
      <w:pPr>
        <w:ind w:left="567" w:right="567"/>
        <w:jc w:val="center"/>
        <w:rPr>
          <w:sz w:val="18"/>
        </w:rPr>
      </w:pPr>
      <w:r w:rsidRPr="00B331FB">
        <w:rPr>
          <w:sz w:val="18"/>
        </w:rPr>
        <w:t>Biudžetinė įstaiga,   Gedimino pr. 17, LT-01</w:t>
      </w:r>
      <w:r w:rsidR="005E5042">
        <w:rPr>
          <w:sz w:val="18"/>
        </w:rPr>
        <w:t>103</w:t>
      </w:r>
      <w:r w:rsidRPr="00B331FB">
        <w:rPr>
          <w:sz w:val="18"/>
        </w:rPr>
        <w:t xml:space="preserve"> Vilnius,   tel. </w:t>
      </w:r>
      <w:r w:rsidR="00CC0393">
        <w:rPr>
          <w:sz w:val="18"/>
        </w:rPr>
        <w:t>+370</w:t>
      </w:r>
      <w:r w:rsidRPr="00B331FB">
        <w:rPr>
          <w:sz w:val="18"/>
        </w:rPr>
        <w:t xml:space="preserve"> 5 2</w:t>
      </w:r>
      <w:r w:rsidR="009A481E">
        <w:rPr>
          <w:sz w:val="18"/>
        </w:rPr>
        <w:t>61</w:t>
      </w:r>
      <w:r w:rsidRPr="00B331FB">
        <w:rPr>
          <w:sz w:val="18"/>
        </w:rPr>
        <w:t xml:space="preserve"> </w:t>
      </w:r>
      <w:r w:rsidR="009A481E">
        <w:rPr>
          <w:sz w:val="18"/>
        </w:rPr>
        <w:t>2363</w:t>
      </w:r>
      <w:r w:rsidR="00583C24">
        <w:rPr>
          <w:sz w:val="18"/>
        </w:rPr>
        <w:t>,</w:t>
      </w:r>
    </w:p>
    <w:p w14:paraId="6DAC24E4" w14:textId="77777777" w:rsidR="00D81794" w:rsidRDefault="00B331FB" w:rsidP="007F6C67">
      <w:pPr>
        <w:ind w:left="567" w:right="567"/>
        <w:jc w:val="center"/>
        <w:rPr>
          <w:sz w:val="18"/>
        </w:rPr>
      </w:pPr>
      <w:r w:rsidRPr="00B331FB">
        <w:rPr>
          <w:sz w:val="18"/>
        </w:rPr>
        <w:t xml:space="preserve">faks. </w:t>
      </w:r>
      <w:r w:rsidR="00CC0393">
        <w:rPr>
          <w:sz w:val="18"/>
        </w:rPr>
        <w:t xml:space="preserve">+370 </w:t>
      </w:r>
      <w:r w:rsidRPr="00B331FB">
        <w:rPr>
          <w:sz w:val="18"/>
        </w:rPr>
        <w:t>5 212 4335</w:t>
      </w:r>
      <w:r w:rsidR="00583C24">
        <w:rPr>
          <w:sz w:val="18"/>
        </w:rPr>
        <w:t>,</w:t>
      </w:r>
      <w:r w:rsidRPr="00B331FB">
        <w:rPr>
          <w:sz w:val="18"/>
        </w:rPr>
        <w:t xml:space="preserve"> el.</w:t>
      </w:r>
      <w:r w:rsidR="009A00B5">
        <w:rPr>
          <w:sz w:val="18"/>
        </w:rPr>
        <w:t xml:space="preserve"> </w:t>
      </w:r>
      <w:r w:rsidRPr="00B331FB">
        <w:rPr>
          <w:sz w:val="18"/>
        </w:rPr>
        <w:t xml:space="preserve">p. </w:t>
      </w:r>
      <w:proofErr w:type="spellStart"/>
      <w:r w:rsidRPr="00B331FB">
        <w:rPr>
          <w:sz w:val="18"/>
        </w:rPr>
        <w:t>sumin@sumin.lt</w:t>
      </w:r>
      <w:proofErr w:type="spellEnd"/>
      <w:r w:rsidR="009A00B5">
        <w:rPr>
          <w:sz w:val="18"/>
        </w:rPr>
        <w:t>.</w:t>
      </w:r>
    </w:p>
    <w:p w14:paraId="00103D76" w14:textId="77777777" w:rsidR="00D81794" w:rsidRDefault="00B331FB" w:rsidP="007F6C67">
      <w:pPr>
        <w:ind w:left="567" w:right="567"/>
        <w:jc w:val="center"/>
        <w:rPr>
          <w:sz w:val="18"/>
        </w:rPr>
      </w:pPr>
      <w:r w:rsidRPr="00B331FB">
        <w:rPr>
          <w:sz w:val="18"/>
        </w:rPr>
        <w:t>Duomenys kaupiami ir saugomi Juridinių asmenų registre,   kodas 188620589</w:t>
      </w:r>
    </w:p>
    <w:p w14:paraId="0A128A73" w14:textId="77777777" w:rsidR="008C56AC" w:rsidRDefault="009A481E">
      <w:pPr>
        <w:jc w:val="center"/>
        <w:rPr>
          <w:b/>
          <w:sz w:val="28"/>
        </w:rPr>
      </w:pPr>
      <w:r>
        <w:rPr>
          <w:b/>
          <w:noProof/>
          <w:sz w:val="28"/>
          <w:lang w:eastAsia="lt-LT"/>
        </w:rPr>
        <mc:AlternateContent>
          <mc:Choice Requires="wps">
            <w:drawing>
              <wp:anchor distT="0" distB="0" distL="114300" distR="114300" simplePos="0" relativeHeight="251657728" behindDoc="0" locked="0" layoutInCell="0" allowOverlap="1" wp14:anchorId="2DD4284C" wp14:editId="3F1AC633">
                <wp:simplePos x="0" y="0"/>
                <wp:positionH relativeFrom="column">
                  <wp:posOffset>10160</wp:posOffset>
                </wp:positionH>
                <wp:positionV relativeFrom="paragraph">
                  <wp:posOffset>26035</wp:posOffset>
                </wp:positionV>
                <wp:extent cx="6120130" cy="0"/>
                <wp:effectExtent l="10160" t="6985" r="13335" b="1206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7CBF2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05pt" to="482.7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UiLKrgEAAEkDAAAOAAAAZHJzL2Uyb0RvYy54bWysU8Fu2zAMvQ/YPwi6L3YyoBuMOD2k7S7d FqDtBzCSbAuVRUFUYufvR6lJVmy3YT4Ikkg+vfdIr2/n0YmjiWTRt3K5qKUwXqG2vm/ly/PDp69S UAKvwaE3rTwZkrebjx/WU2jMCgd02kTBIJ6aKbRySCk0VUVqMCPQAoPxHOwwjpD4GPtKR5gYfXTV qq5vqgmjDhGVIeLbu7eg3BT8rjMq/ew6Mkm4VjK3VNZY1n1eq80amj5CGKw604B/YDGC9fzoFeoO EohDtH9BjVZFJOzSQuFYYddZZYoGVrOs/1DzNEAwRQubQ+FqE/0/WPXjuPW7mKmr2T+FR1SvJDxu B/C9KQSeT4Ebt8xWVVOg5lqSDxR2Ueyn76g5Bw4JiwtzF8cMyfrEXMw+Xc02cxKKL2+WrPgz90Rd YhU0l8IQKX0zOIq8aaWzPvsADRwfKWUi0FxS8rXHB+tc6aXzYmK2qy91XSoIndU5mvMo9vuti+II eRzKV2Rx5H1axIPXBW0woO/P+wTWve35defPbmQD8rRRs0d92sWLS9yvQvM8W3kg3p9L9e8/YPML AAD//wMAUEsDBBQABgAIAAAAIQBwIe2B2gAAAAUBAAAPAAAAZHJzL2Rvd25yZXYueG1sTI7BTsMw EETvSPyDtUjcqNOqhBDiVAhUVSAubZG4bpMlDsTrNHbb8PcsXOD4NKOZVyxG16kjDaH1bGA6SUAR V75uuTHwul1eZaBCRK6x80wGvijAojw/KzCv/YnXdNzERskIhxwN2Bj7XOtQWXIYJr4nluzdDw6j 4NDoesCTjLtOz5Ik1Q5blgeLPT1Yqj43B2cAH1fr+JbNnm/aJ/vysV3uVzbbG3N5Md7fgYo0xr8y /OiLOpTitPMHroPqhFMpGphPQUl6m17PQe1+WZeF/m9ffgMAAP//AwBQSwECLQAUAAYACAAAACEA toM4kv4AAADhAQAAEwAAAAAAAAAAAAAAAAAAAAAAW0NvbnRlbnRfVHlwZXNdLnhtbFBLAQItABQA BgAIAAAAIQA4/SH/1gAAAJQBAAALAAAAAAAAAAAAAAAAAC8BAABfcmVscy8ucmVsc1BLAQItABQA BgAIAAAAIQA9UiLKrgEAAEkDAAAOAAAAAAAAAAAAAAAAAC4CAABkcnMvZTJvRG9jLnhtbFBLAQIt ABQABgAIAAAAIQBwIe2B2gAAAAUBAAAPAAAAAAAAAAAAAAAAAAgEAABkcnMvZG93bnJldi54bWxQ SwUGAAAAAAQABADzAAAADwUAAAAA " o:allowincell="f" strokeweight="1pt">
                <w10:wrap type="topAndBottom"/>
              </v:line>
            </w:pict>
          </mc:Fallback>
        </mc:AlternateContent>
      </w:r>
    </w:p>
    <w:tbl>
      <w:tblPr>
        <w:tblW w:w="9852" w:type="dxa"/>
        <w:tblLayout w:type="fixed"/>
        <w:tblLook w:val="0000" w:firstRow="0" w:lastRow="0" w:firstColumn="0" w:lastColumn="0" w:noHBand="0" w:noVBand="0"/>
      </w:tblPr>
      <w:tblGrid>
        <w:gridCol w:w="4503"/>
        <w:gridCol w:w="850"/>
        <w:gridCol w:w="4499"/>
      </w:tblGrid>
      <w:tr w:rsidR="008C56AC" w:rsidRPr="00B331FB" w14:paraId="592E06FC" w14:textId="77777777" w:rsidTr="00661B66">
        <w:tc>
          <w:tcPr>
            <w:tcW w:w="4503" w:type="dxa"/>
          </w:tcPr>
          <w:p w14:paraId="729F03EF" w14:textId="6DD92F1D" w:rsidR="008C56AC" w:rsidRDefault="00661B66">
            <w:pPr>
              <w:rPr>
                <w:sz w:val="24"/>
              </w:rPr>
            </w:pPr>
            <w:r>
              <w:rPr>
                <w:sz w:val="24"/>
              </w:rPr>
              <w:t>Lietuvos Respublikos Seimo</w:t>
            </w:r>
          </w:p>
          <w:p w14:paraId="2ABF2EFE" w14:textId="5360EE5E" w:rsidR="00661B66" w:rsidRDefault="00661B66">
            <w:pPr>
              <w:rPr>
                <w:sz w:val="24"/>
              </w:rPr>
            </w:pPr>
            <w:r>
              <w:rPr>
                <w:sz w:val="24"/>
              </w:rPr>
              <w:t>Peticijų komisijai</w:t>
            </w:r>
          </w:p>
          <w:p w14:paraId="70F99352" w14:textId="70BA8789" w:rsidR="008C56AC" w:rsidRDefault="008C56AC" w:rsidP="00B331FB">
            <w:pPr>
              <w:rPr>
                <w:sz w:val="24"/>
              </w:rPr>
            </w:pPr>
          </w:p>
        </w:tc>
        <w:tc>
          <w:tcPr>
            <w:tcW w:w="850" w:type="dxa"/>
          </w:tcPr>
          <w:p w14:paraId="3195AE4C" w14:textId="77777777" w:rsidR="008C56AC" w:rsidRDefault="008C56AC">
            <w:pPr>
              <w:jc w:val="center"/>
              <w:rPr>
                <w:sz w:val="24"/>
              </w:rPr>
            </w:pPr>
          </w:p>
        </w:tc>
        <w:tc>
          <w:tcPr>
            <w:tcW w:w="4499" w:type="dxa"/>
          </w:tcPr>
          <w:p w14:paraId="564C56AD" w14:textId="0A050268" w:rsidR="008C56AC" w:rsidRDefault="008C56AC">
            <w:pPr>
              <w:jc w:val="both"/>
              <w:rPr>
                <w:sz w:val="24"/>
              </w:rPr>
            </w:pPr>
            <w:r>
              <w:rPr>
                <w:sz w:val="24"/>
              </w:rPr>
              <w:t xml:space="preserve">  </w:t>
            </w:r>
            <w:r w:rsidR="00661B66">
              <w:rPr>
                <w:sz w:val="24"/>
                <w:lang w:val="en-US"/>
              </w:rPr>
              <w:t>2025-02-</w:t>
            </w:r>
            <w:r>
              <w:rPr>
                <w:sz w:val="24"/>
              </w:rPr>
              <w:t xml:space="preserve"> </w:t>
            </w:r>
            <w:r>
              <w:rPr>
                <w:sz w:val="24"/>
              </w:rPr>
              <w:tab/>
              <w:t xml:space="preserve">Nr. </w:t>
            </w:r>
            <w:sdt>
              <w:sdtPr>
                <w:rPr>
                  <w:sz w:val="24"/>
                </w:rPr>
                <w:id w:val="875203839"/>
                <w:placeholder>
                  <w:docPart w:val="26327B7EC73E4E45BC5D3A324F23B3AE"/>
                </w:placeholder>
                <w:temporary/>
                <w:showingPlcHdr/>
              </w:sdtPr>
              <w:sdtEndPr/>
              <w:sdtContent>
                <w:r w:rsidR="00D944D9">
                  <w:rPr>
                    <w:sz w:val="24"/>
                  </w:rPr>
                  <w:t xml:space="preserve">      </w:t>
                </w:r>
              </w:sdtContent>
            </w:sdt>
          </w:p>
          <w:p w14:paraId="49A6061C" w14:textId="77777777" w:rsidR="008C56AC" w:rsidRDefault="008C56AC">
            <w:pPr>
              <w:jc w:val="both"/>
              <w:rPr>
                <w:sz w:val="12"/>
              </w:rPr>
            </w:pPr>
          </w:p>
          <w:p w14:paraId="01454328" w14:textId="42049167" w:rsidR="008C56AC" w:rsidRDefault="008C56AC" w:rsidP="00D944D9">
            <w:pPr>
              <w:rPr>
                <w:sz w:val="26"/>
              </w:rPr>
            </w:pPr>
            <w:r>
              <w:rPr>
                <w:sz w:val="24"/>
              </w:rPr>
              <w:t xml:space="preserve">Į </w:t>
            </w:r>
            <w:r w:rsidR="00661B66">
              <w:rPr>
                <w:sz w:val="24"/>
              </w:rPr>
              <w:t>2025-01-28</w:t>
            </w:r>
            <w:r>
              <w:rPr>
                <w:sz w:val="24"/>
              </w:rPr>
              <w:t xml:space="preserve"> </w:t>
            </w:r>
            <w:r>
              <w:rPr>
                <w:sz w:val="24"/>
              </w:rPr>
              <w:tab/>
              <w:t xml:space="preserve">Nr. </w:t>
            </w:r>
            <w:r w:rsidR="00661B66" w:rsidRPr="00661B66">
              <w:rPr>
                <w:sz w:val="24"/>
              </w:rPr>
              <w:t>S-2025-444</w:t>
            </w:r>
          </w:p>
        </w:tc>
      </w:tr>
      <w:tr w:rsidR="008C56AC" w:rsidRPr="00B331FB" w14:paraId="7AE809C9" w14:textId="77777777" w:rsidTr="00661B66">
        <w:tc>
          <w:tcPr>
            <w:tcW w:w="4503" w:type="dxa"/>
          </w:tcPr>
          <w:p w14:paraId="40654DC1" w14:textId="77777777" w:rsidR="008C56AC" w:rsidRDefault="008C56AC">
            <w:pPr>
              <w:jc w:val="center"/>
              <w:rPr>
                <w:sz w:val="24"/>
              </w:rPr>
            </w:pPr>
          </w:p>
          <w:p w14:paraId="55CEC6E4" w14:textId="77777777" w:rsidR="006453AE" w:rsidRDefault="006453AE">
            <w:pPr>
              <w:jc w:val="center"/>
              <w:rPr>
                <w:sz w:val="24"/>
              </w:rPr>
            </w:pPr>
          </w:p>
        </w:tc>
        <w:tc>
          <w:tcPr>
            <w:tcW w:w="850" w:type="dxa"/>
          </w:tcPr>
          <w:p w14:paraId="78B0F9DB" w14:textId="77777777" w:rsidR="008C56AC" w:rsidRDefault="008C56AC">
            <w:pPr>
              <w:jc w:val="center"/>
              <w:rPr>
                <w:sz w:val="24"/>
              </w:rPr>
            </w:pPr>
          </w:p>
        </w:tc>
        <w:tc>
          <w:tcPr>
            <w:tcW w:w="4499" w:type="dxa"/>
          </w:tcPr>
          <w:p w14:paraId="386E4F61" w14:textId="77777777" w:rsidR="008C56AC" w:rsidRDefault="008C56AC">
            <w:pPr>
              <w:jc w:val="right"/>
              <w:rPr>
                <w:sz w:val="24"/>
              </w:rPr>
            </w:pPr>
          </w:p>
        </w:tc>
      </w:tr>
    </w:tbl>
    <w:p w14:paraId="239A1E76" w14:textId="77777777" w:rsidR="00661B66" w:rsidRPr="009439B6" w:rsidRDefault="00661B66" w:rsidP="00661B66">
      <w:pPr>
        <w:jc w:val="both"/>
        <w:rPr>
          <w:b/>
          <w:bCs/>
          <w:sz w:val="24"/>
          <w:szCs w:val="24"/>
        </w:rPr>
      </w:pPr>
      <w:r w:rsidRPr="009439B6">
        <w:rPr>
          <w:b/>
          <w:bCs/>
          <w:sz w:val="24"/>
          <w:szCs w:val="24"/>
        </w:rPr>
        <w:t>DĖL NUOMONĖS PATEIKIMO</w:t>
      </w:r>
    </w:p>
    <w:p w14:paraId="6A8F4FD5" w14:textId="77777777" w:rsidR="00661B66" w:rsidRDefault="00661B66" w:rsidP="006453AE">
      <w:pPr>
        <w:spacing w:line="276" w:lineRule="auto"/>
        <w:jc w:val="both"/>
        <w:rPr>
          <w:rFonts w:eastAsia="Aptos"/>
          <w:b/>
          <w:bCs/>
          <w:kern w:val="2"/>
          <w:sz w:val="24"/>
          <w:szCs w:val="24"/>
          <w14:ligatures w14:val="standardContextual"/>
        </w:rPr>
      </w:pPr>
    </w:p>
    <w:p w14:paraId="16F69CB6" w14:textId="79017058" w:rsidR="00661B66" w:rsidRPr="009439B6" w:rsidRDefault="00661B66" w:rsidP="006453AE">
      <w:pPr>
        <w:spacing w:line="276" w:lineRule="auto"/>
        <w:ind w:firstLine="709"/>
        <w:contextualSpacing/>
        <w:jc w:val="both"/>
        <w:rPr>
          <w:bCs/>
          <w:sz w:val="24"/>
          <w:szCs w:val="24"/>
        </w:rPr>
      </w:pPr>
      <w:r w:rsidRPr="009439B6">
        <w:rPr>
          <w:bCs/>
          <w:sz w:val="24"/>
          <w:szCs w:val="24"/>
        </w:rPr>
        <w:t>Lietuvos Respublikos susisiekimo ministerija (toliau – Susisiekimo ministerija) pagal kompetenciją išnagrinėjo Jūsų 2025 m. sausio 28 d. raštą</w:t>
      </w:r>
      <w:r w:rsidRPr="009439B6">
        <w:rPr>
          <w:rStyle w:val="Puslapioinaosnuoroda"/>
          <w:bCs/>
          <w:sz w:val="24"/>
          <w:szCs w:val="24"/>
        </w:rPr>
        <w:footnoteReference w:id="1"/>
      </w:r>
      <w:r w:rsidRPr="009439B6">
        <w:rPr>
          <w:bCs/>
          <w:sz w:val="24"/>
          <w:szCs w:val="24"/>
        </w:rPr>
        <w:t>, kuriame prašoma pateikti nuomonę dėl peticijoje</w:t>
      </w:r>
      <w:r w:rsidR="006453AE" w:rsidRPr="009439B6">
        <w:rPr>
          <w:rStyle w:val="Puslapioinaosnuoroda"/>
          <w:bCs/>
          <w:sz w:val="24"/>
          <w:szCs w:val="24"/>
        </w:rPr>
        <w:footnoteReference w:id="2"/>
      </w:r>
      <w:r w:rsidRPr="009439B6">
        <w:rPr>
          <w:bCs/>
          <w:sz w:val="24"/>
          <w:szCs w:val="24"/>
        </w:rPr>
        <w:t xml:space="preserve"> išdėstytų reikalavimų.</w:t>
      </w:r>
    </w:p>
    <w:p w14:paraId="0DE6AF0A" w14:textId="77777777" w:rsidR="00661B66" w:rsidRPr="009439B6" w:rsidRDefault="00661B66" w:rsidP="006453AE">
      <w:pPr>
        <w:spacing w:line="276" w:lineRule="auto"/>
        <w:ind w:firstLine="709"/>
        <w:contextualSpacing/>
        <w:jc w:val="both"/>
        <w:rPr>
          <w:sz w:val="24"/>
          <w:szCs w:val="24"/>
        </w:rPr>
      </w:pPr>
      <w:r w:rsidRPr="009439B6">
        <w:rPr>
          <w:bCs/>
          <w:sz w:val="24"/>
          <w:szCs w:val="24"/>
        </w:rPr>
        <w:t xml:space="preserve">Susisiekimo ministerija, siekdama užtikrinti eismo dalyvių saugumą, atsižvelgdama į eismo įvykių statistinius duomenis, taip pat dviračių ir pėsčiųjų eismo infrastruktūros planavimo ir projektavimo principus, nepritaria peticijoje nurodytam reikalavimui panaikinti Lietuvos Respublikos saugaus eismo automobilių keliais įstatymo (toliau – Įstatymas) </w:t>
      </w:r>
      <w:r w:rsidRPr="009439B6">
        <w:rPr>
          <w:sz w:val="24"/>
          <w:szCs w:val="24"/>
        </w:rPr>
        <w:t>17</w:t>
      </w:r>
      <w:r w:rsidRPr="009439B6">
        <w:rPr>
          <w:sz w:val="24"/>
          <w:szCs w:val="24"/>
          <w:vertAlign w:val="superscript"/>
        </w:rPr>
        <w:t>1</w:t>
      </w:r>
      <w:r w:rsidRPr="009439B6">
        <w:rPr>
          <w:sz w:val="24"/>
          <w:szCs w:val="24"/>
        </w:rPr>
        <w:t xml:space="preserve"> straipsnio 4 dalies 5 punkte įtvirtintą draudimą elektrinių </w:t>
      </w:r>
      <w:proofErr w:type="spellStart"/>
      <w:r w:rsidRPr="009439B6">
        <w:rPr>
          <w:sz w:val="24"/>
          <w:szCs w:val="24"/>
        </w:rPr>
        <w:t>mikrojudumo</w:t>
      </w:r>
      <w:proofErr w:type="spellEnd"/>
      <w:r w:rsidRPr="009439B6">
        <w:rPr>
          <w:sz w:val="24"/>
          <w:szCs w:val="24"/>
        </w:rPr>
        <w:t xml:space="preserve"> priemonių vairuotojams važiuoti per pėsčiųjų perėjas</w:t>
      </w:r>
      <w:r w:rsidRPr="009439B6">
        <w:rPr>
          <w:b/>
          <w:bCs/>
          <w:sz w:val="24"/>
          <w:szCs w:val="24"/>
        </w:rPr>
        <w:t xml:space="preserve"> </w:t>
      </w:r>
      <w:r w:rsidRPr="009439B6">
        <w:rPr>
          <w:sz w:val="24"/>
          <w:szCs w:val="24"/>
        </w:rPr>
        <w:t xml:space="preserve">dėl šių priežasčių: </w:t>
      </w:r>
    </w:p>
    <w:p w14:paraId="65D5B998" w14:textId="77777777" w:rsidR="00661B66" w:rsidRPr="009439B6" w:rsidRDefault="00661B66" w:rsidP="006453AE">
      <w:pPr>
        <w:spacing w:line="276" w:lineRule="auto"/>
        <w:ind w:firstLine="709"/>
        <w:contextualSpacing/>
        <w:jc w:val="both"/>
        <w:rPr>
          <w:bCs/>
          <w:sz w:val="24"/>
          <w:szCs w:val="24"/>
        </w:rPr>
      </w:pPr>
      <w:r w:rsidRPr="009439B6">
        <w:rPr>
          <w:bCs/>
          <w:sz w:val="24"/>
          <w:szCs w:val="24"/>
        </w:rPr>
        <w:t>1. Įstatymo 2 straipsnio 50 dalyje nustatyta, kad „Pėsčiųjų perėja – pėsčiųjų perėjimo per kelią vieta, pažymėta nurodomaisiais kelio ženklais „Pėsčiųjų perėja“ ir ženklinimo linijomis arba tik kelio ženklais „Pėsčiųjų perėja“ &lt;...&gt;“.</w:t>
      </w:r>
    </w:p>
    <w:p w14:paraId="533DE771" w14:textId="77777777" w:rsidR="00661B66" w:rsidRPr="009439B6" w:rsidRDefault="00661B66" w:rsidP="006453AE">
      <w:pPr>
        <w:spacing w:line="276" w:lineRule="auto"/>
        <w:ind w:firstLine="709"/>
        <w:contextualSpacing/>
        <w:jc w:val="both"/>
        <w:rPr>
          <w:bCs/>
          <w:sz w:val="24"/>
          <w:szCs w:val="24"/>
        </w:rPr>
      </w:pPr>
      <w:r w:rsidRPr="009439B6">
        <w:rPr>
          <w:bCs/>
          <w:sz w:val="24"/>
          <w:szCs w:val="24"/>
        </w:rPr>
        <w:t xml:space="preserve">Pėsčiųjų perėja yra išskirtinai pėstiesiems numatytas eismo organizavimo elementas, kuriame įprastai eismo dalyviai juda pėsčiomis, pėsčiųjų judėjimo greičiu. </w:t>
      </w:r>
      <w:r w:rsidRPr="009439B6">
        <w:rPr>
          <w:sz w:val="24"/>
          <w:szCs w:val="24"/>
        </w:rPr>
        <w:t xml:space="preserve">Elektrinių </w:t>
      </w:r>
      <w:proofErr w:type="spellStart"/>
      <w:r w:rsidRPr="009439B6">
        <w:rPr>
          <w:sz w:val="24"/>
          <w:szCs w:val="24"/>
        </w:rPr>
        <w:t>mikrojudumo</w:t>
      </w:r>
      <w:proofErr w:type="spellEnd"/>
      <w:r w:rsidRPr="009439B6">
        <w:rPr>
          <w:sz w:val="24"/>
          <w:szCs w:val="24"/>
        </w:rPr>
        <w:t xml:space="preserve"> priemonių vairuotojų, dviračių ir motorinių dviračių vairuotojų </w:t>
      </w:r>
      <w:r w:rsidRPr="009439B6">
        <w:rPr>
          <w:bCs/>
          <w:sz w:val="24"/>
          <w:szCs w:val="24"/>
        </w:rPr>
        <w:t>eismui per važiuojamąją kelio dalį (nenulipus nuo transporto priemonės) organizuoti yra specialiai skirtas ir Kelių eismo taisyklių</w:t>
      </w:r>
      <w:r w:rsidRPr="00454BB2">
        <w:rPr>
          <w:rStyle w:val="Puslapioinaosnuoroda"/>
          <w:sz w:val="22"/>
          <w:szCs w:val="28"/>
        </w:rPr>
        <w:footnoteReference w:id="3"/>
      </w:r>
      <w:r w:rsidRPr="009439B6">
        <w:rPr>
          <w:bCs/>
          <w:sz w:val="24"/>
          <w:szCs w:val="24"/>
        </w:rPr>
        <w:t xml:space="preserve"> 3 priedo 1.14 papunktyje nustatytas horizontalusis ženklinimas – dviračių pervaža – dvi lygiagrečios linijos, sudarytos iš kvadratų, žyminčios vietą, kur dviračių takas, dviračių juosta kerta važiuojamąją dalį. Esamas teisinis reglamentavimas leidžia dviratininkams ir elektrinių </w:t>
      </w:r>
      <w:proofErr w:type="spellStart"/>
      <w:r w:rsidRPr="009439B6">
        <w:rPr>
          <w:bCs/>
          <w:sz w:val="24"/>
          <w:szCs w:val="24"/>
        </w:rPr>
        <w:t>mikrojudumo</w:t>
      </w:r>
      <w:proofErr w:type="spellEnd"/>
      <w:r w:rsidRPr="009439B6">
        <w:rPr>
          <w:bCs/>
          <w:sz w:val="24"/>
          <w:szCs w:val="24"/>
        </w:rPr>
        <w:t xml:space="preserve"> priemonių vairuotojams kirsti važiuojamąją dalį nenulipant nuo transporto priemonės važiuojant per dviračių pervažą, taip apsaugant pėsčiuosius, sudaro patogias sąlygas dviračių ir elektrinių </w:t>
      </w:r>
      <w:proofErr w:type="spellStart"/>
      <w:r w:rsidRPr="009439B6">
        <w:rPr>
          <w:bCs/>
          <w:sz w:val="24"/>
          <w:szCs w:val="24"/>
        </w:rPr>
        <w:t>mikrojudumo</w:t>
      </w:r>
      <w:proofErr w:type="spellEnd"/>
      <w:r w:rsidRPr="009439B6">
        <w:rPr>
          <w:bCs/>
          <w:sz w:val="24"/>
          <w:szCs w:val="24"/>
        </w:rPr>
        <w:t xml:space="preserve"> priemonių eismui, o dviračių pervažos ženklinimas informuoja automobilių vairuotojus apie dviračių tako tęsinį, kuris kerta važiuojamąją dalį.</w:t>
      </w:r>
    </w:p>
    <w:p w14:paraId="08E4B11F" w14:textId="77777777" w:rsidR="00661B66" w:rsidRPr="009439B6" w:rsidRDefault="00661B66" w:rsidP="006453AE">
      <w:pPr>
        <w:spacing w:line="276" w:lineRule="auto"/>
        <w:ind w:firstLine="709"/>
        <w:contextualSpacing/>
        <w:jc w:val="both"/>
        <w:rPr>
          <w:bCs/>
          <w:sz w:val="24"/>
          <w:szCs w:val="24"/>
        </w:rPr>
      </w:pPr>
      <w:r w:rsidRPr="009439B6">
        <w:rPr>
          <w:bCs/>
          <w:sz w:val="24"/>
          <w:szCs w:val="24"/>
        </w:rPr>
        <w:t xml:space="preserve">Atsižvelgiant į tai, Įstatymo </w:t>
      </w:r>
      <w:r w:rsidRPr="009439B6">
        <w:rPr>
          <w:sz w:val="24"/>
          <w:szCs w:val="24"/>
        </w:rPr>
        <w:t>17</w:t>
      </w:r>
      <w:r w:rsidRPr="009439B6">
        <w:rPr>
          <w:sz w:val="24"/>
          <w:szCs w:val="24"/>
          <w:vertAlign w:val="superscript"/>
        </w:rPr>
        <w:t>1</w:t>
      </w:r>
      <w:r w:rsidRPr="009439B6">
        <w:rPr>
          <w:sz w:val="24"/>
          <w:szCs w:val="24"/>
        </w:rPr>
        <w:t xml:space="preserve"> straipsnio 4 dalies 5 punkte nustatyta, kad elektrinių </w:t>
      </w:r>
      <w:proofErr w:type="spellStart"/>
      <w:r w:rsidRPr="009439B6">
        <w:rPr>
          <w:sz w:val="24"/>
          <w:szCs w:val="24"/>
        </w:rPr>
        <w:t>mikrojudumo</w:t>
      </w:r>
      <w:proofErr w:type="spellEnd"/>
      <w:r w:rsidRPr="009439B6">
        <w:rPr>
          <w:sz w:val="24"/>
          <w:szCs w:val="24"/>
        </w:rPr>
        <w:t xml:space="preserve"> priemonių vairuotojams draudžiama važiuoti per pėsčiųjų perėjas, o </w:t>
      </w:r>
      <w:r w:rsidRPr="009439B6">
        <w:rPr>
          <w:bCs/>
          <w:sz w:val="24"/>
          <w:szCs w:val="24"/>
        </w:rPr>
        <w:t xml:space="preserve">Kelių eismo taisyklių 64.9 papunktyje nustatyta, kad dviračių vairuotojams draudžiama kirsti važiuojamąją dalį </w:t>
      </w:r>
      <w:r w:rsidRPr="009439B6">
        <w:rPr>
          <w:bCs/>
          <w:sz w:val="24"/>
          <w:szCs w:val="24"/>
        </w:rPr>
        <w:lastRenderedPageBreak/>
        <w:t xml:space="preserve">važiuojant pėsčiųjų perėjomis. Nurodyti draudimai įtvirtinti siekiant užtikrinti pėsčiųjų eismo saugą pėsčiųjų perėjoje (padidinto pavojaus kelio vietoje) ir dviratininkų, motorinių dviračių ir elektrinių </w:t>
      </w:r>
      <w:proofErr w:type="spellStart"/>
      <w:r w:rsidRPr="009439B6">
        <w:rPr>
          <w:bCs/>
          <w:sz w:val="24"/>
          <w:szCs w:val="24"/>
        </w:rPr>
        <w:t>mikrojudumo</w:t>
      </w:r>
      <w:proofErr w:type="spellEnd"/>
      <w:r w:rsidRPr="009439B6">
        <w:rPr>
          <w:bCs/>
          <w:sz w:val="24"/>
          <w:szCs w:val="24"/>
        </w:rPr>
        <w:t xml:space="preserve"> priemonių vairuotojų saugumą jiems kertant važiuojamąją kelio dalį. Nesant Kelių eismo taisyklių 3 priedo 1.14 papunktyje nustatyto horizontaliojo ženklinimo, automobilių vairuotojai nėra įspėjami apie galimą dviračių eismą, kertantį važiuojamąją dalį. Kaip rodo eismo įvykių pėsčiųjų perėjose, kai susiduria automobiliai ir dviračiai, motoriniai dviračiai, elektrinės </w:t>
      </w:r>
      <w:proofErr w:type="spellStart"/>
      <w:r w:rsidRPr="009439B6">
        <w:rPr>
          <w:bCs/>
          <w:sz w:val="24"/>
          <w:szCs w:val="24"/>
        </w:rPr>
        <w:t>mikrojudumo</w:t>
      </w:r>
      <w:proofErr w:type="spellEnd"/>
      <w:r w:rsidRPr="009439B6">
        <w:rPr>
          <w:bCs/>
          <w:sz w:val="24"/>
          <w:szCs w:val="24"/>
        </w:rPr>
        <w:t xml:space="preserve"> priemonės, aplinkybės, dėl ženkliai didesnio nei pėsčiųjų išvystomo judėjimo greičio (artėjant prie pėsčiųjų perėjos) ir greitesnio kliūties sudarymo pėsčiųjų perėjos prieigose, automobilių vairuotojai netenka galimybės laiku sureaguoti į minėtas transporto priemones ir sustabdyti vairuojamą transporto priemonę.</w:t>
      </w:r>
    </w:p>
    <w:p w14:paraId="486BA849" w14:textId="77777777" w:rsidR="00661B66" w:rsidRPr="009439B6" w:rsidRDefault="00661B66" w:rsidP="006453AE">
      <w:pPr>
        <w:spacing w:line="276" w:lineRule="auto"/>
        <w:ind w:firstLine="709"/>
        <w:contextualSpacing/>
        <w:jc w:val="both"/>
        <w:rPr>
          <w:sz w:val="24"/>
          <w:szCs w:val="24"/>
        </w:rPr>
      </w:pPr>
      <w:r w:rsidRPr="009439B6">
        <w:rPr>
          <w:bCs/>
          <w:sz w:val="24"/>
          <w:szCs w:val="24"/>
        </w:rPr>
        <w:t xml:space="preserve">Pėsčiųjų perėja ypatingai jautri vieta eismo saugumo prasme, kadangi pėsčiųjų perėjos prieigose susikoncertuoja didelis pėsčiųjų, dviračių, elektrinių </w:t>
      </w:r>
      <w:proofErr w:type="spellStart"/>
      <w:r w:rsidRPr="009439B6">
        <w:rPr>
          <w:bCs/>
          <w:sz w:val="24"/>
          <w:szCs w:val="24"/>
        </w:rPr>
        <w:t>mikrojudumo</w:t>
      </w:r>
      <w:proofErr w:type="spellEnd"/>
      <w:r w:rsidRPr="009439B6">
        <w:rPr>
          <w:bCs/>
          <w:sz w:val="24"/>
          <w:szCs w:val="24"/>
        </w:rPr>
        <w:t xml:space="preserve"> priemonių ir kitų transporto priemonių kiekis, todėl siekiant eismo saugumo tikslinga skirtingas eismo dalyvių grupes ir jų srautus atskirti. Susisiekimo ministerijos nuomone, </w:t>
      </w:r>
      <w:bookmarkStart w:id="7" w:name="_Hlk42161776"/>
      <w:r w:rsidRPr="009439B6">
        <w:rPr>
          <w:sz w:val="24"/>
          <w:szCs w:val="24"/>
        </w:rPr>
        <w:t xml:space="preserve">pėsčiųjų perėjomis važiuojant dviratininkams, elektrinių </w:t>
      </w:r>
      <w:proofErr w:type="spellStart"/>
      <w:r w:rsidRPr="009439B6">
        <w:rPr>
          <w:sz w:val="24"/>
          <w:szCs w:val="24"/>
        </w:rPr>
        <w:t>mikrojudumo</w:t>
      </w:r>
      <w:proofErr w:type="spellEnd"/>
      <w:r w:rsidRPr="009439B6">
        <w:rPr>
          <w:sz w:val="24"/>
          <w:szCs w:val="24"/>
        </w:rPr>
        <w:t xml:space="preserve"> priemonių vairuotojams nėra užtikrinami pėsčiųjų (ypač senjorų, vaikų, neįgaliųjų ar pėsčiųjų su vaikiškais vežimėliais ir kt.) saugumo interesai, </w:t>
      </w:r>
      <w:bookmarkStart w:id="8" w:name="_Hlk42162483"/>
      <w:bookmarkEnd w:id="7"/>
      <w:r w:rsidRPr="009439B6">
        <w:rPr>
          <w:sz w:val="24"/>
          <w:szCs w:val="24"/>
        </w:rPr>
        <w:t xml:space="preserve">nes pėstieji turi išsitekti sąlyginai nedideliame pėsčiųjų perėjos plote ir per ribotą laiką saugiai prasilenkti su greta važiuojančiomis dviratėmis ir kitomis transporto priemonėmis. </w:t>
      </w:r>
      <w:bookmarkEnd w:id="8"/>
    </w:p>
    <w:p w14:paraId="6523D0EF" w14:textId="77777777" w:rsidR="00661B66" w:rsidRPr="009439B6" w:rsidRDefault="00661B66" w:rsidP="006453AE">
      <w:pPr>
        <w:spacing w:line="276" w:lineRule="auto"/>
        <w:ind w:firstLine="709"/>
        <w:contextualSpacing/>
        <w:jc w:val="both"/>
        <w:rPr>
          <w:bCs/>
          <w:sz w:val="24"/>
          <w:szCs w:val="24"/>
        </w:rPr>
      </w:pPr>
      <w:r w:rsidRPr="009439B6">
        <w:rPr>
          <w:bCs/>
          <w:sz w:val="24"/>
          <w:szCs w:val="24"/>
        </w:rPr>
        <w:t xml:space="preserve">2. Pažymėtina, kad 1991 m. lapkričio 20 d. Lietuvos Respublika prisijungė prie Kelių eismo konvencijos, pasirašytos 1968 m. lapkričio 8 d. Vienoje (toliau – Kelių eismo konvencija), ir prie Kelio ženklų ir signalų konvencijos, pasirašytos 1968 m. lapkričio 8 d. Vienoje (toliau – Kelio ženklų ir signalų konvencija), bei įsipareigojo užtikrinti, kad nacionalinių teisės aktų (pavyzdžiui, Įstatymo, Kelių eismo taisyklių) nuostatos atitiktų abiejų konvencijų nuostatas. Pagal Kelio ženklų ir signalų konvencijos 27 straipsnio 4 dalį pėsčiųjų perėjas pageidautina ženklinti palyginti plačiais dryžiais, kurie eina lygiagrečiai su važiuojamosios dalies ašies linija (t. y. horizontalusis ženklinimas „zebras“). Pagal Kelio ženklų ir signalų konvencijos 27 straipsnio 5 dalį (su vėliausiais pakeitimais), norint paženklinti dviračių pervažą, turi būti naudojamos dvi brūkšninės linijos, sudarytos iš kvadratų (t. y. įprasta dviračių pervaža) arba lygiagretainių (pastarieji gali būti naudojami, jeigu dviračių pervaža kerta važiuojamąją dalį ne stačiu kampu). Iš šių Kelio ženklų ir signalų konvencijos nuostatų galima daryti išvadą, kad pėsčiųjų perėja ir dviračių pervaža yra du skirtingi dalykai ir atskiri skirtingų eismo dalyvių grupių eismui organizuoti naudojami eismo organizavimo sprendimai. Nei Kelių eismo konvencija, nei Kelio ženklų ir signalų konvencija nenurodo, kad pėsčiųjų perėja gali būti naudojama dviračių eismui, skirtingai nuo kitų nuostatų, kuriose numatyta tam tikra laisvė valstybėms pasirinkti jiems priimtiną eismo organizavimo būdą, pavyzdžiui, Kelių eismo konvencijoje nurodyta, kad dviračių takais galima leisti mopedų eismą ir pan. </w:t>
      </w:r>
    </w:p>
    <w:p w14:paraId="2A13478D" w14:textId="77777777" w:rsidR="00661B66" w:rsidRPr="009439B6" w:rsidRDefault="00661B66" w:rsidP="006453AE">
      <w:pPr>
        <w:spacing w:line="276" w:lineRule="auto"/>
        <w:ind w:firstLine="709"/>
        <w:contextualSpacing/>
        <w:jc w:val="both"/>
        <w:rPr>
          <w:bCs/>
          <w:sz w:val="24"/>
          <w:szCs w:val="24"/>
        </w:rPr>
      </w:pPr>
      <w:r w:rsidRPr="009439B6">
        <w:rPr>
          <w:bCs/>
          <w:sz w:val="24"/>
          <w:szCs w:val="24"/>
        </w:rPr>
        <w:t xml:space="preserve">Taigi, nacionalinių teisės aktų nuostatos, apibrėžiančios pėsčiųjų perėjos ir dviračių pervažos paskirtį iš esmės atitinka Kelių eismo konvencijos ir Kelio ženklų ir signalų konvencijos nuostatas dėl pėsčiųjų perėjų ir dviračių pervažų naudojimo. </w:t>
      </w:r>
    </w:p>
    <w:p w14:paraId="40ACC730" w14:textId="77777777" w:rsidR="00661B66" w:rsidRPr="009439B6" w:rsidRDefault="00661B66" w:rsidP="006453AE">
      <w:pPr>
        <w:spacing w:line="276" w:lineRule="auto"/>
        <w:ind w:firstLine="709"/>
        <w:contextualSpacing/>
        <w:jc w:val="both"/>
        <w:rPr>
          <w:bCs/>
          <w:sz w:val="24"/>
          <w:szCs w:val="24"/>
        </w:rPr>
      </w:pPr>
      <w:r w:rsidRPr="009439B6">
        <w:rPr>
          <w:bCs/>
          <w:sz w:val="24"/>
          <w:szCs w:val="24"/>
        </w:rPr>
        <w:t xml:space="preserve">3. Susisiekimo ministerijos nuomone, peticijoje pateikti eismo įvykių statistiniai duomenys nėra aktualūs. VšĮ Transporto kompetencijų agentūros duomenimis, pastaraisiais metais kasmet kildavo apie 70–80 eismo įvykių pėsčiųjų perėjose, kuriuose nukentėdavo per ją važiavę dviratininkai ar elektrinių </w:t>
      </w:r>
      <w:proofErr w:type="spellStart"/>
      <w:r w:rsidRPr="009439B6">
        <w:rPr>
          <w:bCs/>
          <w:sz w:val="24"/>
          <w:szCs w:val="24"/>
        </w:rPr>
        <w:t>mikrojudumo</w:t>
      </w:r>
      <w:proofErr w:type="spellEnd"/>
      <w:r w:rsidRPr="009439B6">
        <w:rPr>
          <w:bCs/>
          <w:sz w:val="24"/>
          <w:szCs w:val="24"/>
        </w:rPr>
        <w:t xml:space="preserve"> priemonių vairuotojai. Šiuose eismo įvykiuose apie 10 eismo dalyvių buvo sunkiai sužeisti. Eismo įvykių statistiniai duomenys pateikiami lentelėje Nr. 1.:</w:t>
      </w:r>
    </w:p>
    <w:p w14:paraId="3F62438B" w14:textId="77777777" w:rsidR="00661B66" w:rsidRDefault="00661B66" w:rsidP="00661B66">
      <w:pPr>
        <w:ind w:firstLine="709"/>
        <w:contextualSpacing/>
        <w:jc w:val="both"/>
        <w:rPr>
          <w:bCs/>
          <w:sz w:val="24"/>
          <w:szCs w:val="24"/>
        </w:rPr>
      </w:pPr>
    </w:p>
    <w:p w14:paraId="32DF57C4" w14:textId="77777777" w:rsidR="006453AE" w:rsidRDefault="006453AE" w:rsidP="00661B66">
      <w:pPr>
        <w:ind w:firstLine="709"/>
        <w:contextualSpacing/>
        <w:jc w:val="both"/>
        <w:rPr>
          <w:bCs/>
          <w:sz w:val="24"/>
          <w:szCs w:val="24"/>
        </w:rPr>
      </w:pPr>
    </w:p>
    <w:p w14:paraId="7B185FAC" w14:textId="77777777" w:rsidR="006453AE" w:rsidRPr="009439B6" w:rsidRDefault="006453AE" w:rsidP="00661B66">
      <w:pPr>
        <w:ind w:firstLine="709"/>
        <w:contextualSpacing/>
        <w:jc w:val="both"/>
        <w:rPr>
          <w:bCs/>
          <w:sz w:val="24"/>
          <w:szCs w:val="24"/>
        </w:rPr>
      </w:pPr>
    </w:p>
    <w:p w14:paraId="37C613CC" w14:textId="77777777" w:rsidR="00661B66" w:rsidRPr="009439B6" w:rsidRDefault="00661B66" w:rsidP="00661B66">
      <w:pPr>
        <w:contextualSpacing/>
        <w:jc w:val="both"/>
        <w:rPr>
          <w:bCs/>
        </w:rPr>
      </w:pPr>
      <w:r w:rsidRPr="009439B6">
        <w:rPr>
          <w:bCs/>
        </w:rPr>
        <w:lastRenderedPageBreak/>
        <w:t>Lentelė Nr. 1. Pėsčiųjų perėjose įvykusių eismo įvykių (toliau lentelėje – EĮ)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1"/>
        <w:gridCol w:w="994"/>
        <w:gridCol w:w="1702"/>
        <w:gridCol w:w="2128"/>
        <w:gridCol w:w="1560"/>
        <w:gridCol w:w="2403"/>
      </w:tblGrid>
      <w:tr w:rsidR="00661B66" w:rsidRPr="009439B6" w14:paraId="10A585C6" w14:textId="77777777" w:rsidTr="00661B66">
        <w:trPr>
          <w:cantSplit/>
          <w:trHeight w:val="1041"/>
        </w:trPr>
        <w:tc>
          <w:tcPr>
            <w:tcW w:w="437" w:type="pct"/>
            <w:noWrap/>
            <w:tcMar>
              <w:top w:w="0" w:type="dxa"/>
              <w:left w:w="108" w:type="dxa"/>
              <w:bottom w:w="0" w:type="dxa"/>
              <w:right w:w="108" w:type="dxa"/>
            </w:tcMar>
            <w:vAlign w:val="center"/>
            <w:hideMark/>
          </w:tcPr>
          <w:p w14:paraId="44F24CF4" w14:textId="77777777" w:rsidR="00661B66" w:rsidRPr="009439B6" w:rsidRDefault="00661B66" w:rsidP="00673BAE">
            <w:pPr>
              <w:contextualSpacing/>
              <w:jc w:val="center"/>
              <w:rPr>
                <w:b/>
                <w:sz w:val="22"/>
                <w:szCs w:val="22"/>
              </w:rPr>
            </w:pPr>
            <w:r w:rsidRPr="009439B6">
              <w:rPr>
                <w:b/>
                <w:sz w:val="22"/>
                <w:szCs w:val="22"/>
              </w:rPr>
              <w:t>Metai</w:t>
            </w:r>
          </w:p>
        </w:tc>
        <w:tc>
          <w:tcPr>
            <w:tcW w:w="516" w:type="pct"/>
            <w:noWrap/>
            <w:tcMar>
              <w:top w:w="0" w:type="dxa"/>
              <w:left w:w="108" w:type="dxa"/>
              <w:bottom w:w="0" w:type="dxa"/>
              <w:right w:w="108" w:type="dxa"/>
            </w:tcMar>
            <w:vAlign w:val="center"/>
            <w:hideMark/>
          </w:tcPr>
          <w:p w14:paraId="1E7F104C" w14:textId="77777777" w:rsidR="00661B66" w:rsidRPr="009439B6" w:rsidRDefault="00661B66" w:rsidP="00673BAE">
            <w:pPr>
              <w:contextualSpacing/>
              <w:jc w:val="center"/>
              <w:rPr>
                <w:b/>
                <w:sz w:val="22"/>
                <w:szCs w:val="22"/>
              </w:rPr>
            </w:pPr>
            <w:r w:rsidRPr="009439B6">
              <w:rPr>
                <w:b/>
                <w:sz w:val="22"/>
                <w:szCs w:val="22"/>
              </w:rPr>
              <w:t>Iš viso EĮ</w:t>
            </w:r>
          </w:p>
        </w:tc>
        <w:tc>
          <w:tcPr>
            <w:tcW w:w="884" w:type="pct"/>
            <w:noWrap/>
            <w:tcMar>
              <w:top w:w="0" w:type="dxa"/>
              <w:left w:w="108" w:type="dxa"/>
              <w:bottom w:w="0" w:type="dxa"/>
              <w:right w:w="108" w:type="dxa"/>
            </w:tcMar>
            <w:vAlign w:val="center"/>
            <w:hideMark/>
          </w:tcPr>
          <w:p w14:paraId="0BA0FD6B" w14:textId="77777777" w:rsidR="00661B66" w:rsidRPr="009439B6" w:rsidRDefault="00661B66" w:rsidP="00673BAE">
            <w:pPr>
              <w:contextualSpacing/>
              <w:jc w:val="center"/>
              <w:rPr>
                <w:b/>
                <w:sz w:val="22"/>
                <w:szCs w:val="22"/>
              </w:rPr>
            </w:pPr>
            <w:r w:rsidRPr="009439B6">
              <w:rPr>
                <w:b/>
                <w:sz w:val="22"/>
                <w:szCs w:val="22"/>
              </w:rPr>
              <w:t>EĮ su dviratininkais</w:t>
            </w:r>
          </w:p>
        </w:tc>
        <w:tc>
          <w:tcPr>
            <w:tcW w:w="1105" w:type="pct"/>
            <w:noWrap/>
            <w:tcMar>
              <w:top w:w="0" w:type="dxa"/>
              <w:left w:w="108" w:type="dxa"/>
              <w:bottom w:w="0" w:type="dxa"/>
              <w:right w:w="108" w:type="dxa"/>
            </w:tcMar>
            <w:vAlign w:val="center"/>
            <w:hideMark/>
          </w:tcPr>
          <w:p w14:paraId="3A26A220" w14:textId="77777777" w:rsidR="00661B66" w:rsidRPr="009439B6" w:rsidRDefault="00661B66" w:rsidP="00673BAE">
            <w:pPr>
              <w:contextualSpacing/>
              <w:jc w:val="center"/>
              <w:rPr>
                <w:b/>
                <w:sz w:val="22"/>
                <w:szCs w:val="22"/>
              </w:rPr>
            </w:pPr>
            <w:r w:rsidRPr="009439B6">
              <w:rPr>
                <w:b/>
                <w:sz w:val="22"/>
                <w:szCs w:val="22"/>
              </w:rPr>
              <w:t xml:space="preserve">EĮ su elektrinių </w:t>
            </w:r>
            <w:proofErr w:type="spellStart"/>
            <w:r w:rsidRPr="009439B6">
              <w:rPr>
                <w:b/>
                <w:sz w:val="22"/>
                <w:szCs w:val="22"/>
              </w:rPr>
              <w:t>mikrojudumo</w:t>
            </w:r>
            <w:proofErr w:type="spellEnd"/>
            <w:r w:rsidRPr="009439B6">
              <w:rPr>
                <w:b/>
                <w:sz w:val="22"/>
                <w:szCs w:val="22"/>
              </w:rPr>
              <w:t xml:space="preserve"> priemonių vairuotojais</w:t>
            </w:r>
          </w:p>
        </w:tc>
        <w:tc>
          <w:tcPr>
            <w:tcW w:w="810" w:type="pct"/>
            <w:noWrap/>
            <w:tcMar>
              <w:top w:w="0" w:type="dxa"/>
              <w:left w:w="108" w:type="dxa"/>
              <w:bottom w:w="0" w:type="dxa"/>
              <w:right w:w="108" w:type="dxa"/>
            </w:tcMar>
            <w:vAlign w:val="center"/>
            <w:hideMark/>
          </w:tcPr>
          <w:p w14:paraId="77267E90" w14:textId="77777777" w:rsidR="00661B66" w:rsidRPr="009439B6" w:rsidRDefault="00661B66" w:rsidP="00673BAE">
            <w:pPr>
              <w:contextualSpacing/>
              <w:jc w:val="center"/>
              <w:rPr>
                <w:b/>
                <w:sz w:val="22"/>
                <w:szCs w:val="22"/>
              </w:rPr>
            </w:pPr>
            <w:r w:rsidRPr="009439B6">
              <w:rPr>
                <w:b/>
                <w:sz w:val="22"/>
                <w:szCs w:val="22"/>
              </w:rPr>
              <w:t>Sunkiai sužeisti dviratininkai</w:t>
            </w:r>
          </w:p>
        </w:tc>
        <w:tc>
          <w:tcPr>
            <w:tcW w:w="1248" w:type="pct"/>
            <w:noWrap/>
            <w:tcMar>
              <w:top w:w="0" w:type="dxa"/>
              <w:left w:w="108" w:type="dxa"/>
              <w:bottom w:w="0" w:type="dxa"/>
              <w:right w:w="108" w:type="dxa"/>
            </w:tcMar>
            <w:vAlign w:val="center"/>
            <w:hideMark/>
          </w:tcPr>
          <w:p w14:paraId="1AD24B75" w14:textId="77777777" w:rsidR="00661B66" w:rsidRPr="009439B6" w:rsidRDefault="00661B66" w:rsidP="00673BAE">
            <w:pPr>
              <w:contextualSpacing/>
              <w:jc w:val="center"/>
              <w:rPr>
                <w:b/>
                <w:sz w:val="22"/>
                <w:szCs w:val="22"/>
              </w:rPr>
            </w:pPr>
            <w:r w:rsidRPr="009439B6">
              <w:rPr>
                <w:b/>
                <w:sz w:val="22"/>
                <w:szCs w:val="22"/>
              </w:rPr>
              <w:t xml:space="preserve">Sunkiai sužeisti elektrinių </w:t>
            </w:r>
            <w:proofErr w:type="spellStart"/>
            <w:r w:rsidRPr="009439B6">
              <w:rPr>
                <w:b/>
                <w:sz w:val="22"/>
                <w:szCs w:val="22"/>
              </w:rPr>
              <w:t>mikrojudumo</w:t>
            </w:r>
            <w:proofErr w:type="spellEnd"/>
            <w:r w:rsidRPr="009439B6">
              <w:rPr>
                <w:b/>
                <w:sz w:val="22"/>
                <w:szCs w:val="22"/>
              </w:rPr>
              <w:t xml:space="preserve"> priemonių vairuotojai</w:t>
            </w:r>
          </w:p>
        </w:tc>
      </w:tr>
      <w:tr w:rsidR="00661B66" w:rsidRPr="009439B6" w14:paraId="201147B0" w14:textId="77777777" w:rsidTr="00661B66">
        <w:trPr>
          <w:cantSplit/>
          <w:trHeight w:val="473"/>
        </w:trPr>
        <w:tc>
          <w:tcPr>
            <w:tcW w:w="437" w:type="pct"/>
            <w:noWrap/>
            <w:tcMar>
              <w:top w:w="0" w:type="dxa"/>
              <w:left w:w="108" w:type="dxa"/>
              <w:bottom w:w="0" w:type="dxa"/>
              <w:right w:w="108" w:type="dxa"/>
            </w:tcMar>
            <w:vAlign w:val="center"/>
            <w:hideMark/>
          </w:tcPr>
          <w:p w14:paraId="3909AE3C" w14:textId="77777777" w:rsidR="00661B66" w:rsidRPr="009439B6" w:rsidRDefault="00661B66" w:rsidP="00673BAE">
            <w:pPr>
              <w:contextualSpacing/>
              <w:jc w:val="center"/>
              <w:rPr>
                <w:bCs/>
                <w:sz w:val="22"/>
                <w:szCs w:val="22"/>
              </w:rPr>
            </w:pPr>
            <w:r w:rsidRPr="009439B6">
              <w:rPr>
                <w:bCs/>
                <w:sz w:val="22"/>
                <w:szCs w:val="22"/>
              </w:rPr>
              <w:t>2020</w:t>
            </w:r>
          </w:p>
        </w:tc>
        <w:tc>
          <w:tcPr>
            <w:tcW w:w="516" w:type="pct"/>
            <w:noWrap/>
            <w:tcMar>
              <w:top w:w="0" w:type="dxa"/>
              <w:left w:w="108" w:type="dxa"/>
              <w:bottom w:w="0" w:type="dxa"/>
              <w:right w:w="108" w:type="dxa"/>
            </w:tcMar>
            <w:vAlign w:val="center"/>
            <w:hideMark/>
          </w:tcPr>
          <w:p w14:paraId="436DFB34" w14:textId="77777777" w:rsidR="00661B66" w:rsidRPr="009439B6" w:rsidRDefault="00661B66" w:rsidP="00673BAE">
            <w:pPr>
              <w:contextualSpacing/>
              <w:jc w:val="center"/>
              <w:rPr>
                <w:bCs/>
                <w:sz w:val="22"/>
                <w:szCs w:val="22"/>
              </w:rPr>
            </w:pPr>
            <w:r w:rsidRPr="009439B6">
              <w:rPr>
                <w:bCs/>
                <w:sz w:val="22"/>
                <w:szCs w:val="22"/>
              </w:rPr>
              <w:t>44</w:t>
            </w:r>
          </w:p>
        </w:tc>
        <w:tc>
          <w:tcPr>
            <w:tcW w:w="884" w:type="pct"/>
            <w:noWrap/>
            <w:tcMar>
              <w:top w:w="0" w:type="dxa"/>
              <w:left w:w="108" w:type="dxa"/>
              <w:bottom w:w="0" w:type="dxa"/>
              <w:right w:w="108" w:type="dxa"/>
            </w:tcMar>
            <w:vAlign w:val="center"/>
            <w:hideMark/>
          </w:tcPr>
          <w:p w14:paraId="6D4AD7B3" w14:textId="77777777" w:rsidR="00661B66" w:rsidRPr="009439B6" w:rsidRDefault="00661B66" w:rsidP="00673BAE">
            <w:pPr>
              <w:contextualSpacing/>
              <w:jc w:val="center"/>
              <w:rPr>
                <w:bCs/>
                <w:sz w:val="22"/>
                <w:szCs w:val="22"/>
              </w:rPr>
            </w:pPr>
            <w:r w:rsidRPr="009439B6">
              <w:rPr>
                <w:bCs/>
                <w:sz w:val="22"/>
                <w:szCs w:val="22"/>
              </w:rPr>
              <w:t>33</w:t>
            </w:r>
          </w:p>
        </w:tc>
        <w:tc>
          <w:tcPr>
            <w:tcW w:w="1105" w:type="pct"/>
            <w:noWrap/>
            <w:tcMar>
              <w:top w:w="0" w:type="dxa"/>
              <w:left w:w="108" w:type="dxa"/>
              <w:bottom w:w="0" w:type="dxa"/>
              <w:right w:w="108" w:type="dxa"/>
            </w:tcMar>
            <w:vAlign w:val="center"/>
            <w:hideMark/>
          </w:tcPr>
          <w:p w14:paraId="6B41D7C0" w14:textId="77777777" w:rsidR="00661B66" w:rsidRPr="009439B6" w:rsidRDefault="00661B66" w:rsidP="00673BAE">
            <w:pPr>
              <w:contextualSpacing/>
              <w:jc w:val="center"/>
              <w:rPr>
                <w:bCs/>
                <w:sz w:val="22"/>
                <w:szCs w:val="22"/>
              </w:rPr>
            </w:pPr>
            <w:r w:rsidRPr="009439B6">
              <w:rPr>
                <w:bCs/>
                <w:sz w:val="22"/>
                <w:szCs w:val="22"/>
              </w:rPr>
              <w:t>11</w:t>
            </w:r>
          </w:p>
        </w:tc>
        <w:tc>
          <w:tcPr>
            <w:tcW w:w="810" w:type="pct"/>
            <w:noWrap/>
            <w:tcMar>
              <w:top w:w="0" w:type="dxa"/>
              <w:left w:w="108" w:type="dxa"/>
              <w:bottom w:w="0" w:type="dxa"/>
              <w:right w:w="108" w:type="dxa"/>
            </w:tcMar>
            <w:vAlign w:val="center"/>
            <w:hideMark/>
          </w:tcPr>
          <w:p w14:paraId="57FEC5FA" w14:textId="77777777" w:rsidR="00661B66" w:rsidRPr="009439B6" w:rsidRDefault="00661B66" w:rsidP="00673BAE">
            <w:pPr>
              <w:contextualSpacing/>
              <w:jc w:val="center"/>
              <w:rPr>
                <w:bCs/>
                <w:sz w:val="22"/>
                <w:szCs w:val="22"/>
              </w:rPr>
            </w:pPr>
            <w:r w:rsidRPr="009439B6">
              <w:rPr>
                <w:bCs/>
                <w:sz w:val="22"/>
                <w:szCs w:val="22"/>
              </w:rPr>
              <w:t>2</w:t>
            </w:r>
          </w:p>
        </w:tc>
        <w:tc>
          <w:tcPr>
            <w:tcW w:w="1248" w:type="pct"/>
            <w:noWrap/>
            <w:tcMar>
              <w:top w:w="0" w:type="dxa"/>
              <w:left w:w="108" w:type="dxa"/>
              <w:bottom w:w="0" w:type="dxa"/>
              <w:right w:w="108" w:type="dxa"/>
            </w:tcMar>
            <w:vAlign w:val="center"/>
            <w:hideMark/>
          </w:tcPr>
          <w:p w14:paraId="63FDF0F1" w14:textId="77777777" w:rsidR="00661B66" w:rsidRPr="009439B6" w:rsidRDefault="00661B66" w:rsidP="00673BAE">
            <w:pPr>
              <w:contextualSpacing/>
              <w:jc w:val="center"/>
              <w:rPr>
                <w:bCs/>
                <w:sz w:val="22"/>
                <w:szCs w:val="22"/>
              </w:rPr>
            </w:pPr>
            <w:r w:rsidRPr="009439B6">
              <w:rPr>
                <w:bCs/>
                <w:sz w:val="22"/>
                <w:szCs w:val="22"/>
              </w:rPr>
              <w:t>0</w:t>
            </w:r>
          </w:p>
        </w:tc>
      </w:tr>
      <w:tr w:rsidR="00661B66" w:rsidRPr="009439B6" w14:paraId="5BE46677" w14:textId="77777777" w:rsidTr="00661B66">
        <w:trPr>
          <w:cantSplit/>
          <w:trHeight w:val="473"/>
        </w:trPr>
        <w:tc>
          <w:tcPr>
            <w:tcW w:w="437" w:type="pct"/>
            <w:noWrap/>
            <w:tcMar>
              <w:top w:w="0" w:type="dxa"/>
              <w:left w:w="108" w:type="dxa"/>
              <w:bottom w:w="0" w:type="dxa"/>
              <w:right w:w="108" w:type="dxa"/>
            </w:tcMar>
            <w:vAlign w:val="center"/>
          </w:tcPr>
          <w:p w14:paraId="51F7E142" w14:textId="77777777" w:rsidR="00661B66" w:rsidRPr="009439B6" w:rsidRDefault="00661B66" w:rsidP="00673BAE">
            <w:pPr>
              <w:contextualSpacing/>
              <w:jc w:val="center"/>
              <w:rPr>
                <w:bCs/>
                <w:sz w:val="22"/>
                <w:szCs w:val="22"/>
              </w:rPr>
            </w:pPr>
            <w:r w:rsidRPr="009439B6">
              <w:rPr>
                <w:bCs/>
                <w:sz w:val="22"/>
                <w:szCs w:val="22"/>
              </w:rPr>
              <w:t>2021</w:t>
            </w:r>
          </w:p>
        </w:tc>
        <w:tc>
          <w:tcPr>
            <w:tcW w:w="516" w:type="pct"/>
            <w:noWrap/>
            <w:tcMar>
              <w:top w:w="0" w:type="dxa"/>
              <w:left w:w="108" w:type="dxa"/>
              <w:bottom w:w="0" w:type="dxa"/>
              <w:right w:w="108" w:type="dxa"/>
            </w:tcMar>
            <w:vAlign w:val="center"/>
          </w:tcPr>
          <w:p w14:paraId="2D899544" w14:textId="77777777" w:rsidR="00661B66" w:rsidRPr="009439B6" w:rsidRDefault="00661B66" w:rsidP="00673BAE">
            <w:pPr>
              <w:contextualSpacing/>
              <w:jc w:val="center"/>
              <w:rPr>
                <w:bCs/>
                <w:sz w:val="22"/>
                <w:szCs w:val="22"/>
              </w:rPr>
            </w:pPr>
            <w:r w:rsidRPr="009439B6">
              <w:rPr>
                <w:bCs/>
                <w:sz w:val="22"/>
                <w:szCs w:val="22"/>
              </w:rPr>
              <w:t>69</w:t>
            </w:r>
          </w:p>
        </w:tc>
        <w:tc>
          <w:tcPr>
            <w:tcW w:w="884" w:type="pct"/>
            <w:noWrap/>
            <w:tcMar>
              <w:top w:w="0" w:type="dxa"/>
              <w:left w:w="108" w:type="dxa"/>
              <w:bottom w:w="0" w:type="dxa"/>
              <w:right w:w="108" w:type="dxa"/>
            </w:tcMar>
            <w:vAlign w:val="center"/>
          </w:tcPr>
          <w:p w14:paraId="123027F3" w14:textId="77777777" w:rsidR="00661B66" w:rsidRPr="009439B6" w:rsidRDefault="00661B66" w:rsidP="00673BAE">
            <w:pPr>
              <w:contextualSpacing/>
              <w:jc w:val="center"/>
              <w:rPr>
                <w:bCs/>
                <w:sz w:val="22"/>
                <w:szCs w:val="22"/>
              </w:rPr>
            </w:pPr>
            <w:r w:rsidRPr="009439B6">
              <w:rPr>
                <w:bCs/>
                <w:sz w:val="22"/>
                <w:szCs w:val="22"/>
              </w:rPr>
              <w:t>36</w:t>
            </w:r>
          </w:p>
        </w:tc>
        <w:tc>
          <w:tcPr>
            <w:tcW w:w="1105" w:type="pct"/>
            <w:noWrap/>
            <w:tcMar>
              <w:top w:w="0" w:type="dxa"/>
              <w:left w:w="108" w:type="dxa"/>
              <w:bottom w:w="0" w:type="dxa"/>
              <w:right w:w="108" w:type="dxa"/>
            </w:tcMar>
            <w:vAlign w:val="center"/>
          </w:tcPr>
          <w:p w14:paraId="5C794B60" w14:textId="77777777" w:rsidR="00661B66" w:rsidRPr="009439B6" w:rsidRDefault="00661B66" w:rsidP="00673BAE">
            <w:pPr>
              <w:contextualSpacing/>
              <w:jc w:val="center"/>
              <w:rPr>
                <w:bCs/>
                <w:sz w:val="22"/>
                <w:szCs w:val="22"/>
              </w:rPr>
            </w:pPr>
            <w:r w:rsidRPr="009439B6">
              <w:rPr>
                <w:bCs/>
                <w:sz w:val="22"/>
                <w:szCs w:val="22"/>
              </w:rPr>
              <w:t>33</w:t>
            </w:r>
          </w:p>
        </w:tc>
        <w:tc>
          <w:tcPr>
            <w:tcW w:w="810" w:type="pct"/>
            <w:noWrap/>
            <w:tcMar>
              <w:top w:w="0" w:type="dxa"/>
              <w:left w:w="108" w:type="dxa"/>
              <w:bottom w:w="0" w:type="dxa"/>
              <w:right w:w="108" w:type="dxa"/>
            </w:tcMar>
            <w:vAlign w:val="center"/>
          </w:tcPr>
          <w:p w14:paraId="344D8142" w14:textId="77777777" w:rsidR="00661B66" w:rsidRPr="009439B6" w:rsidRDefault="00661B66" w:rsidP="00673BAE">
            <w:pPr>
              <w:contextualSpacing/>
              <w:jc w:val="center"/>
              <w:rPr>
                <w:bCs/>
                <w:sz w:val="22"/>
                <w:szCs w:val="22"/>
              </w:rPr>
            </w:pPr>
            <w:r w:rsidRPr="009439B6">
              <w:rPr>
                <w:bCs/>
                <w:sz w:val="22"/>
                <w:szCs w:val="22"/>
              </w:rPr>
              <w:t>1</w:t>
            </w:r>
          </w:p>
        </w:tc>
        <w:tc>
          <w:tcPr>
            <w:tcW w:w="1248" w:type="pct"/>
            <w:noWrap/>
            <w:tcMar>
              <w:top w:w="0" w:type="dxa"/>
              <w:left w:w="108" w:type="dxa"/>
              <w:bottom w:w="0" w:type="dxa"/>
              <w:right w:w="108" w:type="dxa"/>
            </w:tcMar>
            <w:vAlign w:val="center"/>
          </w:tcPr>
          <w:p w14:paraId="1C64A396" w14:textId="77777777" w:rsidR="00661B66" w:rsidRPr="009439B6" w:rsidRDefault="00661B66" w:rsidP="00673BAE">
            <w:pPr>
              <w:contextualSpacing/>
              <w:jc w:val="center"/>
              <w:rPr>
                <w:bCs/>
                <w:sz w:val="22"/>
                <w:szCs w:val="22"/>
              </w:rPr>
            </w:pPr>
            <w:r w:rsidRPr="009439B6">
              <w:rPr>
                <w:bCs/>
                <w:sz w:val="22"/>
                <w:szCs w:val="22"/>
              </w:rPr>
              <w:t>3</w:t>
            </w:r>
          </w:p>
        </w:tc>
      </w:tr>
      <w:tr w:rsidR="00661B66" w:rsidRPr="009439B6" w14:paraId="700E8036" w14:textId="77777777" w:rsidTr="00661B66">
        <w:trPr>
          <w:cantSplit/>
          <w:trHeight w:val="473"/>
        </w:trPr>
        <w:tc>
          <w:tcPr>
            <w:tcW w:w="437" w:type="pct"/>
            <w:noWrap/>
            <w:tcMar>
              <w:top w:w="0" w:type="dxa"/>
              <w:left w:w="108" w:type="dxa"/>
              <w:bottom w:w="0" w:type="dxa"/>
              <w:right w:w="108" w:type="dxa"/>
            </w:tcMar>
            <w:vAlign w:val="center"/>
          </w:tcPr>
          <w:p w14:paraId="643BCD2D" w14:textId="77777777" w:rsidR="00661B66" w:rsidRPr="009439B6" w:rsidRDefault="00661B66" w:rsidP="00673BAE">
            <w:pPr>
              <w:contextualSpacing/>
              <w:jc w:val="center"/>
              <w:rPr>
                <w:bCs/>
                <w:sz w:val="22"/>
                <w:szCs w:val="22"/>
              </w:rPr>
            </w:pPr>
            <w:r w:rsidRPr="009439B6">
              <w:rPr>
                <w:bCs/>
                <w:sz w:val="22"/>
                <w:szCs w:val="22"/>
              </w:rPr>
              <w:t>2022</w:t>
            </w:r>
          </w:p>
        </w:tc>
        <w:tc>
          <w:tcPr>
            <w:tcW w:w="516" w:type="pct"/>
            <w:noWrap/>
            <w:tcMar>
              <w:top w:w="0" w:type="dxa"/>
              <w:left w:w="108" w:type="dxa"/>
              <w:bottom w:w="0" w:type="dxa"/>
              <w:right w:w="108" w:type="dxa"/>
            </w:tcMar>
            <w:vAlign w:val="center"/>
          </w:tcPr>
          <w:p w14:paraId="653B3167" w14:textId="77777777" w:rsidR="00661B66" w:rsidRPr="009439B6" w:rsidRDefault="00661B66" w:rsidP="00673BAE">
            <w:pPr>
              <w:contextualSpacing/>
              <w:jc w:val="center"/>
              <w:rPr>
                <w:bCs/>
                <w:sz w:val="22"/>
                <w:szCs w:val="22"/>
              </w:rPr>
            </w:pPr>
            <w:r w:rsidRPr="009439B6">
              <w:rPr>
                <w:bCs/>
                <w:sz w:val="22"/>
                <w:szCs w:val="22"/>
              </w:rPr>
              <w:t>82</w:t>
            </w:r>
          </w:p>
        </w:tc>
        <w:tc>
          <w:tcPr>
            <w:tcW w:w="884" w:type="pct"/>
            <w:noWrap/>
            <w:tcMar>
              <w:top w:w="0" w:type="dxa"/>
              <w:left w:w="108" w:type="dxa"/>
              <w:bottom w:w="0" w:type="dxa"/>
              <w:right w:w="108" w:type="dxa"/>
            </w:tcMar>
            <w:vAlign w:val="center"/>
          </w:tcPr>
          <w:p w14:paraId="2AE33880" w14:textId="77777777" w:rsidR="00661B66" w:rsidRPr="009439B6" w:rsidRDefault="00661B66" w:rsidP="00673BAE">
            <w:pPr>
              <w:contextualSpacing/>
              <w:jc w:val="center"/>
              <w:rPr>
                <w:bCs/>
                <w:sz w:val="22"/>
                <w:szCs w:val="22"/>
              </w:rPr>
            </w:pPr>
            <w:r w:rsidRPr="009439B6">
              <w:rPr>
                <w:bCs/>
                <w:sz w:val="22"/>
                <w:szCs w:val="22"/>
              </w:rPr>
              <w:t>47</w:t>
            </w:r>
          </w:p>
        </w:tc>
        <w:tc>
          <w:tcPr>
            <w:tcW w:w="1105" w:type="pct"/>
            <w:noWrap/>
            <w:tcMar>
              <w:top w:w="0" w:type="dxa"/>
              <w:left w:w="108" w:type="dxa"/>
              <w:bottom w:w="0" w:type="dxa"/>
              <w:right w:w="108" w:type="dxa"/>
            </w:tcMar>
            <w:vAlign w:val="center"/>
          </w:tcPr>
          <w:p w14:paraId="69FB588B" w14:textId="77777777" w:rsidR="00661B66" w:rsidRPr="009439B6" w:rsidRDefault="00661B66" w:rsidP="00673BAE">
            <w:pPr>
              <w:contextualSpacing/>
              <w:jc w:val="center"/>
              <w:rPr>
                <w:bCs/>
                <w:sz w:val="22"/>
                <w:szCs w:val="22"/>
              </w:rPr>
            </w:pPr>
            <w:r w:rsidRPr="009439B6">
              <w:rPr>
                <w:bCs/>
                <w:sz w:val="22"/>
                <w:szCs w:val="22"/>
              </w:rPr>
              <w:t>35</w:t>
            </w:r>
          </w:p>
        </w:tc>
        <w:tc>
          <w:tcPr>
            <w:tcW w:w="810" w:type="pct"/>
            <w:noWrap/>
            <w:tcMar>
              <w:top w:w="0" w:type="dxa"/>
              <w:left w:w="108" w:type="dxa"/>
              <w:bottom w:w="0" w:type="dxa"/>
              <w:right w:w="108" w:type="dxa"/>
            </w:tcMar>
            <w:vAlign w:val="center"/>
          </w:tcPr>
          <w:p w14:paraId="6A80C8BA" w14:textId="77777777" w:rsidR="00661B66" w:rsidRPr="009439B6" w:rsidRDefault="00661B66" w:rsidP="00673BAE">
            <w:pPr>
              <w:contextualSpacing/>
              <w:jc w:val="center"/>
              <w:rPr>
                <w:bCs/>
                <w:sz w:val="22"/>
                <w:szCs w:val="22"/>
              </w:rPr>
            </w:pPr>
            <w:r w:rsidRPr="009439B6">
              <w:rPr>
                <w:bCs/>
                <w:sz w:val="22"/>
                <w:szCs w:val="22"/>
              </w:rPr>
              <w:t>8</w:t>
            </w:r>
          </w:p>
        </w:tc>
        <w:tc>
          <w:tcPr>
            <w:tcW w:w="1248" w:type="pct"/>
            <w:noWrap/>
            <w:tcMar>
              <w:top w:w="0" w:type="dxa"/>
              <w:left w:w="108" w:type="dxa"/>
              <w:bottom w:w="0" w:type="dxa"/>
              <w:right w:w="108" w:type="dxa"/>
            </w:tcMar>
            <w:vAlign w:val="center"/>
          </w:tcPr>
          <w:p w14:paraId="69A1678D" w14:textId="77777777" w:rsidR="00661B66" w:rsidRPr="009439B6" w:rsidRDefault="00661B66" w:rsidP="00673BAE">
            <w:pPr>
              <w:contextualSpacing/>
              <w:jc w:val="center"/>
              <w:rPr>
                <w:bCs/>
                <w:sz w:val="22"/>
                <w:szCs w:val="22"/>
              </w:rPr>
            </w:pPr>
            <w:r w:rsidRPr="009439B6">
              <w:rPr>
                <w:bCs/>
                <w:sz w:val="22"/>
                <w:szCs w:val="22"/>
              </w:rPr>
              <w:t>2</w:t>
            </w:r>
          </w:p>
        </w:tc>
      </w:tr>
      <w:tr w:rsidR="00661B66" w:rsidRPr="009439B6" w14:paraId="38035528" w14:textId="77777777" w:rsidTr="00661B66">
        <w:trPr>
          <w:cantSplit/>
          <w:trHeight w:val="473"/>
        </w:trPr>
        <w:tc>
          <w:tcPr>
            <w:tcW w:w="437" w:type="pct"/>
            <w:noWrap/>
            <w:tcMar>
              <w:top w:w="0" w:type="dxa"/>
              <w:left w:w="108" w:type="dxa"/>
              <w:bottom w:w="0" w:type="dxa"/>
              <w:right w:w="108" w:type="dxa"/>
            </w:tcMar>
            <w:vAlign w:val="center"/>
          </w:tcPr>
          <w:p w14:paraId="77597859" w14:textId="77777777" w:rsidR="00661B66" w:rsidRPr="009439B6" w:rsidRDefault="00661B66" w:rsidP="00673BAE">
            <w:pPr>
              <w:contextualSpacing/>
              <w:jc w:val="center"/>
              <w:rPr>
                <w:bCs/>
                <w:sz w:val="22"/>
                <w:szCs w:val="22"/>
              </w:rPr>
            </w:pPr>
            <w:r w:rsidRPr="009439B6">
              <w:rPr>
                <w:bCs/>
                <w:sz w:val="22"/>
                <w:szCs w:val="22"/>
              </w:rPr>
              <w:t>2023</w:t>
            </w:r>
          </w:p>
        </w:tc>
        <w:tc>
          <w:tcPr>
            <w:tcW w:w="516" w:type="pct"/>
            <w:noWrap/>
            <w:tcMar>
              <w:top w:w="0" w:type="dxa"/>
              <w:left w:w="108" w:type="dxa"/>
              <w:bottom w:w="0" w:type="dxa"/>
              <w:right w:w="108" w:type="dxa"/>
            </w:tcMar>
            <w:vAlign w:val="center"/>
          </w:tcPr>
          <w:p w14:paraId="3E6ADB5A" w14:textId="77777777" w:rsidR="00661B66" w:rsidRPr="009439B6" w:rsidRDefault="00661B66" w:rsidP="00673BAE">
            <w:pPr>
              <w:contextualSpacing/>
              <w:jc w:val="center"/>
              <w:rPr>
                <w:bCs/>
                <w:sz w:val="22"/>
                <w:szCs w:val="22"/>
              </w:rPr>
            </w:pPr>
            <w:r w:rsidRPr="009439B6">
              <w:rPr>
                <w:bCs/>
                <w:sz w:val="22"/>
                <w:szCs w:val="22"/>
              </w:rPr>
              <w:t>77</w:t>
            </w:r>
          </w:p>
        </w:tc>
        <w:tc>
          <w:tcPr>
            <w:tcW w:w="884" w:type="pct"/>
            <w:noWrap/>
            <w:tcMar>
              <w:top w:w="0" w:type="dxa"/>
              <w:left w:w="108" w:type="dxa"/>
              <w:bottom w:w="0" w:type="dxa"/>
              <w:right w:w="108" w:type="dxa"/>
            </w:tcMar>
            <w:vAlign w:val="center"/>
          </w:tcPr>
          <w:p w14:paraId="246DF0A0" w14:textId="77777777" w:rsidR="00661B66" w:rsidRPr="009439B6" w:rsidRDefault="00661B66" w:rsidP="00673BAE">
            <w:pPr>
              <w:contextualSpacing/>
              <w:jc w:val="center"/>
              <w:rPr>
                <w:bCs/>
                <w:sz w:val="22"/>
                <w:szCs w:val="22"/>
              </w:rPr>
            </w:pPr>
            <w:r w:rsidRPr="009439B6">
              <w:rPr>
                <w:bCs/>
                <w:sz w:val="22"/>
                <w:szCs w:val="22"/>
              </w:rPr>
              <w:t>45</w:t>
            </w:r>
          </w:p>
        </w:tc>
        <w:tc>
          <w:tcPr>
            <w:tcW w:w="1105" w:type="pct"/>
            <w:noWrap/>
            <w:tcMar>
              <w:top w:w="0" w:type="dxa"/>
              <w:left w:w="108" w:type="dxa"/>
              <w:bottom w:w="0" w:type="dxa"/>
              <w:right w:w="108" w:type="dxa"/>
            </w:tcMar>
            <w:vAlign w:val="center"/>
          </w:tcPr>
          <w:p w14:paraId="28B4F74E" w14:textId="77777777" w:rsidR="00661B66" w:rsidRPr="009439B6" w:rsidRDefault="00661B66" w:rsidP="00673BAE">
            <w:pPr>
              <w:contextualSpacing/>
              <w:jc w:val="center"/>
              <w:rPr>
                <w:bCs/>
                <w:sz w:val="22"/>
                <w:szCs w:val="22"/>
              </w:rPr>
            </w:pPr>
            <w:r w:rsidRPr="009439B6">
              <w:rPr>
                <w:bCs/>
                <w:sz w:val="22"/>
                <w:szCs w:val="22"/>
              </w:rPr>
              <w:t>32</w:t>
            </w:r>
          </w:p>
        </w:tc>
        <w:tc>
          <w:tcPr>
            <w:tcW w:w="810" w:type="pct"/>
            <w:noWrap/>
            <w:tcMar>
              <w:top w:w="0" w:type="dxa"/>
              <w:left w:w="108" w:type="dxa"/>
              <w:bottom w:w="0" w:type="dxa"/>
              <w:right w:w="108" w:type="dxa"/>
            </w:tcMar>
            <w:vAlign w:val="center"/>
          </w:tcPr>
          <w:p w14:paraId="41802242" w14:textId="77777777" w:rsidR="00661B66" w:rsidRPr="009439B6" w:rsidRDefault="00661B66" w:rsidP="00673BAE">
            <w:pPr>
              <w:contextualSpacing/>
              <w:jc w:val="center"/>
              <w:rPr>
                <w:bCs/>
                <w:sz w:val="22"/>
                <w:szCs w:val="22"/>
              </w:rPr>
            </w:pPr>
            <w:r w:rsidRPr="009439B6">
              <w:rPr>
                <w:bCs/>
                <w:sz w:val="22"/>
                <w:szCs w:val="22"/>
              </w:rPr>
              <w:t>5</w:t>
            </w:r>
          </w:p>
        </w:tc>
        <w:tc>
          <w:tcPr>
            <w:tcW w:w="1248" w:type="pct"/>
            <w:noWrap/>
            <w:tcMar>
              <w:top w:w="0" w:type="dxa"/>
              <w:left w:w="108" w:type="dxa"/>
              <w:bottom w:w="0" w:type="dxa"/>
              <w:right w:w="108" w:type="dxa"/>
            </w:tcMar>
            <w:vAlign w:val="center"/>
          </w:tcPr>
          <w:p w14:paraId="6BAF1D48" w14:textId="77777777" w:rsidR="00661B66" w:rsidRPr="009439B6" w:rsidRDefault="00661B66" w:rsidP="00673BAE">
            <w:pPr>
              <w:contextualSpacing/>
              <w:jc w:val="center"/>
              <w:rPr>
                <w:bCs/>
                <w:sz w:val="22"/>
                <w:szCs w:val="22"/>
              </w:rPr>
            </w:pPr>
            <w:r w:rsidRPr="009439B6">
              <w:rPr>
                <w:bCs/>
                <w:sz w:val="22"/>
                <w:szCs w:val="22"/>
              </w:rPr>
              <w:t>6</w:t>
            </w:r>
          </w:p>
        </w:tc>
      </w:tr>
      <w:tr w:rsidR="00661B66" w:rsidRPr="009439B6" w14:paraId="74BE0CFF" w14:textId="77777777" w:rsidTr="00661B66">
        <w:trPr>
          <w:cantSplit/>
          <w:trHeight w:val="473"/>
        </w:trPr>
        <w:tc>
          <w:tcPr>
            <w:tcW w:w="437" w:type="pct"/>
            <w:noWrap/>
            <w:tcMar>
              <w:top w:w="0" w:type="dxa"/>
              <w:left w:w="108" w:type="dxa"/>
              <w:bottom w:w="0" w:type="dxa"/>
              <w:right w:w="108" w:type="dxa"/>
            </w:tcMar>
            <w:vAlign w:val="center"/>
          </w:tcPr>
          <w:p w14:paraId="72E6BF10" w14:textId="77777777" w:rsidR="00661B66" w:rsidRPr="009439B6" w:rsidRDefault="00661B66" w:rsidP="00673BAE">
            <w:pPr>
              <w:contextualSpacing/>
              <w:jc w:val="center"/>
              <w:rPr>
                <w:bCs/>
                <w:sz w:val="22"/>
                <w:szCs w:val="22"/>
              </w:rPr>
            </w:pPr>
            <w:r w:rsidRPr="009439B6">
              <w:rPr>
                <w:bCs/>
                <w:sz w:val="22"/>
                <w:szCs w:val="22"/>
              </w:rPr>
              <w:t>2024</w:t>
            </w:r>
          </w:p>
        </w:tc>
        <w:tc>
          <w:tcPr>
            <w:tcW w:w="516" w:type="pct"/>
            <w:noWrap/>
            <w:tcMar>
              <w:top w:w="0" w:type="dxa"/>
              <w:left w:w="108" w:type="dxa"/>
              <w:bottom w:w="0" w:type="dxa"/>
              <w:right w:w="108" w:type="dxa"/>
            </w:tcMar>
            <w:vAlign w:val="center"/>
          </w:tcPr>
          <w:p w14:paraId="193CB95C" w14:textId="77777777" w:rsidR="00661B66" w:rsidRPr="009439B6" w:rsidRDefault="00661B66" w:rsidP="00673BAE">
            <w:pPr>
              <w:contextualSpacing/>
              <w:jc w:val="center"/>
              <w:rPr>
                <w:bCs/>
                <w:sz w:val="22"/>
                <w:szCs w:val="22"/>
              </w:rPr>
            </w:pPr>
            <w:r w:rsidRPr="009439B6">
              <w:rPr>
                <w:bCs/>
                <w:sz w:val="22"/>
                <w:szCs w:val="22"/>
              </w:rPr>
              <w:t>88</w:t>
            </w:r>
          </w:p>
        </w:tc>
        <w:tc>
          <w:tcPr>
            <w:tcW w:w="884" w:type="pct"/>
            <w:noWrap/>
            <w:tcMar>
              <w:top w:w="0" w:type="dxa"/>
              <w:left w:w="108" w:type="dxa"/>
              <w:bottom w:w="0" w:type="dxa"/>
              <w:right w:w="108" w:type="dxa"/>
            </w:tcMar>
            <w:vAlign w:val="center"/>
          </w:tcPr>
          <w:p w14:paraId="499FAB4E" w14:textId="77777777" w:rsidR="00661B66" w:rsidRPr="009439B6" w:rsidRDefault="00661B66" w:rsidP="00673BAE">
            <w:pPr>
              <w:contextualSpacing/>
              <w:jc w:val="center"/>
              <w:rPr>
                <w:bCs/>
                <w:sz w:val="22"/>
                <w:szCs w:val="22"/>
              </w:rPr>
            </w:pPr>
            <w:r w:rsidRPr="009439B6">
              <w:rPr>
                <w:bCs/>
                <w:sz w:val="22"/>
                <w:szCs w:val="22"/>
              </w:rPr>
              <w:t>56</w:t>
            </w:r>
          </w:p>
        </w:tc>
        <w:tc>
          <w:tcPr>
            <w:tcW w:w="1105" w:type="pct"/>
            <w:noWrap/>
            <w:tcMar>
              <w:top w:w="0" w:type="dxa"/>
              <w:left w:w="108" w:type="dxa"/>
              <w:bottom w:w="0" w:type="dxa"/>
              <w:right w:w="108" w:type="dxa"/>
            </w:tcMar>
            <w:vAlign w:val="center"/>
          </w:tcPr>
          <w:p w14:paraId="0D7BA19C" w14:textId="77777777" w:rsidR="00661B66" w:rsidRPr="009439B6" w:rsidRDefault="00661B66" w:rsidP="00673BAE">
            <w:pPr>
              <w:contextualSpacing/>
              <w:jc w:val="center"/>
              <w:rPr>
                <w:bCs/>
                <w:sz w:val="22"/>
                <w:szCs w:val="22"/>
              </w:rPr>
            </w:pPr>
            <w:r w:rsidRPr="009439B6">
              <w:rPr>
                <w:bCs/>
                <w:sz w:val="22"/>
                <w:szCs w:val="22"/>
              </w:rPr>
              <w:t>32</w:t>
            </w:r>
          </w:p>
        </w:tc>
        <w:tc>
          <w:tcPr>
            <w:tcW w:w="810" w:type="pct"/>
            <w:noWrap/>
            <w:tcMar>
              <w:top w:w="0" w:type="dxa"/>
              <w:left w:w="108" w:type="dxa"/>
              <w:bottom w:w="0" w:type="dxa"/>
              <w:right w:w="108" w:type="dxa"/>
            </w:tcMar>
            <w:vAlign w:val="center"/>
          </w:tcPr>
          <w:p w14:paraId="5AF3A215" w14:textId="77777777" w:rsidR="00661B66" w:rsidRPr="009439B6" w:rsidRDefault="00661B66" w:rsidP="00673BAE">
            <w:pPr>
              <w:contextualSpacing/>
              <w:jc w:val="center"/>
              <w:rPr>
                <w:bCs/>
                <w:sz w:val="22"/>
                <w:szCs w:val="22"/>
              </w:rPr>
            </w:pPr>
            <w:r w:rsidRPr="009439B6">
              <w:rPr>
                <w:bCs/>
                <w:sz w:val="22"/>
                <w:szCs w:val="22"/>
              </w:rPr>
              <w:t>7</w:t>
            </w:r>
          </w:p>
        </w:tc>
        <w:tc>
          <w:tcPr>
            <w:tcW w:w="1248" w:type="pct"/>
            <w:noWrap/>
            <w:tcMar>
              <w:top w:w="0" w:type="dxa"/>
              <w:left w:w="108" w:type="dxa"/>
              <w:bottom w:w="0" w:type="dxa"/>
              <w:right w:w="108" w:type="dxa"/>
            </w:tcMar>
            <w:vAlign w:val="center"/>
          </w:tcPr>
          <w:p w14:paraId="4F9DD340" w14:textId="77777777" w:rsidR="00661B66" w:rsidRPr="009439B6" w:rsidRDefault="00661B66" w:rsidP="00673BAE">
            <w:pPr>
              <w:contextualSpacing/>
              <w:jc w:val="center"/>
              <w:rPr>
                <w:bCs/>
                <w:sz w:val="22"/>
                <w:szCs w:val="22"/>
              </w:rPr>
            </w:pPr>
            <w:r w:rsidRPr="009439B6">
              <w:rPr>
                <w:bCs/>
                <w:sz w:val="22"/>
                <w:szCs w:val="22"/>
              </w:rPr>
              <w:t>3</w:t>
            </w:r>
          </w:p>
        </w:tc>
      </w:tr>
    </w:tbl>
    <w:p w14:paraId="6F78E45F" w14:textId="77777777" w:rsidR="006453AE" w:rsidRDefault="006453AE" w:rsidP="006453AE">
      <w:pPr>
        <w:spacing w:line="360" w:lineRule="auto"/>
        <w:ind w:firstLine="851"/>
        <w:contextualSpacing/>
        <w:jc w:val="both"/>
        <w:rPr>
          <w:bCs/>
          <w:sz w:val="24"/>
          <w:szCs w:val="24"/>
        </w:rPr>
      </w:pPr>
    </w:p>
    <w:p w14:paraId="02523A45" w14:textId="6A318319" w:rsidR="00661B66" w:rsidRPr="009439B6" w:rsidRDefault="00661B66" w:rsidP="006453AE">
      <w:pPr>
        <w:spacing w:line="276" w:lineRule="auto"/>
        <w:ind w:firstLine="851"/>
        <w:contextualSpacing/>
        <w:jc w:val="both"/>
        <w:rPr>
          <w:bCs/>
          <w:sz w:val="24"/>
          <w:szCs w:val="24"/>
        </w:rPr>
      </w:pPr>
      <w:r w:rsidRPr="009439B6">
        <w:rPr>
          <w:bCs/>
          <w:sz w:val="24"/>
          <w:szCs w:val="24"/>
        </w:rPr>
        <w:t xml:space="preserve">Atkreiptinas dėmesys į tai, kad važiuojant pėsčiųjų perėja ir pažeidžiant Kelių eismo taisyklių reikalavimus 2021 m. žuvo dviratininkas, o 2023 m. – elektrinės </w:t>
      </w:r>
      <w:proofErr w:type="spellStart"/>
      <w:r w:rsidRPr="009439B6">
        <w:rPr>
          <w:bCs/>
          <w:sz w:val="24"/>
          <w:szCs w:val="24"/>
        </w:rPr>
        <w:t>mikrojudumo</w:t>
      </w:r>
      <w:proofErr w:type="spellEnd"/>
      <w:r w:rsidRPr="009439B6">
        <w:rPr>
          <w:bCs/>
          <w:sz w:val="24"/>
          <w:szCs w:val="24"/>
        </w:rPr>
        <w:t xml:space="preserve"> priemonės vairuotojas. Nurodyti eismo įvykiai, kurių metu nukentėjo dviratininkai ir elektrinių </w:t>
      </w:r>
      <w:proofErr w:type="spellStart"/>
      <w:r w:rsidRPr="009439B6">
        <w:rPr>
          <w:bCs/>
          <w:sz w:val="24"/>
          <w:szCs w:val="24"/>
        </w:rPr>
        <w:t>mikrojudumo</w:t>
      </w:r>
      <w:proofErr w:type="spellEnd"/>
      <w:r w:rsidRPr="009439B6">
        <w:rPr>
          <w:bCs/>
          <w:sz w:val="24"/>
          <w:szCs w:val="24"/>
        </w:rPr>
        <w:t xml:space="preserve"> priemonių vairuotojai įvyko nepaisant teisės aktuose nustatyto draudimo važiuoti per pėsčiųjų perėjas. Darytina išvada, kad leidus minėtiems eismo dalyviams važiuoti per pėsčiųjų perėjas eismo įvykių ir nukentėjusių juose skaičius nesumažės, o priešingai, labiausiai tikėtina padidės. </w:t>
      </w:r>
      <w:r w:rsidRPr="00661B66">
        <w:rPr>
          <w:bCs/>
          <w:sz w:val="24"/>
          <w:szCs w:val="24"/>
        </w:rPr>
        <w:t xml:space="preserve">Peticijoje pateikti duomenys, kad leidimas dviratininkams ir elektrinių </w:t>
      </w:r>
      <w:proofErr w:type="spellStart"/>
      <w:r w:rsidRPr="00661B66">
        <w:rPr>
          <w:bCs/>
          <w:sz w:val="24"/>
          <w:szCs w:val="24"/>
        </w:rPr>
        <w:t>mikrojudumo</w:t>
      </w:r>
      <w:proofErr w:type="spellEnd"/>
      <w:r w:rsidRPr="00661B66">
        <w:rPr>
          <w:bCs/>
          <w:sz w:val="24"/>
          <w:szCs w:val="24"/>
        </w:rPr>
        <w:t xml:space="preserve"> priemonių vairuotojams kirsti važiuojamąją kelio dalį pėsčiųjų perėjomis yra „saugus“ neatitinka tikrovės</w:t>
      </w:r>
      <w:r w:rsidR="0014348F">
        <w:rPr>
          <w:bCs/>
          <w:sz w:val="24"/>
          <w:szCs w:val="24"/>
        </w:rPr>
        <w:t>. VšĮ Transporto kompetencijų agentūros surinkti statistiniai duomenys</w:t>
      </w:r>
      <w:r w:rsidR="002E5E85">
        <w:rPr>
          <w:bCs/>
          <w:sz w:val="24"/>
          <w:szCs w:val="24"/>
        </w:rPr>
        <w:t>,</w:t>
      </w:r>
      <w:r w:rsidRPr="00661B66">
        <w:rPr>
          <w:bCs/>
          <w:sz w:val="24"/>
          <w:szCs w:val="24"/>
        </w:rPr>
        <w:t xml:space="preserve"> patvirtina faktą, kad Kelių eismo taisyklių reikalavimų nepaisymas ir važiavimas per pėsčiųjų perėjas sukelia pavojingas situacijas ir eismo įvykius, kuriuos</w:t>
      </w:r>
      <w:r w:rsidR="00F82066">
        <w:rPr>
          <w:bCs/>
          <w:sz w:val="24"/>
          <w:szCs w:val="24"/>
        </w:rPr>
        <w:t>e</w:t>
      </w:r>
      <w:r w:rsidRPr="00661B66">
        <w:rPr>
          <w:bCs/>
          <w:sz w:val="24"/>
          <w:szCs w:val="24"/>
        </w:rPr>
        <w:t xml:space="preserve"> sužeidžiami eismo dalyviai.</w:t>
      </w:r>
      <w:r w:rsidRPr="009439B6">
        <w:rPr>
          <w:bCs/>
          <w:sz w:val="24"/>
          <w:szCs w:val="24"/>
        </w:rPr>
        <w:t xml:space="preserve"> </w:t>
      </w:r>
    </w:p>
    <w:p w14:paraId="27920DC8" w14:textId="77777777" w:rsidR="00661B66" w:rsidRPr="009439B6" w:rsidRDefault="00661B66" w:rsidP="006453AE">
      <w:pPr>
        <w:spacing w:line="276" w:lineRule="auto"/>
        <w:ind w:firstLine="851"/>
        <w:contextualSpacing/>
        <w:jc w:val="both"/>
        <w:rPr>
          <w:bCs/>
          <w:sz w:val="24"/>
          <w:szCs w:val="24"/>
        </w:rPr>
      </w:pPr>
      <w:r w:rsidRPr="009439B6">
        <w:rPr>
          <w:bCs/>
          <w:sz w:val="24"/>
          <w:szCs w:val="24"/>
        </w:rPr>
        <w:t>4.</w:t>
      </w:r>
      <w:r w:rsidRPr="009439B6">
        <w:rPr>
          <w:bCs/>
        </w:rPr>
        <w:t xml:space="preserve"> </w:t>
      </w:r>
      <w:r w:rsidRPr="009439B6">
        <w:rPr>
          <w:bCs/>
          <w:sz w:val="24"/>
          <w:szCs w:val="24"/>
        </w:rPr>
        <w:t>2024 m. susisiekimo ministras patvirtino naujas Dviračių ir pėsčiųjų eismo infrastruktūros planavimo ir projektavimo taisykles (toliau – Taisyklės)</w:t>
      </w:r>
      <w:r w:rsidRPr="009439B6">
        <w:rPr>
          <w:rStyle w:val="Puslapioinaosnuoroda"/>
          <w:bCs/>
          <w:sz w:val="24"/>
          <w:szCs w:val="24"/>
        </w:rPr>
        <w:footnoteReference w:id="4"/>
      </w:r>
      <w:r w:rsidRPr="009439B6">
        <w:rPr>
          <w:bCs/>
          <w:sz w:val="24"/>
          <w:szCs w:val="24"/>
        </w:rPr>
        <w:t xml:space="preserve">. Taisyklės nustato </w:t>
      </w:r>
      <w:r w:rsidRPr="009439B6">
        <w:rPr>
          <w:sz w:val="24"/>
          <w:szCs w:val="24"/>
        </w:rPr>
        <w:t xml:space="preserve">dviračių ir pėsčiųjų eismo infrastruktūros planavimo ir projektavimo reikalavimus </w:t>
      </w:r>
      <w:r w:rsidRPr="009439B6">
        <w:rPr>
          <w:sz w:val="24"/>
          <w:szCs w:val="24"/>
          <w:lang w:eastAsia="lt-LT"/>
        </w:rPr>
        <w:t xml:space="preserve">Lietuvos Respublikos teritorijoje. </w:t>
      </w:r>
      <w:r w:rsidRPr="009439B6">
        <w:rPr>
          <w:bCs/>
          <w:sz w:val="24"/>
          <w:szCs w:val="24"/>
        </w:rPr>
        <w:t>Taisyklės suderintos su Lietuvos dviratininkų bendrija, Vilniaus, Kauno, Klaipėdos savivaldybėmis bei Lietuvos savivaldybių asociacija ir kitomis suinteresuotomis institucijomis. Taisyklės parengtos remiantis užsienio šalių gerąja praktika. Be kitų d</w:t>
      </w:r>
      <w:r w:rsidRPr="009439B6">
        <w:rPr>
          <w:sz w:val="24"/>
          <w:szCs w:val="24"/>
        </w:rPr>
        <w:t xml:space="preserve">viračių </w:t>
      </w:r>
      <w:r w:rsidRPr="009439B6">
        <w:rPr>
          <w:sz w:val="24"/>
          <w:szCs w:val="24"/>
          <w:shd w:val="clear" w:color="auto" w:fill="FFFFFF"/>
        </w:rPr>
        <w:t>transporto</w:t>
      </w:r>
      <w:r w:rsidRPr="009439B6">
        <w:rPr>
          <w:sz w:val="24"/>
          <w:szCs w:val="24"/>
        </w:rPr>
        <w:t xml:space="preserve"> infrastruktūros planavimo nuostatų</w:t>
      </w:r>
      <w:r w:rsidRPr="009439B6">
        <w:rPr>
          <w:bCs/>
          <w:sz w:val="24"/>
          <w:szCs w:val="24"/>
        </w:rPr>
        <w:t xml:space="preserve"> Taisyklės nustato, kad dviračių infrastruktūra rekomenduojama atskirti nuo pėsčiųjų infrastruktūros</w:t>
      </w:r>
      <w:r w:rsidRPr="009439B6">
        <w:rPr>
          <w:rStyle w:val="Puslapioinaosnuoroda"/>
          <w:bCs/>
          <w:sz w:val="24"/>
          <w:szCs w:val="24"/>
        </w:rPr>
        <w:footnoteReference w:id="5"/>
      </w:r>
      <w:r w:rsidRPr="009439B6">
        <w:rPr>
          <w:bCs/>
          <w:sz w:val="24"/>
          <w:szCs w:val="24"/>
        </w:rPr>
        <w:t>. Vienas iš dviračių transporto infrastruktūros planavimo principų yra Saugumo principas</w:t>
      </w:r>
      <w:r w:rsidRPr="009439B6">
        <w:rPr>
          <w:rStyle w:val="Puslapioinaosnuoroda"/>
          <w:bCs/>
          <w:sz w:val="24"/>
          <w:szCs w:val="24"/>
        </w:rPr>
        <w:footnoteReference w:id="6"/>
      </w:r>
      <w:r w:rsidRPr="009439B6">
        <w:rPr>
          <w:bCs/>
          <w:sz w:val="24"/>
          <w:szCs w:val="24"/>
        </w:rPr>
        <w:t xml:space="preserve">, kuris orientuotas būtent į šios transporto priemonės vairuotojus, siekiant apsaugoti dviračio vairuotoją nuo konfliktinių situacijų su kitais eismo dalyviais ir pagerinti dalyvavimo viešajame eisme sąlygas. Taisyklės pateikia visą eilę eismo organizavimo sprendinių, pagal kuriuos dviratininkų eismas kertant važiuojamą dalį planuojamas per dviračių pervažą, o pėsčiųjų eismas organizuojamas pėsčiųjų perėjomis. </w:t>
      </w:r>
    </w:p>
    <w:p w14:paraId="29278BA6" w14:textId="77777777" w:rsidR="00661B66" w:rsidRPr="009439B6" w:rsidRDefault="00661B66" w:rsidP="006453AE">
      <w:pPr>
        <w:spacing w:line="276" w:lineRule="auto"/>
        <w:ind w:firstLine="851"/>
        <w:contextualSpacing/>
        <w:jc w:val="both"/>
        <w:rPr>
          <w:b/>
          <w:sz w:val="24"/>
          <w:szCs w:val="24"/>
        </w:rPr>
      </w:pPr>
      <w:r w:rsidRPr="009439B6">
        <w:rPr>
          <w:bCs/>
          <w:sz w:val="24"/>
          <w:szCs w:val="24"/>
        </w:rPr>
        <w:lastRenderedPageBreak/>
        <w:t xml:space="preserve">Taigi, dviračių, motorinių dviračių, elektrinių </w:t>
      </w:r>
      <w:proofErr w:type="spellStart"/>
      <w:r w:rsidRPr="009439B6">
        <w:rPr>
          <w:bCs/>
          <w:sz w:val="24"/>
          <w:szCs w:val="24"/>
        </w:rPr>
        <w:t>mikrojudumo</w:t>
      </w:r>
      <w:proofErr w:type="spellEnd"/>
      <w:r w:rsidRPr="009439B6">
        <w:rPr>
          <w:bCs/>
          <w:sz w:val="24"/>
          <w:szCs w:val="24"/>
        </w:rPr>
        <w:t xml:space="preserve"> priemonių eismui planuojama infrastruktūra yra atskirta nuo pėsčiųjų. Eismo saugumo prasme nepriimtina, kad atsižvelgiant į geriausias kitų valstybių praktikas Taisyklės rekomenduoja planuojant ir įrengiant dviračių ir pėsčiųjų infrastruktūrą atskirti šių eismo dalyvių srautus, o pagal peticijoje pateiktus pasiūlymus (keičiant Įstatymą) tuos srautus siūloma apjungti pėsčiųjų perėjose. </w:t>
      </w:r>
    </w:p>
    <w:p w14:paraId="6D252F8D" w14:textId="77777777" w:rsidR="00661B66" w:rsidRPr="009439B6" w:rsidRDefault="00661B66" w:rsidP="006453AE">
      <w:pPr>
        <w:spacing w:line="276" w:lineRule="auto"/>
        <w:contextualSpacing/>
        <w:jc w:val="both"/>
        <w:rPr>
          <w:bCs/>
          <w:sz w:val="24"/>
          <w:szCs w:val="24"/>
        </w:rPr>
      </w:pPr>
      <w:r w:rsidRPr="009439B6">
        <w:rPr>
          <w:b/>
          <w:sz w:val="24"/>
          <w:szCs w:val="24"/>
        </w:rPr>
        <w:tab/>
      </w:r>
      <w:r w:rsidRPr="009439B6">
        <w:rPr>
          <w:bCs/>
          <w:sz w:val="24"/>
          <w:szCs w:val="24"/>
        </w:rPr>
        <w:t xml:space="preserve">5. Susisiekimo ministerija nuomone, patogesnių ir saugesnių sąlygų dviračių ir elektrinių </w:t>
      </w:r>
      <w:proofErr w:type="spellStart"/>
      <w:r w:rsidRPr="009439B6">
        <w:rPr>
          <w:bCs/>
          <w:sz w:val="24"/>
          <w:szCs w:val="24"/>
        </w:rPr>
        <w:t>mikrojudumo</w:t>
      </w:r>
      <w:proofErr w:type="spellEnd"/>
      <w:r w:rsidRPr="009439B6">
        <w:rPr>
          <w:bCs/>
          <w:sz w:val="24"/>
          <w:szCs w:val="24"/>
        </w:rPr>
        <w:t xml:space="preserve"> priemonių vairuotojams tikslinga siekti įrengiant ir plečiant jiems skirtą kelių infrastruktūros tinklą. Pažymėtina, kad kelio savininkams (miestuose – savivaldybėms) tinkamai įrengus dviračių infrastruktūrą keliuose (įrengiant dviračių takus, dviračių juostas, dviračių pervažas, atskiriant pėsčiųjų ir dviratininkų eismo srautus), dviračių važiavimo pėsčiųjų perėjomis klausimas tampa visiškai neaktualus.</w:t>
      </w:r>
    </w:p>
    <w:p w14:paraId="469E22AB" w14:textId="263DE7A0" w:rsidR="00661B66" w:rsidRPr="009439B6" w:rsidRDefault="00661B66" w:rsidP="006453AE">
      <w:pPr>
        <w:spacing w:line="276" w:lineRule="auto"/>
        <w:contextualSpacing/>
        <w:jc w:val="both"/>
        <w:rPr>
          <w:bCs/>
          <w:sz w:val="24"/>
          <w:szCs w:val="24"/>
        </w:rPr>
      </w:pPr>
      <w:r w:rsidRPr="009439B6">
        <w:rPr>
          <w:b/>
          <w:sz w:val="24"/>
          <w:szCs w:val="24"/>
        </w:rPr>
        <w:tab/>
      </w:r>
      <w:r w:rsidRPr="009439B6">
        <w:rPr>
          <w:bCs/>
          <w:sz w:val="24"/>
          <w:szCs w:val="24"/>
        </w:rPr>
        <w:t>Apibendrinus Rašte išvard</w:t>
      </w:r>
      <w:r w:rsidR="00536A75">
        <w:rPr>
          <w:bCs/>
          <w:sz w:val="24"/>
          <w:szCs w:val="24"/>
        </w:rPr>
        <w:t>ytu</w:t>
      </w:r>
      <w:r w:rsidRPr="009439B6">
        <w:rPr>
          <w:bCs/>
          <w:sz w:val="24"/>
          <w:szCs w:val="24"/>
        </w:rPr>
        <w:t xml:space="preserve">s argumentus, Susisiekimo ministerija peticijoje nurodytiems pasiūlymams dėl Įstatymo </w:t>
      </w:r>
      <w:r w:rsidRPr="009439B6">
        <w:rPr>
          <w:sz w:val="24"/>
          <w:szCs w:val="24"/>
        </w:rPr>
        <w:t>17</w:t>
      </w:r>
      <w:r w:rsidRPr="009439B6">
        <w:rPr>
          <w:sz w:val="24"/>
          <w:szCs w:val="24"/>
          <w:vertAlign w:val="superscript"/>
        </w:rPr>
        <w:t>1</w:t>
      </w:r>
      <w:r w:rsidRPr="009439B6">
        <w:rPr>
          <w:sz w:val="24"/>
          <w:szCs w:val="24"/>
        </w:rPr>
        <w:t> straipsnio 4 dalies 5 punkto keitimo</w:t>
      </w:r>
      <w:r w:rsidRPr="009439B6">
        <w:rPr>
          <w:bCs/>
          <w:sz w:val="24"/>
          <w:szCs w:val="24"/>
        </w:rPr>
        <w:t xml:space="preserve"> nepritaria.</w:t>
      </w:r>
    </w:p>
    <w:p w14:paraId="3BA4CA12" w14:textId="77777777" w:rsidR="00661B66" w:rsidRPr="009439B6" w:rsidRDefault="00661B66" w:rsidP="00661B66">
      <w:pPr>
        <w:spacing w:line="360" w:lineRule="auto"/>
        <w:contextualSpacing/>
        <w:jc w:val="both"/>
        <w:rPr>
          <w:bCs/>
          <w:sz w:val="24"/>
          <w:szCs w:val="24"/>
        </w:rPr>
      </w:pPr>
    </w:p>
    <w:p w14:paraId="3BE8E71C" w14:textId="77777777" w:rsidR="00661B66" w:rsidRPr="009439B6" w:rsidRDefault="00661B66" w:rsidP="00661B66">
      <w:pPr>
        <w:spacing w:line="360" w:lineRule="auto"/>
        <w:contextualSpacing/>
        <w:jc w:val="both"/>
        <w:rPr>
          <w:bCs/>
          <w:sz w:val="24"/>
          <w:szCs w:val="24"/>
        </w:rPr>
      </w:pPr>
      <w:r w:rsidRPr="009439B6">
        <w:rPr>
          <w:bCs/>
          <w:sz w:val="24"/>
          <w:szCs w:val="24"/>
        </w:rPr>
        <w:t>Susisiekimo ministras</w:t>
      </w:r>
      <w:r w:rsidRPr="009439B6">
        <w:rPr>
          <w:bCs/>
          <w:sz w:val="24"/>
          <w:szCs w:val="24"/>
        </w:rPr>
        <w:tab/>
      </w:r>
      <w:r w:rsidRPr="009439B6">
        <w:rPr>
          <w:bCs/>
          <w:sz w:val="24"/>
          <w:szCs w:val="24"/>
        </w:rPr>
        <w:tab/>
      </w:r>
      <w:r w:rsidRPr="009439B6">
        <w:rPr>
          <w:bCs/>
          <w:sz w:val="24"/>
          <w:szCs w:val="24"/>
        </w:rPr>
        <w:tab/>
      </w:r>
      <w:r w:rsidRPr="009439B6">
        <w:rPr>
          <w:bCs/>
          <w:sz w:val="24"/>
          <w:szCs w:val="24"/>
        </w:rPr>
        <w:tab/>
      </w:r>
      <w:r w:rsidRPr="009439B6">
        <w:rPr>
          <w:bCs/>
          <w:sz w:val="24"/>
          <w:szCs w:val="24"/>
        </w:rPr>
        <w:tab/>
      </w:r>
      <w:r w:rsidRPr="009439B6">
        <w:rPr>
          <w:bCs/>
          <w:sz w:val="24"/>
          <w:szCs w:val="24"/>
        </w:rPr>
        <w:tab/>
      </w:r>
      <w:r w:rsidRPr="009439B6">
        <w:rPr>
          <w:bCs/>
          <w:sz w:val="24"/>
          <w:szCs w:val="24"/>
        </w:rPr>
        <w:tab/>
        <w:t xml:space="preserve"> Eugenijus Sabutis</w:t>
      </w:r>
    </w:p>
    <w:p w14:paraId="70F6FD74" w14:textId="77777777" w:rsidR="00661B66" w:rsidRDefault="00661B66" w:rsidP="00661B66">
      <w:pPr>
        <w:contextualSpacing/>
        <w:jc w:val="both"/>
        <w:rPr>
          <w:bCs/>
          <w:sz w:val="24"/>
          <w:szCs w:val="24"/>
        </w:rPr>
      </w:pPr>
    </w:p>
    <w:p w14:paraId="48B6FE3F" w14:textId="77777777" w:rsidR="0022327B" w:rsidRDefault="0022327B" w:rsidP="00661B66">
      <w:pPr>
        <w:contextualSpacing/>
        <w:jc w:val="both"/>
        <w:rPr>
          <w:bCs/>
          <w:sz w:val="24"/>
          <w:szCs w:val="24"/>
        </w:rPr>
      </w:pPr>
    </w:p>
    <w:p w14:paraId="7628CD74" w14:textId="77777777" w:rsidR="0022327B" w:rsidRDefault="0022327B" w:rsidP="00661B66">
      <w:pPr>
        <w:contextualSpacing/>
        <w:jc w:val="both"/>
        <w:rPr>
          <w:bCs/>
          <w:sz w:val="24"/>
          <w:szCs w:val="24"/>
        </w:rPr>
      </w:pPr>
    </w:p>
    <w:p w14:paraId="4D7F4E68" w14:textId="77777777" w:rsidR="0022327B" w:rsidRPr="009439B6" w:rsidRDefault="0022327B" w:rsidP="00661B66">
      <w:pPr>
        <w:contextualSpacing/>
        <w:jc w:val="both"/>
        <w:rPr>
          <w:bCs/>
          <w:sz w:val="24"/>
          <w:szCs w:val="24"/>
        </w:rPr>
      </w:pPr>
    </w:p>
    <w:p w14:paraId="4E6634A4" w14:textId="77777777" w:rsidR="00661B66" w:rsidRPr="009439B6" w:rsidRDefault="00661B66" w:rsidP="00661B66">
      <w:pPr>
        <w:contextualSpacing/>
        <w:jc w:val="both"/>
        <w:rPr>
          <w:bCs/>
          <w:sz w:val="24"/>
          <w:szCs w:val="24"/>
        </w:rPr>
      </w:pPr>
    </w:p>
    <w:p w14:paraId="41FE47D4" w14:textId="77777777" w:rsidR="00661B66" w:rsidRPr="009439B6" w:rsidRDefault="00661B66" w:rsidP="00661B66">
      <w:pPr>
        <w:contextualSpacing/>
        <w:jc w:val="both"/>
        <w:rPr>
          <w:bCs/>
          <w:sz w:val="24"/>
          <w:szCs w:val="24"/>
        </w:rPr>
      </w:pPr>
    </w:p>
    <w:p w14:paraId="53165819" w14:textId="77777777" w:rsidR="00661B66" w:rsidRDefault="00661B66" w:rsidP="00661B66">
      <w:pPr>
        <w:contextualSpacing/>
        <w:jc w:val="both"/>
        <w:rPr>
          <w:bCs/>
          <w:sz w:val="24"/>
          <w:szCs w:val="24"/>
        </w:rPr>
      </w:pPr>
    </w:p>
    <w:p w14:paraId="441A28F9" w14:textId="77777777" w:rsidR="00770D9F" w:rsidRDefault="00770D9F" w:rsidP="00661B66">
      <w:pPr>
        <w:contextualSpacing/>
        <w:jc w:val="both"/>
        <w:rPr>
          <w:bCs/>
          <w:sz w:val="24"/>
          <w:szCs w:val="24"/>
        </w:rPr>
      </w:pPr>
    </w:p>
    <w:p w14:paraId="0BFE3D8C" w14:textId="77777777" w:rsidR="00770D9F" w:rsidRDefault="00770D9F" w:rsidP="00661B66">
      <w:pPr>
        <w:contextualSpacing/>
        <w:jc w:val="both"/>
        <w:rPr>
          <w:bCs/>
          <w:sz w:val="24"/>
          <w:szCs w:val="24"/>
        </w:rPr>
      </w:pPr>
    </w:p>
    <w:p w14:paraId="1788C7A4" w14:textId="77777777" w:rsidR="00770D9F" w:rsidRDefault="00770D9F" w:rsidP="00661B66">
      <w:pPr>
        <w:contextualSpacing/>
        <w:jc w:val="both"/>
        <w:rPr>
          <w:bCs/>
          <w:sz w:val="24"/>
          <w:szCs w:val="24"/>
        </w:rPr>
      </w:pPr>
    </w:p>
    <w:p w14:paraId="6F19AD41" w14:textId="77777777" w:rsidR="00770D9F" w:rsidRDefault="00770D9F" w:rsidP="00661B66">
      <w:pPr>
        <w:contextualSpacing/>
        <w:jc w:val="both"/>
        <w:rPr>
          <w:bCs/>
          <w:sz w:val="24"/>
          <w:szCs w:val="24"/>
        </w:rPr>
      </w:pPr>
    </w:p>
    <w:p w14:paraId="13FA31B6" w14:textId="77777777" w:rsidR="00770D9F" w:rsidRDefault="00770D9F" w:rsidP="00661B66">
      <w:pPr>
        <w:contextualSpacing/>
        <w:jc w:val="both"/>
        <w:rPr>
          <w:bCs/>
          <w:sz w:val="24"/>
          <w:szCs w:val="24"/>
        </w:rPr>
      </w:pPr>
    </w:p>
    <w:p w14:paraId="5F0E066E" w14:textId="77777777" w:rsidR="00770D9F" w:rsidRDefault="00770D9F" w:rsidP="00661B66">
      <w:pPr>
        <w:contextualSpacing/>
        <w:jc w:val="both"/>
        <w:rPr>
          <w:bCs/>
          <w:sz w:val="24"/>
          <w:szCs w:val="24"/>
        </w:rPr>
      </w:pPr>
    </w:p>
    <w:p w14:paraId="46078DD9" w14:textId="77777777" w:rsidR="00770D9F" w:rsidRDefault="00770D9F" w:rsidP="00661B66">
      <w:pPr>
        <w:contextualSpacing/>
        <w:jc w:val="both"/>
        <w:rPr>
          <w:bCs/>
          <w:sz w:val="24"/>
          <w:szCs w:val="24"/>
        </w:rPr>
      </w:pPr>
    </w:p>
    <w:p w14:paraId="7B4B743E" w14:textId="77777777" w:rsidR="00770D9F" w:rsidRDefault="00770D9F" w:rsidP="00661B66">
      <w:pPr>
        <w:contextualSpacing/>
        <w:jc w:val="both"/>
        <w:rPr>
          <w:bCs/>
          <w:sz w:val="24"/>
          <w:szCs w:val="24"/>
        </w:rPr>
      </w:pPr>
    </w:p>
    <w:p w14:paraId="7761C95C" w14:textId="77777777" w:rsidR="006453AE" w:rsidRDefault="006453AE" w:rsidP="00661B66">
      <w:pPr>
        <w:contextualSpacing/>
        <w:jc w:val="both"/>
        <w:rPr>
          <w:bCs/>
          <w:sz w:val="24"/>
          <w:szCs w:val="24"/>
        </w:rPr>
      </w:pPr>
    </w:p>
    <w:p w14:paraId="50A8500B" w14:textId="77777777" w:rsidR="006453AE" w:rsidRDefault="006453AE" w:rsidP="00661B66">
      <w:pPr>
        <w:contextualSpacing/>
        <w:jc w:val="both"/>
        <w:rPr>
          <w:bCs/>
          <w:sz w:val="24"/>
          <w:szCs w:val="24"/>
        </w:rPr>
      </w:pPr>
    </w:p>
    <w:p w14:paraId="0802B331" w14:textId="77777777" w:rsidR="006453AE" w:rsidRDefault="006453AE" w:rsidP="00661B66">
      <w:pPr>
        <w:contextualSpacing/>
        <w:jc w:val="both"/>
        <w:rPr>
          <w:bCs/>
          <w:sz w:val="24"/>
          <w:szCs w:val="24"/>
        </w:rPr>
      </w:pPr>
    </w:p>
    <w:p w14:paraId="7BF5EA10" w14:textId="77777777" w:rsidR="00A236C5" w:rsidRDefault="00A236C5" w:rsidP="00661B66">
      <w:pPr>
        <w:contextualSpacing/>
        <w:jc w:val="both"/>
        <w:rPr>
          <w:bCs/>
          <w:sz w:val="24"/>
          <w:szCs w:val="24"/>
        </w:rPr>
      </w:pPr>
    </w:p>
    <w:p w14:paraId="2F61217B" w14:textId="77777777" w:rsidR="00A236C5" w:rsidRDefault="00A236C5" w:rsidP="00661B66">
      <w:pPr>
        <w:contextualSpacing/>
        <w:jc w:val="both"/>
        <w:rPr>
          <w:bCs/>
          <w:sz w:val="24"/>
          <w:szCs w:val="24"/>
        </w:rPr>
      </w:pPr>
    </w:p>
    <w:p w14:paraId="214C9D2C" w14:textId="77777777" w:rsidR="00A236C5" w:rsidRDefault="00A236C5" w:rsidP="00661B66">
      <w:pPr>
        <w:contextualSpacing/>
        <w:jc w:val="both"/>
        <w:rPr>
          <w:bCs/>
          <w:sz w:val="24"/>
          <w:szCs w:val="24"/>
        </w:rPr>
      </w:pPr>
    </w:p>
    <w:p w14:paraId="64ABDEEC" w14:textId="77777777" w:rsidR="00A236C5" w:rsidRDefault="00A236C5" w:rsidP="00661B66">
      <w:pPr>
        <w:contextualSpacing/>
        <w:jc w:val="both"/>
        <w:rPr>
          <w:bCs/>
          <w:sz w:val="24"/>
          <w:szCs w:val="24"/>
        </w:rPr>
      </w:pPr>
    </w:p>
    <w:p w14:paraId="0DACA689" w14:textId="77777777" w:rsidR="006453AE" w:rsidRPr="009439B6" w:rsidRDefault="006453AE" w:rsidP="00661B66">
      <w:pPr>
        <w:contextualSpacing/>
        <w:jc w:val="both"/>
        <w:rPr>
          <w:bCs/>
          <w:sz w:val="24"/>
          <w:szCs w:val="24"/>
        </w:rPr>
      </w:pPr>
    </w:p>
    <w:p w14:paraId="1B3E86E2" w14:textId="77777777" w:rsidR="00661B66" w:rsidRPr="009439B6" w:rsidRDefault="00661B66" w:rsidP="00661B66">
      <w:pPr>
        <w:contextualSpacing/>
        <w:jc w:val="both"/>
      </w:pPr>
      <w:r w:rsidRPr="009439B6">
        <w:rPr>
          <w:bCs/>
          <w:sz w:val="24"/>
          <w:szCs w:val="24"/>
        </w:rPr>
        <w:t xml:space="preserve">Jonas Drunga, tel. +370 653 82040, el. p. </w:t>
      </w:r>
      <w:hyperlink r:id="rId8" w:history="1">
        <w:r w:rsidRPr="009439B6">
          <w:rPr>
            <w:rStyle w:val="Hipersaitas"/>
            <w:bCs/>
            <w:sz w:val="24"/>
            <w:szCs w:val="24"/>
          </w:rPr>
          <w:t>jonas.drunga@sumin.lt</w:t>
        </w:r>
      </w:hyperlink>
    </w:p>
    <w:p w14:paraId="48C950BC" w14:textId="77777777" w:rsidR="00661B66" w:rsidRPr="009439B6" w:rsidRDefault="00661B66" w:rsidP="00661B66">
      <w:pPr>
        <w:contextualSpacing/>
        <w:jc w:val="both"/>
        <w:rPr>
          <w:bCs/>
          <w:sz w:val="24"/>
          <w:szCs w:val="24"/>
        </w:rPr>
      </w:pPr>
      <w:r w:rsidRPr="009439B6">
        <w:rPr>
          <w:bCs/>
          <w:sz w:val="24"/>
          <w:szCs w:val="24"/>
        </w:rPr>
        <w:t xml:space="preserve">Andrius Karnilavičius, tel. +370 659 15833, el. p. </w:t>
      </w:r>
      <w:hyperlink r:id="rId9" w:history="1">
        <w:r w:rsidRPr="009439B6">
          <w:rPr>
            <w:rStyle w:val="Hipersaitas"/>
            <w:bCs/>
            <w:sz w:val="24"/>
            <w:szCs w:val="24"/>
          </w:rPr>
          <w:t>andrius.karnilavicius@sumin.lt</w:t>
        </w:r>
      </w:hyperlink>
    </w:p>
    <w:p w14:paraId="32CC6426" w14:textId="4BE31433" w:rsidR="008C56AC" w:rsidRPr="007775A2" w:rsidRDefault="008C56AC">
      <w:pPr>
        <w:jc w:val="both"/>
        <w:rPr>
          <w:b/>
          <w:sz w:val="24"/>
          <w:szCs w:val="24"/>
        </w:rPr>
      </w:pPr>
    </w:p>
    <w:p w14:paraId="662AD0A8" w14:textId="77777777" w:rsidR="008C56AC" w:rsidRDefault="008C56AC">
      <w:pPr>
        <w:rPr>
          <w:sz w:val="24"/>
        </w:rPr>
      </w:pPr>
    </w:p>
    <w:p w14:paraId="511CD945" w14:textId="77777777" w:rsidR="00A72990" w:rsidRDefault="00A72990">
      <w:pPr>
        <w:rPr>
          <w:sz w:val="24"/>
        </w:rPr>
      </w:pPr>
    </w:p>
    <w:p w14:paraId="16F6CF88" w14:textId="77777777" w:rsidR="008C56AC" w:rsidRDefault="008C56AC">
      <w:pPr>
        <w:rPr>
          <w:sz w:val="24"/>
        </w:rPr>
      </w:pPr>
    </w:p>
    <w:p w14:paraId="15844A7D" w14:textId="77777777" w:rsidR="008C56AC" w:rsidRDefault="008C56AC">
      <w:pPr>
        <w:rPr>
          <w:sz w:val="24"/>
        </w:rPr>
      </w:pPr>
    </w:p>
    <w:p w14:paraId="0F2A5E48" w14:textId="77777777" w:rsidR="008C56AC" w:rsidRDefault="008C56AC">
      <w:pPr>
        <w:rPr>
          <w:sz w:val="24"/>
        </w:rPr>
      </w:pPr>
    </w:p>
    <w:sectPr w:rsidR="008C56AC" w:rsidSect="003040F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567" w:bottom="425" w:left="1701" w:header="567" w:footer="1164"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1362" w14:textId="77777777" w:rsidR="00C85938" w:rsidRDefault="00C85938">
      <w:r>
        <w:separator/>
      </w:r>
    </w:p>
  </w:endnote>
  <w:endnote w:type="continuationSeparator" w:id="0">
    <w:p w14:paraId="5BA1507B" w14:textId="77777777" w:rsidR="00C85938" w:rsidRDefault="00C8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6B25" w14:textId="77777777" w:rsidR="00D8056E" w:rsidRDefault="00D8056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C20D" w14:textId="77777777" w:rsidR="00D8056E" w:rsidRDefault="00D8056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38B5" w14:textId="77777777" w:rsidR="00845923" w:rsidRDefault="00845923" w:rsidP="00CC6858">
    <w:pPr>
      <w:pStyle w:val="Porat"/>
      <w:tabs>
        <w:tab w:val="clear" w:pos="4153"/>
        <w:tab w:val="clear" w:pos="830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B9627" w14:textId="77777777" w:rsidR="00C85938" w:rsidRDefault="00C85938">
      <w:r>
        <w:separator/>
      </w:r>
    </w:p>
  </w:footnote>
  <w:footnote w:type="continuationSeparator" w:id="0">
    <w:p w14:paraId="50A9B6BF" w14:textId="77777777" w:rsidR="00C85938" w:rsidRDefault="00C85938">
      <w:r>
        <w:continuationSeparator/>
      </w:r>
    </w:p>
  </w:footnote>
  <w:footnote w:id="1">
    <w:p w14:paraId="0830750B" w14:textId="77777777" w:rsidR="00661B66" w:rsidRPr="003719FE" w:rsidRDefault="00661B66" w:rsidP="00661B66">
      <w:pPr>
        <w:pStyle w:val="Puslapioinaostekstas"/>
        <w:jc w:val="both"/>
        <w:rPr>
          <w:sz w:val="18"/>
          <w:szCs w:val="18"/>
          <w:lang w:val="lt-LT"/>
        </w:rPr>
      </w:pPr>
      <w:r>
        <w:rPr>
          <w:rStyle w:val="Puslapioinaosnuoroda"/>
        </w:rPr>
        <w:footnoteRef/>
      </w:r>
      <w:r w:rsidRPr="00325725">
        <w:rPr>
          <w:lang w:val="lt-LT"/>
        </w:rPr>
        <w:t xml:space="preserve"> </w:t>
      </w:r>
      <w:r w:rsidRPr="003719FE">
        <w:rPr>
          <w:sz w:val="18"/>
          <w:szCs w:val="18"/>
          <w:lang w:val="lt-LT"/>
        </w:rPr>
        <w:t xml:space="preserve">Lietuvos Respublikos Seimo Peticijų komisijos 2025 m. sausio 28 d. raštas Nr. S-2025-444 „Dėl nuomonės pateikimo“.   </w:t>
      </w:r>
    </w:p>
  </w:footnote>
  <w:footnote w:id="2">
    <w:p w14:paraId="473FD3F5" w14:textId="5621DA63" w:rsidR="006453AE" w:rsidRPr="003719FE" w:rsidRDefault="006453AE" w:rsidP="006453AE">
      <w:pPr>
        <w:pStyle w:val="Puslapioinaostekstas"/>
        <w:jc w:val="both"/>
        <w:rPr>
          <w:sz w:val="18"/>
          <w:szCs w:val="18"/>
          <w:lang w:val="lt-LT"/>
        </w:rPr>
      </w:pPr>
      <w:r w:rsidRPr="003719FE">
        <w:rPr>
          <w:rStyle w:val="Puslapioinaosnuoroda"/>
          <w:sz w:val="18"/>
          <w:szCs w:val="18"/>
        </w:rPr>
        <w:footnoteRef/>
      </w:r>
      <w:r w:rsidRPr="003719FE">
        <w:rPr>
          <w:sz w:val="18"/>
          <w:szCs w:val="18"/>
          <w:lang w:val="lt-LT"/>
        </w:rPr>
        <w:t xml:space="preserve"> </w:t>
      </w:r>
      <w:r w:rsidRPr="003719FE">
        <w:rPr>
          <w:sz w:val="18"/>
          <w:szCs w:val="18"/>
          <w:lang w:val="lt-LT"/>
        </w:rPr>
        <w:t>2025 m. sausio 19 d. peticija „Dėl Saugaus eismo automobilių keliais įstatymo pakeitimo – dėl leidimo dviratininkams važiuoti per pėsčiųjų perėjas“.</w:t>
      </w:r>
    </w:p>
  </w:footnote>
  <w:footnote w:id="3">
    <w:p w14:paraId="0F9C29C5" w14:textId="77777777" w:rsidR="00661B66" w:rsidRPr="003719FE" w:rsidRDefault="00661B66" w:rsidP="00661B66">
      <w:pPr>
        <w:pStyle w:val="Pagrindinistekstas"/>
        <w:ind w:firstLine="0"/>
        <w:rPr>
          <w:sz w:val="22"/>
          <w:szCs w:val="18"/>
        </w:rPr>
      </w:pPr>
      <w:r w:rsidRPr="003719FE">
        <w:rPr>
          <w:rStyle w:val="Puslapioinaosnuoroda"/>
          <w:sz w:val="18"/>
          <w:szCs w:val="18"/>
        </w:rPr>
        <w:footnoteRef/>
      </w:r>
      <w:r w:rsidRPr="003719FE">
        <w:rPr>
          <w:sz w:val="18"/>
          <w:szCs w:val="18"/>
        </w:rPr>
        <w:t xml:space="preserve"> </w:t>
      </w:r>
      <w:r w:rsidRPr="003719FE">
        <w:rPr>
          <w:sz w:val="18"/>
          <w:szCs w:val="18"/>
          <w:lang w:eastAsia="x-none"/>
        </w:rPr>
        <w:t>Lietuvos Respublikos Vyriausybės 2002 m. gruodžio 11 d. nutarimas Nr. 1950 „Dėl Kelių eismo taisyklių patvirtinimo“.</w:t>
      </w:r>
    </w:p>
  </w:footnote>
  <w:footnote w:id="4">
    <w:p w14:paraId="74FB2E60" w14:textId="77777777" w:rsidR="00661B66" w:rsidRPr="003719FE" w:rsidRDefault="00661B66" w:rsidP="00661B66">
      <w:pPr>
        <w:pStyle w:val="Puslapioinaostekstas"/>
        <w:jc w:val="both"/>
        <w:rPr>
          <w:sz w:val="18"/>
          <w:szCs w:val="18"/>
          <w:lang w:val="lt-LT"/>
        </w:rPr>
      </w:pPr>
      <w:r>
        <w:rPr>
          <w:rStyle w:val="Puslapioinaosnuoroda"/>
        </w:rPr>
        <w:footnoteRef/>
      </w:r>
      <w:r w:rsidRPr="002D5D17">
        <w:rPr>
          <w:lang w:val="lt-LT"/>
        </w:rPr>
        <w:t xml:space="preserve"> </w:t>
      </w:r>
      <w:r w:rsidRPr="003719FE">
        <w:rPr>
          <w:sz w:val="18"/>
          <w:szCs w:val="18"/>
          <w:lang w:val="lt-LT"/>
        </w:rPr>
        <w:t xml:space="preserve">Lietuvos Respublikos susisiekimo ministro </w:t>
      </w:r>
      <w:r w:rsidRPr="003719FE">
        <w:rPr>
          <w:bCs/>
          <w:sz w:val="18"/>
          <w:szCs w:val="18"/>
          <w:lang w:val="lt-LT"/>
        </w:rPr>
        <w:t xml:space="preserve">2024 m. lapkričio 26 d. įsakymas Nr. 3-415 „Dėl dviračių ir pėsčiųjų eismo infrastruktūros planavimo ir projektavimo taisyklių patvirtinimo“. </w:t>
      </w:r>
      <w:r w:rsidRPr="003719FE">
        <w:rPr>
          <w:sz w:val="18"/>
          <w:szCs w:val="18"/>
          <w:lang w:val="lt-LT"/>
        </w:rPr>
        <w:t xml:space="preserve"> </w:t>
      </w:r>
    </w:p>
  </w:footnote>
  <w:footnote w:id="5">
    <w:p w14:paraId="632F0179" w14:textId="77777777" w:rsidR="00661B66" w:rsidRPr="003719FE" w:rsidRDefault="00661B66" w:rsidP="00661B66">
      <w:pPr>
        <w:pStyle w:val="Puslapioinaostekstas"/>
        <w:jc w:val="both"/>
        <w:rPr>
          <w:sz w:val="18"/>
          <w:szCs w:val="18"/>
          <w:lang w:val="lt-LT"/>
        </w:rPr>
      </w:pPr>
      <w:r w:rsidRPr="003719FE">
        <w:rPr>
          <w:rStyle w:val="Puslapioinaosnuoroda"/>
          <w:sz w:val="18"/>
          <w:szCs w:val="18"/>
          <w:lang w:val="lt-LT"/>
        </w:rPr>
        <w:footnoteRef/>
      </w:r>
      <w:r w:rsidRPr="003719FE">
        <w:rPr>
          <w:sz w:val="18"/>
          <w:szCs w:val="18"/>
          <w:lang w:val="lt-LT"/>
        </w:rPr>
        <w:t xml:space="preserve"> </w:t>
      </w:r>
      <w:r w:rsidRPr="003719FE">
        <w:rPr>
          <w:sz w:val="18"/>
          <w:szCs w:val="18"/>
          <w:lang w:val="lt-LT"/>
        </w:rPr>
        <w:t xml:space="preserve">9.2. dviračių vairuotojai turi būti apsaugoti nuo intensyvaus motorinių transporto priemonių eismo taikant fizinio atskyrimo priemones arba mažinant motorinių transporto priemonių greitį ir intensyvumą tuose keliuose ir gatvėse, kuriuose dviračių eismas organizuojamas važiuojamojoje dalyje; be to, dviratis yra transporto priemonė, todėl dviračių eismą rekomenduojama </w:t>
      </w:r>
      <w:r w:rsidRPr="003719FE">
        <w:rPr>
          <w:b/>
          <w:bCs/>
          <w:sz w:val="18"/>
          <w:szCs w:val="18"/>
          <w:lang w:val="lt-LT"/>
        </w:rPr>
        <w:t>fiziškai atskirti ir nuo pėsčiųjų eismo</w:t>
      </w:r>
      <w:r w:rsidRPr="003719FE">
        <w:rPr>
          <w:sz w:val="18"/>
          <w:szCs w:val="18"/>
          <w:lang w:val="lt-LT"/>
        </w:rPr>
        <w:t xml:space="preserve"> (išskyrus atvejus, kai eismo dalyvių eismas gali vykti bendrame sraute, kaip numato Kelių eismo taisyklės [4.3]);</w:t>
      </w:r>
    </w:p>
  </w:footnote>
  <w:footnote w:id="6">
    <w:p w14:paraId="1D586EAD" w14:textId="77777777" w:rsidR="00661B66" w:rsidRPr="003719FE" w:rsidRDefault="00661B66" w:rsidP="00661B66">
      <w:pPr>
        <w:pStyle w:val="Puslapioinaostekstas"/>
        <w:jc w:val="both"/>
        <w:rPr>
          <w:sz w:val="18"/>
          <w:szCs w:val="18"/>
          <w:lang w:val="lt-LT"/>
        </w:rPr>
      </w:pPr>
      <w:r w:rsidRPr="003719FE">
        <w:rPr>
          <w:rStyle w:val="Puslapioinaosnuoroda"/>
          <w:sz w:val="18"/>
          <w:szCs w:val="18"/>
          <w:lang w:val="lt-LT"/>
        </w:rPr>
        <w:footnoteRef/>
      </w:r>
      <w:r w:rsidRPr="003719FE">
        <w:rPr>
          <w:sz w:val="18"/>
          <w:szCs w:val="18"/>
          <w:lang w:val="lt-LT"/>
        </w:rPr>
        <w:t xml:space="preserve"> </w:t>
      </w:r>
      <w:r w:rsidRPr="003719FE">
        <w:rPr>
          <w:sz w:val="18"/>
          <w:szCs w:val="18"/>
          <w:lang w:val="lt-LT"/>
        </w:rPr>
        <w:t>10.3. Saugumo principu (orientuotu ne tik į eismo saugumą, bet ir į dviračio vairuotojo sveikatą, t. y. streso, teršalų bei triukšmo poveikio mažinimą): dviračių trasų tinkle turi būti užtikrintas dviračių vairuotojų ir kitų eismo dalyvių saugumas, sumažintos visos galimos grėsmės, kiek įmanoma stengiamasi išvengti greičio ir masės skirtumų, t. y. reikia vengti sąlyčio su intensyvaus motorinių transporto priemonių eismo keliais ir gatvėmis, vengti konfliktinių situacijų sankryžose, stengtis atskirti eismo dalyvių srautus, mažinti greitį eismo trajektorijų susikirtimo taškuose (tiek motorinių transporto priemonių, tiek dviračių), užtikrinti dviračių trasų atpažįstamumą ir vienodumą, taip sudarant aiškias eismo organizavimo sąlygas visiems eismo dalyviams.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CAAC" w14:textId="77777777" w:rsidR="00845923" w:rsidRDefault="00BC1207">
    <w:pPr>
      <w:pStyle w:val="Antrats"/>
      <w:framePr w:wrap="around" w:vAnchor="text" w:hAnchor="margin" w:xAlign="center" w:y="1"/>
      <w:rPr>
        <w:rStyle w:val="Puslapionumeris"/>
      </w:rPr>
    </w:pPr>
    <w:r>
      <w:rPr>
        <w:rStyle w:val="Puslapionumeris"/>
      </w:rPr>
      <w:fldChar w:fldCharType="begin"/>
    </w:r>
    <w:r w:rsidR="00845923">
      <w:rPr>
        <w:rStyle w:val="Puslapionumeris"/>
      </w:rPr>
      <w:instrText xml:space="preserve">PAGE  </w:instrText>
    </w:r>
    <w:r>
      <w:rPr>
        <w:rStyle w:val="Puslapionumeris"/>
      </w:rPr>
      <w:fldChar w:fldCharType="separate"/>
    </w:r>
    <w:r w:rsidR="00845923">
      <w:rPr>
        <w:rStyle w:val="Puslapionumeris"/>
        <w:noProof/>
      </w:rPr>
      <w:t>1</w:t>
    </w:r>
    <w:r>
      <w:rPr>
        <w:rStyle w:val="Puslapionumeris"/>
      </w:rPr>
      <w:fldChar w:fldCharType="end"/>
    </w:r>
  </w:p>
  <w:p w14:paraId="76F31427" w14:textId="77777777" w:rsidR="00845923" w:rsidRDefault="0084592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F8F8" w14:textId="4FD094AF" w:rsidR="00845923" w:rsidRDefault="00BC1207">
    <w:pPr>
      <w:pStyle w:val="Antrats"/>
      <w:framePr w:wrap="around" w:vAnchor="text" w:hAnchor="margin" w:xAlign="center" w:y="1"/>
      <w:rPr>
        <w:rStyle w:val="Puslapionumeris"/>
      </w:rPr>
    </w:pPr>
    <w:r>
      <w:rPr>
        <w:rStyle w:val="Puslapionumeris"/>
      </w:rPr>
      <w:fldChar w:fldCharType="begin"/>
    </w:r>
    <w:r w:rsidR="00845923">
      <w:rPr>
        <w:rStyle w:val="Puslapionumeris"/>
      </w:rPr>
      <w:instrText xml:space="preserve">PAGE  </w:instrText>
    </w:r>
    <w:r>
      <w:rPr>
        <w:rStyle w:val="Puslapionumeris"/>
      </w:rPr>
      <w:fldChar w:fldCharType="separate"/>
    </w:r>
    <w:r w:rsidR="00A723EB">
      <w:rPr>
        <w:rStyle w:val="Puslapionumeris"/>
        <w:noProof/>
      </w:rPr>
      <w:t>4</w:t>
    </w:r>
    <w:r>
      <w:rPr>
        <w:rStyle w:val="Puslapionumeris"/>
      </w:rPr>
      <w:fldChar w:fldCharType="end"/>
    </w:r>
  </w:p>
  <w:p w14:paraId="5061F93E" w14:textId="77777777" w:rsidR="00845923" w:rsidRDefault="0084592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D4F7" w14:textId="77777777" w:rsidR="00D8056E" w:rsidRDefault="00D8056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66"/>
    <w:rsid w:val="000051C6"/>
    <w:rsid w:val="00013B22"/>
    <w:rsid w:val="000355C4"/>
    <w:rsid w:val="00044B0D"/>
    <w:rsid w:val="00056D91"/>
    <w:rsid w:val="000571EA"/>
    <w:rsid w:val="00057E08"/>
    <w:rsid w:val="000A73DB"/>
    <w:rsid w:val="000B59D3"/>
    <w:rsid w:val="000C203E"/>
    <w:rsid w:val="000C36CA"/>
    <w:rsid w:val="000E1445"/>
    <w:rsid w:val="000E476E"/>
    <w:rsid w:val="0010330B"/>
    <w:rsid w:val="00116D26"/>
    <w:rsid w:val="0013213C"/>
    <w:rsid w:val="0014348F"/>
    <w:rsid w:val="001814D0"/>
    <w:rsid w:val="00195720"/>
    <w:rsid w:val="001963A6"/>
    <w:rsid w:val="001B268A"/>
    <w:rsid w:val="001C3711"/>
    <w:rsid w:val="001D2CF7"/>
    <w:rsid w:val="001E14B2"/>
    <w:rsid w:val="00220C03"/>
    <w:rsid w:val="0022327B"/>
    <w:rsid w:val="00240F55"/>
    <w:rsid w:val="00261B07"/>
    <w:rsid w:val="00264C9D"/>
    <w:rsid w:val="002666DE"/>
    <w:rsid w:val="0028220E"/>
    <w:rsid w:val="00285A73"/>
    <w:rsid w:val="002D4BEE"/>
    <w:rsid w:val="002E5E85"/>
    <w:rsid w:val="00301E48"/>
    <w:rsid w:val="003040FE"/>
    <w:rsid w:val="00327D22"/>
    <w:rsid w:val="003434CF"/>
    <w:rsid w:val="00361D7E"/>
    <w:rsid w:val="0036695E"/>
    <w:rsid w:val="003719FE"/>
    <w:rsid w:val="00376C2A"/>
    <w:rsid w:val="003906DE"/>
    <w:rsid w:val="004015DD"/>
    <w:rsid w:val="004062A9"/>
    <w:rsid w:val="00412F3B"/>
    <w:rsid w:val="004276BF"/>
    <w:rsid w:val="00442721"/>
    <w:rsid w:val="00454BB2"/>
    <w:rsid w:val="00464F67"/>
    <w:rsid w:val="00482645"/>
    <w:rsid w:val="004841FC"/>
    <w:rsid w:val="00491ED8"/>
    <w:rsid w:val="004A164E"/>
    <w:rsid w:val="004A3598"/>
    <w:rsid w:val="004D78DE"/>
    <w:rsid w:val="00500A44"/>
    <w:rsid w:val="0051427D"/>
    <w:rsid w:val="00536A75"/>
    <w:rsid w:val="00583C24"/>
    <w:rsid w:val="0059210A"/>
    <w:rsid w:val="005B0BFB"/>
    <w:rsid w:val="005E5042"/>
    <w:rsid w:val="00606345"/>
    <w:rsid w:val="00615688"/>
    <w:rsid w:val="0062365A"/>
    <w:rsid w:val="006274DB"/>
    <w:rsid w:val="00631760"/>
    <w:rsid w:val="006453AE"/>
    <w:rsid w:val="00645C22"/>
    <w:rsid w:val="00661B66"/>
    <w:rsid w:val="00667691"/>
    <w:rsid w:val="00684286"/>
    <w:rsid w:val="006C0BE2"/>
    <w:rsid w:val="006C171F"/>
    <w:rsid w:val="0072003A"/>
    <w:rsid w:val="00770725"/>
    <w:rsid w:val="00770D9F"/>
    <w:rsid w:val="007775A2"/>
    <w:rsid w:val="00782CD3"/>
    <w:rsid w:val="007900D8"/>
    <w:rsid w:val="007B3A7B"/>
    <w:rsid w:val="007B4856"/>
    <w:rsid w:val="007C4430"/>
    <w:rsid w:val="007D1F85"/>
    <w:rsid w:val="007D5EE5"/>
    <w:rsid w:val="007E0792"/>
    <w:rsid w:val="007F357F"/>
    <w:rsid w:val="007F6C67"/>
    <w:rsid w:val="00845923"/>
    <w:rsid w:val="00860F12"/>
    <w:rsid w:val="008B0B84"/>
    <w:rsid w:val="008C267E"/>
    <w:rsid w:val="008C56AC"/>
    <w:rsid w:val="008D1B01"/>
    <w:rsid w:val="008D5880"/>
    <w:rsid w:val="008E4AFA"/>
    <w:rsid w:val="008F27C3"/>
    <w:rsid w:val="00935454"/>
    <w:rsid w:val="00995F21"/>
    <w:rsid w:val="009A00B5"/>
    <w:rsid w:val="009A1107"/>
    <w:rsid w:val="009A151F"/>
    <w:rsid w:val="009A481E"/>
    <w:rsid w:val="009A577D"/>
    <w:rsid w:val="009C07DA"/>
    <w:rsid w:val="009F5CAA"/>
    <w:rsid w:val="00A236C5"/>
    <w:rsid w:val="00A62E76"/>
    <w:rsid w:val="00A723EB"/>
    <w:rsid w:val="00A72990"/>
    <w:rsid w:val="00A77D9C"/>
    <w:rsid w:val="00A937A3"/>
    <w:rsid w:val="00AB16CC"/>
    <w:rsid w:val="00AE7092"/>
    <w:rsid w:val="00B331FB"/>
    <w:rsid w:val="00B34DD0"/>
    <w:rsid w:val="00B3663B"/>
    <w:rsid w:val="00B81A94"/>
    <w:rsid w:val="00B95AFF"/>
    <w:rsid w:val="00B96ABE"/>
    <w:rsid w:val="00BB65B1"/>
    <w:rsid w:val="00BC1207"/>
    <w:rsid w:val="00BC2CB6"/>
    <w:rsid w:val="00BC5449"/>
    <w:rsid w:val="00BF1421"/>
    <w:rsid w:val="00BF267A"/>
    <w:rsid w:val="00C469F4"/>
    <w:rsid w:val="00C71C73"/>
    <w:rsid w:val="00C738D9"/>
    <w:rsid w:val="00C85938"/>
    <w:rsid w:val="00C9124B"/>
    <w:rsid w:val="00C957F9"/>
    <w:rsid w:val="00C96AD1"/>
    <w:rsid w:val="00CC0393"/>
    <w:rsid w:val="00CC5F99"/>
    <w:rsid w:val="00CC6858"/>
    <w:rsid w:val="00CE0F9D"/>
    <w:rsid w:val="00D3177C"/>
    <w:rsid w:val="00D40149"/>
    <w:rsid w:val="00D8056E"/>
    <w:rsid w:val="00D81794"/>
    <w:rsid w:val="00D91FC5"/>
    <w:rsid w:val="00D944D9"/>
    <w:rsid w:val="00DC04B6"/>
    <w:rsid w:val="00DC0594"/>
    <w:rsid w:val="00DD0E8E"/>
    <w:rsid w:val="00DD3855"/>
    <w:rsid w:val="00DD6394"/>
    <w:rsid w:val="00E0465F"/>
    <w:rsid w:val="00E4104D"/>
    <w:rsid w:val="00E717AF"/>
    <w:rsid w:val="00ED467D"/>
    <w:rsid w:val="00F11979"/>
    <w:rsid w:val="00F222A4"/>
    <w:rsid w:val="00F22744"/>
    <w:rsid w:val="00F42F4F"/>
    <w:rsid w:val="00F61CDE"/>
    <w:rsid w:val="00F82066"/>
    <w:rsid w:val="00F8548E"/>
    <w:rsid w:val="00F96674"/>
    <w:rsid w:val="00F966FB"/>
    <w:rsid w:val="00FB56FB"/>
    <w:rsid w:val="00FB601D"/>
    <w:rsid w:val="00FB6626"/>
    <w:rsid w:val="00FF38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07C6"/>
  <w15:docId w15:val="{61FD9F3E-FFCE-4CB2-AFDE-B530B390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3598"/>
    <w:rPr>
      <w:lang w:eastAsia="en-US"/>
    </w:rPr>
  </w:style>
  <w:style w:type="paragraph" w:styleId="Antrat1">
    <w:name w:val="heading 1"/>
    <w:basedOn w:val="prastasis"/>
    <w:next w:val="prastasis"/>
    <w:qFormat/>
    <w:rsid w:val="004A3598"/>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4A3598"/>
    <w:pPr>
      <w:ind w:firstLine="1247"/>
      <w:jc w:val="both"/>
    </w:pPr>
    <w:rPr>
      <w:sz w:val="24"/>
    </w:rPr>
  </w:style>
  <w:style w:type="paragraph" w:styleId="Antrats">
    <w:name w:val="header"/>
    <w:basedOn w:val="prastasis"/>
    <w:rsid w:val="004A3598"/>
    <w:pPr>
      <w:tabs>
        <w:tab w:val="center" w:pos="4153"/>
        <w:tab w:val="right" w:pos="8306"/>
      </w:tabs>
    </w:pPr>
  </w:style>
  <w:style w:type="character" w:styleId="Puslapionumeris">
    <w:name w:val="page number"/>
    <w:basedOn w:val="Numatytasispastraiposriftas"/>
    <w:rsid w:val="004A3598"/>
  </w:style>
  <w:style w:type="paragraph" w:styleId="Porat">
    <w:name w:val="footer"/>
    <w:basedOn w:val="prastasis"/>
    <w:rsid w:val="004A3598"/>
    <w:pPr>
      <w:tabs>
        <w:tab w:val="center" w:pos="4153"/>
        <w:tab w:val="right" w:pos="8306"/>
      </w:tabs>
    </w:pPr>
  </w:style>
  <w:style w:type="table" w:styleId="Lentelstinklelis">
    <w:name w:val="Table Grid"/>
    <w:basedOn w:val="prastojilentel"/>
    <w:rsid w:val="00DD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3906DE"/>
    <w:rPr>
      <w:rFonts w:ascii="Tahoma" w:hAnsi="Tahoma" w:cs="Tahoma"/>
      <w:sz w:val="16"/>
      <w:szCs w:val="16"/>
    </w:rPr>
  </w:style>
  <w:style w:type="character" w:customStyle="1" w:styleId="DebesliotekstasDiagrama">
    <w:name w:val="Debesėlio tekstas Diagrama"/>
    <w:basedOn w:val="Numatytasispastraiposriftas"/>
    <w:link w:val="Debesliotekstas"/>
    <w:rsid w:val="003906DE"/>
    <w:rPr>
      <w:rFonts w:ascii="Tahoma" w:hAnsi="Tahoma" w:cs="Tahoma"/>
      <w:sz w:val="16"/>
      <w:szCs w:val="16"/>
      <w:lang w:val="en-GB" w:eastAsia="en-US"/>
    </w:rPr>
  </w:style>
  <w:style w:type="character" w:styleId="Vietosrezervavimoenklotekstas">
    <w:name w:val="Placeholder Text"/>
    <w:basedOn w:val="Numatytasispastraiposriftas"/>
    <w:uiPriority w:val="99"/>
    <w:semiHidden/>
    <w:rsid w:val="00B331FB"/>
    <w:rPr>
      <w:color w:val="808080"/>
    </w:rPr>
  </w:style>
  <w:style w:type="character" w:styleId="Hipersaitas">
    <w:name w:val="Hyperlink"/>
    <w:basedOn w:val="Numatytasispastraiposriftas"/>
    <w:unhideWhenUsed/>
    <w:rsid w:val="00661B66"/>
    <w:rPr>
      <w:color w:val="0000FF" w:themeColor="hyperlink"/>
      <w:u w:val="single"/>
    </w:rPr>
  </w:style>
  <w:style w:type="character" w:styleId="Komentaronuoroda">
    <w:name w:val="annotation reference"/>
    <w:basedOn w:val="Numatytasispastraiposriftas"/>
    <w:semiHidden/>
    <w:unhideWhenUsed/>
    <w:rsid w:val="00661B66"/>
    <w:rPr>
      <w:sz w:val="16"/>
      <w:szCs w:val="16"/>
    </w:rPr>
  </w:style>
  <w:style w:type="paragraph" w:styleId="Komentarotekstas">
    <w:name w:val="annotation text"/>
    <w:basedOn w:val="prastasis"/>
    <w:link w:val="KomentarotekstasDiagrama"/>
    <w:unhideWhenUsed/>
    <w:rsid w:val="00661B66"/>
    <w:rPr>
      <w:lang w:val="en-GB"/>
    </w:rPr>
  </w:style>
  <w:style w:type="character" w:customStyle="1" w:styleId="KomentarotekstasDiagrama">
    <w:name w:val="Komentaro tekstas Diagrama"/>
    <w:basedOn w:val="Numatytasispastraiposriftas"/>
    <w:link w:val="Komentarotekstas"/>
    <w:rsid w:val="00661B66"/>
    <w:rPr>
      <w:lang w:val="en-GB" w:eastAsia="en-US"/>
    </w:rPr>
  </w:style>
  <w:style w:type="character" w:customStyle="1" w:styleId="PagrindinistekstasDiagrama">
    <w:name w:val="Pagrindinis tekstas Diagrama"/>
    <w:basedOn w:val="Numatytasispastraiposriftas"/>
    <w:link w:val="Pagrindinistekstas"/>
    <w:qFormat/>
    <w:rsid w:val="00661B66"/>
    <w:rPr>
      <w:sz w:val="24"/>
      <w:lang w:eastAsia="en-US"/>
    </w:rPr>
  </w:style>
  <w:style w:type="paragraph" w:styleId="Puslapioinaostekstas">
    <w:name w:val="footnote text"/>
    <w:basedOn w:val="prastasis"/>
    <w:link w:val="PuslapioinaostekstasDiagrama"/>
    <w:semiHidden/>
    <w:unhideWhenUsed/>
    <w:rsid w:val="00661B66"/>
    <w:rPr>
      <w:lang w:val="en-GB"/>
    </w:rPr>
  </w:style>
  <w:style w:type="character" w:customStyle="1" w:styleId="PuslapioinaostekstasDiagrama">
    <w:name w:val="Puslapio išnašos tekstas Diagrama"/>
    <w:basedOn w:val="Numatytasispastraiposriftas"/>
    <w:link w:val="Puslapioinaostekstas"/>
    <w:semiHidden/>
    <w:qFormat/>
    <w:rsid w:val="00661B66"/>
    <w:rPr>
      <w:lang w:val="en-GB" w:eastAsia="en-US"/>
    </w:rPr>
  </w:style>
  <w:style w:type="character" w:styleId="Puslapioinaosnuoroda">
    <w:name w:val="footnote reference"/>
    <w:basedOn w:val="Numatytasispastraiposriftas"/>
    <w:uiPriority w:val="99"/>
    <w:unhideWhenUsed/>
    <w:rsid w:val="00661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s.drunga@sumin.l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andrius.karnilavicius@sumin.lt" TargetMode="External"/><Relationship Id="rId14" Type="http://schemas.openxmlformats.org/officeDocument/2006/relationships/header" Target="head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ru\OneDrive%20-%20LRSM\Darbalaukis\Rasto%20sablonas%20LT%20kalb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92293B8994EFEB517C4D5CAE57D2A"/>
        <w:category>
          <w:name w:val="Bendrosios nuostatos"/>
          <w:gallery w:val="placeholder"/>
        </w:category>
        <w:types>
          <w:type w:val="bbPlcHdr"/>
        </w:types>
        <w:behaviors>
          <w:behavior w:val="content"/>
        </w:behaviors>
        <w:guid w:val="{5D3BCC77-81D5-4F47-B4B7-96263130D25B}"/>
      </w:docPartPr>
      <w:docPartBody>
        <w:p w:rsidR="006E5260" w:rsidRDefault="006E5260">
          <w:pPr>
            <w:pStyle w:val="A9892293B8994EFEB517C4D5CAE57D2A"/>
          </w:pPr>
          <w:r w:rsidRPr="00F362A0">
            <w:rPr>
              <w:rStyle w:val="Vietosrezervavimoenklotekstas"/>
            </w:rPr>
            <w:t>.</w:t>
          </w:r>
        </w:p>
      </w:docPartBody>
    </w:docPart>
    <w:docPart>
      <w:docPartPr>
        <w:name w:val="26327B7EC73E4E45BC5D3A324F23B3AE"/>
        <w:category>
          <w:name w:val="Bendrosios nuostatos"/>
          <w:gallery w:val="placeholder"/>
        </w:category>
        <w:types>
          <w:type w:val="bbPlcHdr"/>
        </w:types>
        <w:behaviors>
          <w:behavior w:val="content"/>
        </w:behaviors>
        <w:guid w:val="{3A1E0AF9-B38C-4EEC-99C1-F4036A59CC2A}"/>
      </w:docPartPr>
      <w:docPartBody>
        <w:p w:rsidR="006E5260" w:rsidRDefault="006E5260">
          <w:pPr>
            <w:pStyle w:val="26327B7EC73E4E45BC5D3A324F23B3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60"/>
    <w:rsid w:val="00195720"/>
    <w:rsid w:val="002239B9"/>
    <w:rsid w:val="004A164E"/>
    <w:rsid w:val="006E5260"/>
    <w:rsid w:val="007900D8"/>
    <w:rsid w:val="00B95AFF"/>
    <w:rsid w:val="00BF267A"/>
    <w:rsid w:val="00D40149"/>
    <w:rsid w:val="00DD0E8E"/>
    <w:rsid w:val="00DD6394"/>
    <w:rsid w:val="00E4104D"/>
    <w:rsid w:val="00F61C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A9892293B8994EFEB517C4D5CAE57D2A">
    <w:name w:val="A9892293B8994EFEB517C4D5CAE57D2A"/>
  </w:style>
  <w:style w:type="paragraph" w:customStyle="1" w:styleId="26327B7EC73E4E45BC5D3A324F23B3AE">
    <w:name w:val="26327B7EC73E4E45BC5D3A324F23B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Z6YWEJNPDQQR-896559167-521</_dlc_DocId>
    <_dlc_DocIdUrl xmlns="28130d43-1b56-4a10-ad88-2cd38123f4c1">
      <Url>https://intranetas.lrs.lt/29/_layouts/15/DocIdRedir.aspx?ID=Z6YWEJNPDQQR-896559167-521</Url>
      <Description>Z6YWEJNPDQQR-896559167-521</Description>
    </_dlc_DocIdUrl>
  </documentManagement>
</p:properties>
</file>

<file path=customXml/itemProps1.xml><?xml version="1.0" encoding="utf-8"?>
<ds:datastoreItem xmlns:ds="http://schemas.openxmlformats.org/officeDocument/2006/customXml" ds:itemID="{3A5618EE-D815-4952-93C7-EA8D12F9A59D}">
  <ds:schemaRefs>
    <ds:schemaRef ds:uri="http://schemas.openxmlformats.org/officeDocument/2006/bibliography"/>
  </ds:schemaRefs>
</ds:datastoreItem>
</file>

<file path=customXml/itemProps2.xml><?xml version="1.0" encoding="utf-8"?>
<ds:datastoreItem xmlns:ds="http://schemas.openxmlformats.org/officeDocument/2006/customXml" ds:itemID="{F4B8CBA5-1CC0-4824-9ECB-D51F555225E1}"/>
</file>

<file path=customXml/itemProps3.xml><?xml version="1.0" encoding="utf-8"?>
<ds:datastoreItem xmlns:ds="http://schemas.openxmlformats.org/officeDocument/2006/customXml" ds:itemID="{BA81FA9D-B2D1-41E0-9D50-26CB55A678AD}"/>
</file>

<file path=customXml/itemProps4.xml><?xml version="1.0" encoding="utf-8"?>
<ds:datastoreItem xmlns:ds="http://schemas.openxmlformats.org/officeDocument/2006/customXml" ds:itemID="{9FBC8E4B-3F74-4A62-BB2B-252D0D52CFA0}"/>
</file>

<file path=customXml/itemProps5.xml><?xml version="1.0" encoding="utf-8"?>
<ds:datastoreItem xmlns:ds="http://schemas.openxmlformats.org/officeDocument/2006/customXml" ds:itemID="{C7964945-5C96-49E9-AC53-CC76445BE9F8}"/>
</file>

<file path=docProps/app.xml><?xml version="1.0" encoding="utf-8"?>
<Properties xmlns="http://schemas.openxmlformats.org/officeDocument/2006/extended-properties" xmlns:vt="http://schemas.openxmlformats.org/officeDocument/2006/docPropsVTypes">
  <Template>Rasto sablonas LT kalba.dotx</Template>
  <TotalTime>2</TotalTime>
  <Pages>4</Pages>
  <Words>1286</Words>
  <Characters>9417</Characters>
  <Application>Microsoft Office Word</Application>
  <DocSecurity>0</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sm</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Drunga</dc:creator>
  <cp:lastModifiedBy>KNIUKŠTIENĖ Rimantė</cp:lastModifiedBy>
  <cp:revision>2</cp:revision>
  <cp:lastPrinted>2014-07-16T08:25:00Z</cp:lastPrinted>
  <dcterms:created xsi:type="dcterms:W3CDTF">2025-02-24T12:29:00Z</dcterms:created>
  <dcterms:modified xsi:type="dcterms:W3CDTF">2025-02-24T12:29:00Z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c5f6f5b5-c5be-4f1b-b193-f8c4b12925b8</vt:lpwstr>
  </property>
</Properties>
</file>