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7F6453">
        <w:rPr>
          <w:rFonts w:ascii="Times New Roman" w:hAnsi="Times New Roman"/>
          <w:b/>
          <w:sz w:val="24"/>
          <w:szCs w:val="24"/>
        </w:rPr>
        <w:t>MINDAUGO GEDEIKIO</w:t>
      </w:r>
      <w:r w:rsidR="00CC2653">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97779B">
        <w:rPr>
          <w:rFonts w:ascii="Times New Roman" w:hAnsi="Times New Roman"/>
          <w:sz w:val="24"/>
          <w:szCs w:val="24"/>
        </w:rPr>
        <w:t>rugpjūčio</w:t>
      </w:r>
      <w:r w:rsidR="00A30CF0">
        <w:rPr>
          <w:rFonts w:ascii="Times New Roman" w:hAnsi="Times New Roman"/>
          <w:sz w:val="24"/>
          <w:szCs w:val="24"/>
        </w:rPr>
        <w:t xml:space="preserve"> 30</w:t>
      </w:r>
      <w:r w:rsidR="00494994">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5849CC">
      <w:pPr>
        <w:pStyle w:val="Default"/>
        <w:spacing w:line="360" w:lineRule="auto"/>
        <w:ind w:firstLine="851"/>
        <w:jc w:val="both"/>
        <w:rPr>
          <w:color w:val="000000" w:themeColor="text1"/>
        </w:rPr>
      </w:pPr>
      <w:r w:rsidRPr="00E33292">
        <w:rPr>
          <w:color w:val="000000" w:themeColor="text1"/>
        </w:rPr>
        <w:t>Lietuvos Respublikos Seimo Peticijų komisij</w:t>
      </w:r>
      <w:r w:rsidR="006E53DD" w:rsidRPr="00E33292">
        <w:rPr>
          <w:color w:val="000000" w:themeColor="text1"/>
        </w:rPr>
        <w:t>a</w:t>
      </w:r>
      <w:r w:rsidRPr="00E33292">
        <w:rPr>
          <w:color w:val="000000" w:themeColor="text1"/>
        </w:rPr>
        <w:t xml:space="preserve"> 202</w:t>
      </w:r>
      <w:r w:rsidR="00EB27D6" w:rsidRPr="00E33292">
        <w:rPr>
          <w:color w:val="000000" w:themeColor="text1"/>
        </w:rPr>
        <w:t>3</w:t>
      </w:r>
      <w:r w:rsidRPr="00E33292">
        <w:rPr>
          <w:color w:val="000000" w:themeColor="text1"/>
        </w:rPr>
        <w:t xml:space="preserve"> m. </w:t>
      </w:r>
      <w:r w:rsidR="0097779B">
        <w:rPr>
          <w:color w:val="000000" w:themeColor="text1"/>
        </w:rPr>
        <w:t>rugpjūčio 30</w:t>
      </w:r>
      <w:r w:rsidR="00114DB1">
        <w:rPr>
          <w:color w:val="000000" w:themeColor="text1"/>
        </w:rPr>
        <w:t xml:space="preserve"> </w:t>
      </w:r>
      <w:r w:rsidRPr="00E33292">
        <w:rPr>
          <w:color w:val="000000" w:themeColor="text1"/>
        </w:rPr>
        <w:t xml:space="preserve">d. posėdyje iš esmės </w:t>
      </w:r>
      <w:r w:rsidR="007A504A" w:rsidRPr="00E33292">
        <w:rPr>
          <w:color w:val="000000" w:themeColor="text1"/>
        </w:rPr>
        <w:t>iš</w:t>
      </w:r>
      <w:r w:rsidR="00C703AF" w:rsidRPr="00E33292">
        <w:rPr>
          <w:color w:val="000000" w:themeColor="text1"/>
        </w:rPr>
        <w:t>nagrinė</w:t>
      </w:r>
      <w:r w:rsidR="006E53DD" w:rsidRPr="00E33292">
        <w:rPr>
          <w:color w:val="000000" w:themeColor="text1"/>
        </w:rPr>
        <w:t>jo</w:t>
      </w:r>
      <w:r w:rsidRPr="00E33292">
        <w:rPr>
          <w:color w:val="000000" w:themeColor="text1"/>
        </w:rPr>
        <w:t xml:space="preserve"> </w:t>
      </w:r>
      <w:r w:rsidR="007F6453">
        <w:rPr>
          <w:color w:val="000000" w:themeColor="text1"/>
        </w:rPr>
        <w:t xml:space="preserve">Mindaugo </w:t>
      </w:r>
      <w:proofErr w:type="spellStart"/>
      <w:r w:rsidR="007F6453">
        <w:rPr>
          <w:color w:val="000000" w:themeColor="text1"/>
        </w:rPr>
        <w:t>Gedeikio</w:t>
      </w:r>
      <w:proofErr w:type="spellEnd"/>
      <w:r w:rsidR="0097779B">
        <w:rPr>
          <w:color w:val="000000" w:themeColor="text1"/>
        </w:rPr>
        <w:t xml:space="preserve"> </w:t>
      </w:r>
      <w:r w:rsidRPr="00E33292">
        <w:rPr>
          <w:color w:val="000000" w:themeColor="text1"/>
        </w:rPr>
        <w:t>peticij</w:t>
      </w:r>
      <w:r w:rsidR="006E53DD" w:rsidRPr="00E33292">
        <w:rPr>
          <w:color w:val="000000" w:themeColor="text1"/>
        </w:rPr>
        <w:t xml:space="preserve">ą ir priėmė sprendimą </w:t>
      </w:r>
      <w:r w:rsidR="00FB44D3" w:rsidRPr="00E33292">
        <w:rPr>
          <w:color w:val="000000" w:themeColor="text1"/>
        </w:rPr>
        <w:t xml:space="preserve">teikti Seimui išvadą </w:t>
      </w:r>
      <w:r w:rsidR="00CF2010" w:rsidRPr="00E33292">
        <w:rPr>
          <w:color w:val="000000" w:themeColor="text1"/>
        </w:rPr>
        <w:t>atmesti šioje peticijoje pateikt</w:t>
      </w:r>
      <w:r w:rsidR="007F6453">
        <w:rPr>
          <w:color w:val="000000" w:themeColor="text1"/>
        </w:rPr>
        <w:t>us</w:t>
      </w:r>
      <w:r w:rsidR="001764E1" w:rsidRPr="00E33292">
        <w:rPr>
          <w:color w:val="000000" w:themeColor="text1"/>
        </w:rPr>
        <w:t xml:space="preserve"> </w:t>
      </w:r>
      <w:r w:rsidR="00CF2010" w:rsidRPr="00E33292">
        <w:rPr>
          <w:color w:val="000000" w:themeColor="text1"/>
        </w:rPr>
        <w:t>pasiūlym</w:t>
      </w:r>
      <w:r w:rsidR="007F6453">
        <w:rPr>
          <w:color w:val="000000" w:themeColor="text1"/>
        </w:rPr>
        <w:t>us</w:t>
      </w:r>
      <w:r w:rsidR="00A45702">
        <w:rPr>
          <w:color w:val="000000" w:themeColor="text1"/>
        </w:rPr>
        <w:t xml:space="preserve"> </w:t>
      </w:r>
      <w:r w:rsidR="00472322" w:rsidRPr="00472322">
        <w:rPr>
          <w:color w:val="000000" w:themeColor="text1"/>
        </w:rPr>
        <w:t>papildyti Lietuvos Respublikos nes</w:t>
      </w:r>
      <w:r w:rsidR="00472322" w:rsidRPr="00472322">
        <w:rPr>
          <w:rFonts w:hint="eastAsia"/>
          <w:color w:val="000000" w:themeColor="text1"/>
        </w:rPr>
        <w:t>ąž</w:t>
      </w:r>
      <w:r w:rsidR="00472322" w:rsidRPr="00472322">
        <w:rPr>
          <w:color w:val="000000" w:themeColor="text1"/>
        </w:rPr>
        <w:t>iningos komercin</w:t>
      </w:r>
      <w:r w:rsidR="00472322" w:rsidRPr="00472322">
        <w:rPr>
          <w:rFonts w:hint="eastAsia"/>
          <w:color w:val="000000" w:themeColor="text1"/>
        </w:rPr>
        <w:t>ė</w:t>
      </w:r>
      <w:r w:rsidR="00472322" w:rsidRPr="00472322">
        <w:rPr>
          <w:color w:val="000000" w:themeColor="text1"/>
        </w:rPr>
        <w:t xml:space="preserve">s veiklos vartotojams draudimo </w:t>
      </w:r>
      <w:r w:rsidR="00472322" w:rsidRPr="00472322">
        <w:rPr>
          <w:rFonts w:hint="eastAsia"/>
          <w:color w:val="000000" w:themeColor="text1"/>
        </w:rPr>
        <w:t>į</w:t>
      </w:r>
      <w:r w:rsidR="00472322" w:rsidRPr="00472322">
        <w:rPr>
          <w:color w:val="000000" w:themeColor="text1"/>
        </w:rPr>
        <w:t>statymo 5 straipsnio 2 dal</w:t>
      </w:r>
      <w:r w:rsidR="00472322" w:rsidRPr="00472322">
        <w:rPr>
          <w:rFonts w:hint="eastAsia"/>
          <w:color w:val="000000" w:themeColor="text1"/>
        </w:rPr>
        <w:t>į</w:t>
      </w:r>
      <w:r w:rsidR="00472322" w:rsidRPr="00472322">
        <w:rPr>
          <w:color w:val="000000" w:themeColor="text1"/>
        </w:rPr>
        <w:t xml:space="preserve"> ir Lietuvos Respublikos vartotoj</w:t>
      </w:r>
      <w:r w:rsidR="00472322" w:rsidRPr="00472322">
        <w:rPr>
          <w:rFonts w:hint="eastAsia"/>
          <w:color w:val="000000" w:themeColor="text1"/>
        </w:rPr>
        <w:t>ų</w:t>
      </w:r>
      <w:r w:rsidR="00472322" w:rsidRPr="00472322">
        <w:rPr>
          <w:color w:val="000000" w:themeColor="text1"/>
        </w:rPr>
        <w:t xml:space="preserve"> teisi</w:t>
      </w:r>
      <w:r w:rsidR="00472322" w:rsidRPr="00472322">
        <w:rPr>
          <w:rFonts w:hint="eastAsia"/>
          <w:color w:val="000000" w:themeColor="text1"/>
        </w:rPr>
        <w:t>ų</w:t>
      </w:r>
      <w:r w:rsidR="00472322" w:rsidRPr="00472322">
        <w:rPr>
          <w:color w:val="000000" w:themeColor="text1"/>
        </w:rPr>
        <w:t xml:space="preserve"> apsaugos </w:t>
      </w:r>
      <w:r w:rsidR="00472322" w:rsidRPr="00472322">
        <w:rPr>
          <w:rFonts w:hint="eastAsia"/>
          <w:color w:val="000000" w:themeColor="text1"/>
        </w:rPr>
        <w:t>į</w:t>
      </w:r>
      <w:r w:rsidR="00472322" w:rsidRPr="00472322">
        <w:rPr>
          <w:color w:val="000000" w:themeColor="text1"/>
        </w:rPr>
        <w:t>statymo 5 straipsn</w:t>
      </w:r>
      <w:r w:rsidR="00472322" w:rsidRPr="00472322">
        <w:rPr>
          <w:rFonts w:hint="eastAsia"/>
          <w:color w:val="000000" w:themeColor="text1"/>
        </w:rPr>
        <w:t>į</w:t>
      </w:r>
      <w:r w:rsidR="00472322" w:rsidRPr="00472322">
        <w:rPr>
          <w:color w:val="000000" w:themeColor="text1"/>
        </w:rPr>
        <w:t xml:space="preserve"> nuostatomis, susijusiomis su informacijos apie terorizm</w:t>
      </w:r>
      <w:r w:rsidR="00472322" w:rsidRPr="00472322">
        <w:rPr>
          <w:rFonts w:hint="eastAsia"/>
          <w:color w:val="000000" w:themeColor="text1"/>
        </w:rPr>
        <w:t>ą</w:t>
      </w:r>
      <w:r w:rsidR="00472322" w:rsidRPr="00472322">
        <w:rPr>
          <w:color w:val="000000" w:themeColor="text1"/>
        </w:rPr>
        <w:t xml:space="preserve"> remian</w:t>
      </w:r>
      <w:r w:rsidR="00472322" w:rsidRPr="00472322">
        <w:rPr>
          <w:rFonts w:hint="eastAsia"/>
          <w:color w:val="000000" w:themeColor="text1"/>
        </w:rPr>
        <w:t>č</w:t>
      </w:r>
      <w:r w:rsidR="00472322" w:rsidRPr="00472322">
        <w:rPr>
          <w:color w:val="000000" w:themeColor="text1"/>
        </w:rPr>
        <w:t xml:space="preserve">ias valstybes pateikimu vartotojams. </w:t>
      </w:r>
      <w:r w:rsidR="0004543A" w:rsidRPr="00E33292">
        <w:rPr>
          <w:color w:val="000000" w:themeColor="text1"/>
        </w:rPr>
        <w:t xml:space="preserve">Sprendimas priimtas atsižvelgus į </w:t>
      </w:r>
      <w:r w:rsidR="00F13970" w:rsidRPr="00E33292">
        <w:rPr>
          <w:color w:val="000000" w:themeColor="text1"/>
        </w:rPr>
        <w:t xml:space="preserve">Lietuvos Respublikos </w:t>
      </w:r>
      <w:r w:rsidR="007F6453">
        <w:rPr>
          <w:color w:val="000000" w:themeColor="text1"/>
        </w:rPr>
        <w:t>teisingumo</w:t>
      </w:r>
      <w:r w:rsidR="00A646FE">
        <w:rPr>
          <w:color w:val="000000" w:themeColor="text1"/>
        </w:rPr>
        <w:t xml:space="preserve"> </w:t>
      </w:r>
      <w:r w:rsidR="00F13970" w:rsidRPr="00E33292">
        <w:rPr>
          <w:color w:val="000000" w:themeColor="text1"/>
        </w:rPr>
        <w:t>ministerijos</w:t>
      </w:r>
      <w:r w:rsidR="0004543A" w:rsidRPr="00E33292">
        <w:rPr>
          <w:color w:val="000000" w:themeColor="text1"/>
        </w:rPr>
        <w:t xml:space="preserve"> argumentus, kurie pateikiami šioje išvadoje.</w:t>
      </w:r>
    </w:p>
    <w:p w:rsidR="002B4792" w:rsidRPr="004679C8" w:rsidRDefault="002B4792" w:rsidP="005849CC">
      <w:pPr>
        <w:suppressAutoHyphens/>
        <w:spacing w:line="360" w:lineRule="auto"/>
        <w:ind w:firstLine="851"/>
        <w:jc w:val="both"/>
        <w:rPr>
          <w:rFonts w:ascii="Times New Roman" w:hAnsi="Times New Roman"/>
          <w:bCs/>
          <w:i/>
          <w:sz w:val="24"/>
          <w:szCs w:val="24"/>
          <w:lang w:eastAsia="ar-SA"/>
        </w:rPr>
      </w:pPr>
      <w:r w:rsidRPr="004679C8">
        <w:rPr>
          <w:rFonts w:ascii="Times New Roman" w:hAnsi="Times New Roman"/>
          <w:bCs/>
          <w:i/>
          <w:sz w:val="24"/>
          <w:szCs w:val="24"/>
          <w:lang w:eastAsia="ar-SA"/>
        </w:rPr>
        <w:t xml:space="preserve">Dėl pasiūlymo papildyti </w:t>
      </w:r>
      <w:r w:rsidR="00076A01" w:rsidRPr="004679C8">
        <w:rPr>
          <w:rFonts w:ascii="Times New Roman" w:hAnsi="Times New Roman"/>
          <w:bCs/>
          <w:i/>
          <w:sz w:val="24"/>
          <w:szCs w:val="24"/>
          <w:lang w:eastAsia="ar-SA"/>
        </w:rPr>
        <w:t>N</w:t>
      </w:r>
      <w:r w:rsidRPr="004679C8">
        <w:rPr>
          <w:rFonts w:ascii="Times New Roman" w:hAnsi="Times New Roman"/>
          <w:bCs/>
          <w:i/>
          <w:sz w:val="24"/>
          <w:szCs w:val="24"/>
          <w:lang w:eastAsia="ar-SA"/>
        </w:rPr>
        <w:t>es</w:t>
      </w:r>
      <w:r w:rsidRPr="004679C8">
        <w:rPr>
          <w:rFonts w:ascii="Times New Roman" w:hAnsi="Times New Roman" w:hint="eastAsia"/>
          <w:bCs/>
          <w:i/>
          <w:sz w:val="24"/>
          <w:szCs w:val="24"/>
          <w:lang w:eastAsia="ar-SA"/>
        </w:rPr>
        <w:t>ąž</w:t>
      </w:r>
      <w:r w:rsidRPr="004679C8">
        <w:rPr>
          <w:rFonts w:ascii="Times New Roman" w:hAnsi="Times New Roman"/>
          <w:bCs/>
          <w:i/>
          <w:sz w:val="24"/>
          <w:szCs w:val="24"/>
          <w:lang w:eastAsia="ar-SA"/>
        </w:rPr>
        <w:t>iningos komercin</w:t>
      </w:r>
      <w:r w:rsidRPr="004679C8">
        <w:rPr>
          <w:rFonts w:ascii="Times New Roman" w:hAnsi="Times New Roman" w:hint="eastAsia"/>
          <w:bCs/>
          <w:i/>
          <w:sz w:val="24"/>
          <w:szCs w:val="24"/>
          <w:lang w:eastAsia="ar-SA"/>
        </w:rPr>
        <w:t>ė</w:t>
      </w:r>
      <w:r w:rsidRPr="004679C8">
        <w:rPr>
          <w:rFonts w:ascii="Times New Roman" w:hAnsi="Times New Roman"/>
          <w:bCs/>
          <w:i/>
          <w:sz w:val="24"/>
          <w:szCs w:val="24"/>
          <w:lang w:eastAsia="ar-SA"/>
        </w:rPr>
        <w:t xml:space="preserve">s veiklos vartotojams draudimo </w:t>
      </w:r>
      <w:r w:rsidRPr="004679C8">
        <w:rPr>
          <w:rFonts w:ascii="Times New Roman" w:hAnsi="Times New Roman" w:hint="eastAsia"/>
          <w:bCs/>
          <w:i/>
          <w:sz w:val="24"/>
          <w:szCs w:val="24"/>
          <w:lang w:eastAsia="ar-SA"/>
        </w:rPr>
        <w:t>į</w:t>
      </w:r>
      <w:r w:rsidRPr="004679C8">
        <w:rPr>
          <w:rFonts w:ascii="Times New Roman" w:hAnsi="Times New Roman"/>
          <w:bCs/>
          <w:i/>
          <w:sz w:val="24"/>
          <w:szCs w:val="24"/>
          <w:lang w:eastAsia="ar-SA"/>
        </w:rPr>
        <w:t>statymo 5 straipsnio 2 dalį</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Peticijoje siūloma papildyti Nesąžiningos komercinės veiklos vartotojams draudimo įstatymo 5 straipsnį 2 dalį nauja 4 dalimi ir joje nustatyti:</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„2. Klaidinančiais veiksmais taip pat laikoma komercinė veikla, kuri skatina arba gali paskatinti vidutinį vartotoją priimti sprendimą dėl sandorio, kurio jis kitomis aplinkybėmis nebūtų priėmęs. Tokia veikla apima: [...]</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 xml:space="preserve">4) bet kokį prekės pateikimą, siūlymą ar pardavimą vartotojams Lietuvos Respublikoje nenurodant, kad naudą iš sandorio (tiek tiesiogiai, tiek netiesiogiai) gautų komercinės veiklos subjektas, tiesiogiai ar netiesiogiai vykdantis veiklą valstybėse, kurias Lietuvos Respublikos Seimas ar Europos Parlamentas yra pripažinęs terorizmą remiančiomis ir (ar) vykdančiomis valstybėmis“. </w:t>
      </w:r>
    </w:p>
    <w:p w:rsidR="002B4792" w:rsidRPr="002B4792" w:rsidRDefault="00A30FF8" w:rsidP="005849CC">
      <w:pPr>
        <w:suppressAutoHyphens/>
        <w:spacing w:line="360" w:lineRule="auto"/>
        <w:ind w:firstLine="851"/>
        <w:jc w:val="both"/>
        <w:rPr>
          <w:rFonts w:ascii="Times New Roman" w:hAnsi="Times New Roman"/>
          <w:sz w:val="24"/>
          <w:szCs w:val="24"/>
          <w:lang w:eastAsia="ar-SA"/>
        </w:rPr>
      </w:pPr>
      <w:r>
        <w:rPr>
          <w:rFonts w:ascii="Times New Roman" w:hAnsi="Times New Roman"/>
          <w:sz w:val="24"/>
          <w:szCs w:val="24"/>
          <w:lang w:eastAsia="ar-SA"/>
        </w:rPr>
        <w:t>Teisingumo ministerija</w:t>
      </w:r>
      <w:r w:rsidR="002B4792" w:rsidRPr="002B4792">
        <w:rPr>
          <w:rFonts w:ascii="Times New Roman" w:hAnsi="Times New Roman"/>
          <w:sz w:val="24"/>
          <w:szCs w:val="24"/>
          <w:lang w:eastAsia="ar-SA"/>
        </w:rPr>
        <w:t xml:space="preserve"> pažym</w:t>
      </w:r>
      <w:r>
        <w:rPr>
          <w:rFonts w:ascii="Times New Roman" w:hAnsi="Times New Roman"/>
          <w:sz w:val="24"/>
          <w:szCs w:val="24"/>
          <w:lang w:eastAsia="ar-SA"/>
        </w:rPr>
        <w:t>i</w:t>
      </w:r>
      <w:r w:rsidR="002B4792" w:rsidRPr="002B4792">
        <w:rPr>
          <w:rFonts w:ascii="Times New Roman" w:hAnsi="Times New Roman"/>
          <w:sz w:val="24"/>
          <w:szCs w:val="24"/>
          <w:lang w:eastAsia="ar-SA"/>
        </w:rPr>
        <w:t>, kad Nesąžiningos komercinės veiklos vartotojams draudimo įstatymo nuostatos įgyvendina D</w:t>
      </w:r>
      <w:r w:rsidR="002B4792" w:rsidRPr="002B4792">
        <w:rPr>
          <w:rFonts w:ascii="Times New Roman" w:hAnsi="Times New Roman"/>
          <w:color w:val="000000"/>
          <w:sz w:val="24"/>
          <w:szCs w:val="24"/>
          <w:shd w:val="clear" w:color="auto" w:fill="FFFFFF"/>
          <w:lang w:eastAsia="ar-SA"/>
        </w:rPr>
        <w:t>irektyvos 2005/29/EB</w:t>
      </w:r>
      <w:r w:rsidR="002B4792" w:rsidRPr="002B4792">
        <w:rPr>
          <w:rFonts w:ascii="Times New Roman" w:hAnsi="Times New Roman"/>
          <w:color w:val="000000"/>
          <w:sz w:val="24"/>
          <w:szCs w:val="24"/>
          <w:shd w:val="clear" w:color="auto" w:fill="FFFFFF"/>
          <w:vertAlign w:val="superscript"/>
          <w:lang w:eastAsia="ar-SA"/>
        </w:rPr>
        <w:footnoteReference w:id="1"/>
      </w:r>
      <w:r w:rsidR="002B4792" w:rsidRPr="002B4792">
        <w:rPr>
          <w:rFonts w:ascii="Times New Roman" w:hAnsi="Times New Roman"/>
          <w:color w:val="000000"/>
          <w:sz w:val="24"/>
          <w:szCs w:val="24"/>
          <w:shd w:val="clear" w:color="auto" w:fill="FFFFFF"/>
          <w:lang w:eastAsia="ar-SA"/>
        </w:rPr>
        <w:t xml:space="preserve"> (Nesąžiningos komercinės veiklos direktyva) </w:t>
      </w:r>
      <w:r w:rsidR="002B4792" w:rsidRPr="002B4792">
        <w:rPr>
          <w:rFonts w:ascii="Times New Roman" w:hAnsi="Times New Roman"/>
          <w:sz w:val="24"/>
          <w:szCs w:val="24"/>
          <w:shd w:val="clear" w:color="auto" w:fill="FFFFFF"/>
          <w:lang w:eastAsia="ar-SA"/>
        </w:rPr>
        <w:t xml:space="preserve">nuostatas. Ši direktyva suderina Europos Sąjungos valstybių narių įstatymus dėl nesąžiningos komercinės veiklos, įskaitant nesąžiningą reklamą, tiesiogiai pažeidžiančią vartotojų </w:t>
      </w:r>
      <w:r w:rsidR="002B4792" w:rsidRPr="002B4792">
        <w:rPr>
          <w:rFonts w:ascii="Times New Roman" w:hAnsi="Times New Roman"/>
          <w:sz w:val="24"/>
          <w:szCs w:val="24"/>
          <w:shd w:val="clear" w:color="auto" w:fill="FFFFFF"/>
          <w:lang w:eastAsia="ar-SA"/>
        </w:rPr>
        <w:lastRenderedPageBreak/>
        <w:t>ekonominius interesus</w:t>
      </w:r>
      <w:r w:rsidR="002B4792" w:rsidRPr="002B4792">
        <w:rPr>
          <w:rFonts w:ascii="Times New Roman" w:hAnsi="Times New Roman"/>
          <w:sz w:val="24"/>
          <w:szCs w:val="24"/>
          <w:shd w:val="clear" w:color="auto" w:fill="FFFFFF"/>
          <w:vertAlign w:val="superscript"/>
          <w:lang w:eastAsia="ar-SA"/>
        </w:rPr>
        <w:footnoteReference w:id="2"/>
      </w:r>
      <w:r w:rsidR="002B4792" w:rsidRPr="002B4792">
        <w:rPr>
          <w:rFonts w:ascii="Times New Roman" w:hAnsi="Times New Roman"/>
          <w:sz w:val="24"/>
          <w:szCs w:val="24"/>
          <w:shd w:val="clear" w:color="auto" w:fill="FFFFFF"/>
          <w:lang w:eastAsia="ar-SA"/>
        </w:rPr>
        <w:t xml:space="preserve">. Nesąžiningos komercinės veiklos direktyvos nuostatoms </w:t>
      </w:r>
      <w:r w:rsidR="002B4792" w:rsidRPr="004679C8">
        <w:rPr>
          <w:rFonts w:ascii="Times New Roman" w:hAnsi="Times New Roman"/>
          <w:bCs/>
          <w:sz w:val="24"/>
          <w:szCs w:val="24"/>
          <w:shd w:val="clear" w:color="auto" w:fill="FFFFFF"/>
          <w:lang w:eastAsia="ar-SA"/>
        </w:rPr>
        <w:t>taikomas visiško suderinimo principas</w:t>
      </w:r>
      <w:r w:rsidR="002B4792" w:rsidRPr="004679C8">
        <w:rPr>
          <w:rFonts w:ascii="Times New Roman" w:hAnsi="Times New Roman"/>
          <w:sz w:val="24"/>
          <w:szCs w:val="24"/>
          <w:shd w:val="clear" w:color="auto" w:fill="FFFFFF"/>
          <w:lang w:eastAsia="ar-SA"/>
        </w:rPr>
        <w:t>,</w:t>
      </w:r>
      <w:r w:rsidR="002B4792" w:rsidRPr="002B4792">
        <w:rPr>
          <w:rFonts w:ascii="Times New Roman" w:hAnsi="Times New Roman"/>
          <w:sz w:val="24"/>
          <w:szCs w:val="24"/>
          <w:shd w:val="clear" w:color="auto" w:fill="FFFFFF"/>
          <w:lang w:eastAsia="ar-SA"/>
        </w:rPr>
        <w:t xml:space="preserve"> reiškiantis, kad valstybės narės šia direktyva suderintoje srityje negali taikyti nacionalinių nuostatų, kurios yra griežtesnės arba labiau norminančios nei ši direktyva</w:t>
      </w:r>
      <w:r w:rsidR="002B4792" w:rsidRPr="002B4792">
        <w:rPr>
          <w:rFonts w:ascii="Times New Roman" w:hAnsi="Times New Roman"/>
          <w:sz w:val="24"/>
          <w:szCs w:val="24"/>
          <w:shd w:val="clear" w:color="auto" w:fill="FFFFFF"/>
          <w:vertAlign w:val="superscript"/>
          <w:lang w:eastAsia="ar-SA"/>
        </w:rPr>
        <w:footnoteReference w:id="3"/>
      </w:r>
      <w:r w:rsidR="002B4792" w:rsidRPr="002B4792">
        <w:rPr>
          <w:rFonts w:ascii="Times New Roman" w:hAnsi="Times New Roman"/>
          <w:sz w:val="24"/>
          <w:szCs w:val="24"/>
          <w:shd w:val="clear" w:color="auto" w:fill="FFFFFF"/>
          <w:lang w:eastAsia="ar-SA"/>
        </w:rPr>
        <w:t xml:space="preserve">. </w:t>
      </w:r>
      <w:r w:rsidR="002B4792" w:rsidRPr="002B4792">
        <w:rPr>
          <w:rFonts w:ascii="Times New Roman" w:hAnsi="Times New Roman"/>
          <w:sz w:val="24"/>
          <w:szCs w:val="24"/>
          <w:lang w:eastAsia="ar-SA"/>
        </w:rPr>
        <w:t>Pagal D</w:t>
      </w:r>
      <w:r w:rsidR="002B4792" w:rsidRPr="002B4792">
        <w:rPr>
          <w:rFonts w:ascii="Times New Roman" w:hAnsi="Times New Roman"/>
          <w:color w:val="000000"/>
          <w:sz w:val="24"/>
          <w:szCs w:val="24"/>
          <w:shd w:val="clear" w:color="auto" w:fill="FFFFFF"/>
          <w:lang w:eastAsia="ar-SA"/>
        </w:rPr>
        <w:t>irektyvos 2005/29/EB</w:t>
      </w:r>
      <w:r w:rsidR="002B4792" w:rsidRPr="002B4792">
        <w:rPr>
          <w:rFonts w:ascii="Times New Roman" w:hAnsi="Times New Roman"/>
          <w:sz w:val="24"/>
          <w:szCs w:val="24"/>
          <w:lang w:eastAsia="ar-SA"/>
        </w:rPr>
        <w:t xml:space="preserve"> 4 straipsnį valstybės narės dėl šia direktyva derinamai sričiai priskiriamų priežasčių negali apriboti nei laisvės teikti paslaugas, nei laisvo prekių judėjimo.</w:t>
      </w:r>
    </w:p>
    <w:p w:rsidR="002B4792" w:rsidRPr="004679C8"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 xml:space="preserve">Europos Sąjungos Teisingumo Teismas yra konstatavęs, kad Direktyva </w:t>
      </w:r>
      <w:r w:rsidRPr="002B4792">
        <w:rPr>
          <w:rFonts w:ascii="Times New Roman" w:hAnsi="Times New Roman"/>
          <w:sz w:val="24"/>
          <w:szCs w:val="24"/>
          <w:shd w:val="clear" w:color="auto" w:fill="FFFFFF"/>
          <w:lang w:eastAsia="ar-SA"/>
        </w:rPr>
        <w:t>2005/29/EB</w:t>
      </w:r>
      <w:r w:rsidRPr="002B4792">
        <w:rPr>
          <w:rFonts w:ascii="Times New Roman" w:hAnsi="Times New Roman"/>
          <w:sz w:val="24"/>
          <w:szCs w:val="24"/>
          <w:lang w:eastAsia="ar-SA"/>
        </w:rPr>
        <w:t xml:space="preserve"> Europos Sąjungos lygiu yra visiškai suderinamos normos, susijusios su nesąžininga įmonių komercine veikla vartotojų atžvilgiu. Todėl </w:t>
      </w:r>
      <w:r w:rsidRPr="004679C8">
        <w:rPr>
          <w:rFonts w:ascii="Times New Roman" w:hAnsi="Times New Roman"/>
          <w:bCs/>
          <w:sz w:val="24"/>
          <w:szCs w:val="24"/>
          <w:lang w:eastAsia="ar-SA"/>
        </w:rPr>
        <w:t>valstybės narės negali imtis griežtesnių negu direktyvoje nustatytų priemonių, net siekdamos užtikrinti aukštesnį vartotojų apsaugos lygį</w:t>
      </w:r>
      <w:r w:rsidRPr="004679C8">
        <w:rPr>
          <w:rFonts w:ascii="Times New Roman" w:hAnsi="Times New Roman"/>
          <w:sz w:val="24"/>
          <w:szCs w:val="24"/>
          <w:vertAlign w:val="superscript"/>
          <w:lang w:eastAsia="ar-SA"/>
        </w:rPr>
        <w:footnoteReference w:id="4"/>
      </w:r>
      <w:r w:rsidRPr="004679C8">
        <w:rPr>
          <w:rFonts w:ascii="Times New Roman" w:hAnsi="Times New Roman"/>
          <w:sz w:val="24"/>
          <w:szCs w:val="24"/>
          <w:lang w:eastAsia="ar-SA"/>
        </w:rPr>
        <w:t>.</w:t>
      </w:r>
    </w:p>
    <w:p w:rsidR="002B4792" w:rsidRPr="002B4792" w:rsidRDefault="002B4792" w:rsidP="005849CC">
      <w:pPr>
        <w:suppressAutoHyphens/>
        <w:spacing w:line="360" w:lineRule="auto"/>
        <w:ind w:firstLine="851"/>
        <w:jc w:val="both"/>
        <w:rPr>
          <w:rFonts w:ascii="Times New Roman" w:hAnsi="Times New Roman"/>
          <w:sz w:val="24"/>
          <w:szCs w:val="24"/>
          <w:shd w:val="clear" w:color="auto" w:fill="FFFFFF"/>
          <w:lang w:eastAsia="ar-SA"/>
        </w:rPr>
      </w:pPr>
      <w:r w:rsidRPr="002B4792">
        <w:rPr>
          <w:rFonts w:ascii="Times New Roman" w:hAnsi="Times New Roman"/>
          <w:sz w:val="24"/>
          <w:szCs w:val="24"/>
          <w:lang w:eastAsia="ar-SA"/>
        </w:rPr>
        <w:t>Taip pat atkreiptinas dėmesys į tai, kad Nesąžiningos komercinės veiklos vartotojams draudimo įstatymo 5 straipsnyje</w:t>
      </w:r>
      <w:r w:rsidRPr="002B4792">
        <w:rPr>
          <w:rFonts w:ascii="Times New Roman" w:hAnsi="Times New Roman"/>
          <w:sz w:val="24"/>
          <w:szCs w:val="24"/>
          <w:vertAlign w:val="superscript"/>
          <w:lang w:eastAsia="ar-SA"/>
        </w:rPr>
        <w:footnoteReference w:id="5"/>
      </w:r>
      <w:r w:rsidRPr="002B4792">
        <w:rPr>
          <w:rFonts w:ascii="Times New Roman" w:hAnsi="Times New Roman"/>
          <w:sz w:val="24"/>
          <w:szCs w:val="24"/>
          <w:lang w:eastAsia="ar-SA"/>
        </w:rPr>
        <w:t xml:space="preserve"> yra reglamentuoti komercinės veiklos subjekto </w:t>
      </w:r>
      <w:r w:rsidRPr="004679C8">
        <w:rPr>
          <w:rFonts w:ascii="Times New Roman" w:hAnsi="Times New Roman"/>
          <w:iCs/>
          <w:sz w:val="24"/>
          <w:szCs w:val="24"/>
          <w:lang w:eastAsia="ar-SA"/>
        </w:rPr>
        <w:t>klaidinantys veiksmai</w:t>
      </w:r>
      <w:r w:rsidRPr="004679C8">
        <w:rPr>
          <w:rFonts w:ascii="Times New Roman" w:hAnsi="Times New Roman"/>
          <w:sz w:val="24"/>
          <w:szCs w:val="24"/>
          <w:lang w:eastAsia="ar-SA"/>
        </w:rPr>
        <w:t xml:space="preserve">, </w:t>
      </w:r>
      <w:r w:rsidRPr="002B4792">
        <w:rPr>
          <w:rFonts w:ascii="Times New Roman" w:hAnsi="Times New Roman"/>
          <w:sz w:val="24"/>
          <w:szCs w:val="24"/>
          <w:lang w:eastAsia="ar-SA"/>
        </w:rPr>
        <w:t>kaip viena iš klaidinančios komercinės veiklos formų. K</w:t>
      </w:r>
      <w:r w:rsidRPr="002B4792">
        <w:rPr>
          <w:rFonts w:ascii="Times New Roman" w:hAnsi="Times New Roman"/>
          <w:sz w:val="24"/>
          <w:szCs w:val="24"/>
          <w:shd w:val="clear" w:color="auto" w:fill="FFFFFF"/>
          <w:lang w:eastAsia="ar-SA"/>
        </w:rPr>
        <w:t xml:space="preserve">laidinantys veiksmai – tai </w:t>
      </w:r>
      <w:r w:rsidRPr="004679C8">
        <w:rPr>
          <w:rFonts w:ascii="Times New Roman" w:hAnsi="Times New Roman"/>
          <w:iCs/>
          <w:sz w:val="24"/>
          <w:szCs w:val="24"/>
          <w:shd w:val="clear" w:color="auto" w:fill="FFFFFF"/>
          <w:lang w:eastAsia="ar-SA"/>
        </w:rPr>
        <w:t>apgaulingos informacijos pateikimas</w:t>
      </w:r>
      <w:r w:rsidRPr="002B4792">
        <w:rPr>
          <w:rFonts w:ascii="Times New Roman" w:hAnsi="Times New Roman"/>
          <w:sz w:val="24"/>
          <w:szCs w:val="24"/>
          <w:shd w:val="clear" w:color="auto" w:fill="FFFFFF"/>
          <w:lang w:eastAsia="ar-SA"/>
        </w:rPr>
        <w:t xml:space="preserve"> arba toks informacijos, kuri nors ir faktiškai tiksli, tačiau dėl vieno arba kelių šioje dalyje išvardytų elementų apgauna arba gali apgauti vidutinį vartotoją, pateikimas (įskaitant bendrą pristatymą), kuriuo vartotojas gali</w:t>
      </w:r>
      <w:r w:rsidRPr="002B4792">
        <w:rPr>
          <w:rFonts w:ascii="Times New Roman" w:hAnsi="Times New Roman"/>
          <w:b/>
          <w:bCs/>
          <w:sz w:val="24"/>
          <w:szCs w:val="24"/>
          <w:shd w:val="clear" w:color="auto" w:fill="FFFFFF"/>
          <w:lang w:eastAsia="ar-SA"/>
        </w:rPr>
        <w:t xml:space="preserve"> </w:t>
      </w:r>
      <w:r w:rsidRPr="002B4792">
        <w:rPr>
          <w:rFonts w:ascii="Times New Roman" w:hAnsi="Times New Roman"/>
          <w:sz w:val="24"/>
          <w:szCs w:val="24"/>
          <w:shd w:val="clear" w:color="auto" w:fill="FFFFFF"/>
          <w:lang w:eastAsia="ar-SA"/>
        </w:rPr>
        <w:t xml:space="preserve">būti ar yra skatinamas priimti tokį sprendimą dėl sandorio, kurio jis kitomis aplinkybėmis nebūtų priėmęs. </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shd w:val="clear" w:color="auto" w:fill="FFFFFF"/>
          <w:lang w:eastAsia="ar-SA"/>
        </w:rPr>
        <w:t xml:space="preserve">Pažymėtina, kad klaidinančia komercine veikla taip pat yra laikoma ir </w:t>
      </w:r>
      <w:r w:rsidRPr="004679C8">
        <w:rPr>
          <w:rFonts w:ascii="Times New Roman" w:hAnsi="Times New Roman"/>
          <w:iCs/>
          <w:sz w:val="24"/>
          <w:szCs w:val="24"/>
          <w:shd w:val="clear" w:color="auto" w:fill="FFFFFF"/>
          <w:lang w:eastAsia="ar-SA"/>
        </w:rPr>
        <w:t>klaidinantis informacijos neatskleidimas</w:t>
      </w:r>
      <w:r w:rsidR="00A30FF8" w:rsidRPr="004679C8">
        <w:rPr>
          <w:rFonts w:ascii="Times New Roman" w:hAnsi="Times New Roman"/>
          <w:iCs/>
          <w:sz w:val="24"/>
          <w:szCs w:val="24"/>
          <w:shd w:val="clear" w:color="auto" w:fill="FFFFFF"/>
          <w:lang w:eastAsia="ar-SA"/>
        </w:rPr>
        <w:t xml:space="preserve"> </w:t>
      </w:r>
      <w:r w:rsidR="00A30FF8">
        <w:rPr>
          <w:rFonts w:ascii="Times New Roman" w:hAnsi="Times New Roman"/>
          <w:i/>
          <w:iCs/>
          <w:sz w:val="24"/>
          <w:szCs w:val="24"/>
          <w:shd w:val="clear" w:color="auto" w:fill="FFFFFF"/>
          <w:lang w:eastAsia="ar-SA"/>
        </w:rPr>
        <w:t>–</w:t>
      </w:r>
      <w:r w:rsidRPr="002B4792">
        <w:rPr>
          <w:rFonts w:ascii="Times New Roman" w:hAnsi="Times New Roman"/>
          <w:sz w:val="24"/>
          <w:szCs w:val="24"/>
          <w:shd w:val="clear" w:color="auto" w:fill="FFFFFF"/>
          <w:lang w:eastAsia="ar-SA"/>
        </w:rPr>
        <w:t xml:space="preserve"> tai reglamentuota </w:t>
      </w:r>
      <w:r w:rsidRPr="002B4792">
        <w:rPr>
          <w:rFonts w:ascii="Times New Roman" w:hAnsi="Times New Roman"/>
          <w:sz w:val="24"/>
          <w:szCs w:val="24"/>
          <w:lang w:eastAsia="ar-SA"/>
        </w:rPr>
        <w:t>Nesąžiningos komercinės veiklos vartotojams draudimo įstatymo 6 straipsnyje</w:t>
      </w:r>
      <w:r w:rsidRPr="002B4792">
        <w:rPr>
          <w:rFonts w:ascii="Times New Roman" w:hAnsi="Times New Roman"/>
          <w:sz w:val="24"/>
          <w:szCs w:val="24"/>
          <w:vertAlign w:val="superscript"/>
          <w:lang w:eastAsia="ar-SA"/>
        </w:rPr>
        <w:footnoteReference w:id="6"/>
      </w:r>
      <w:r w:rsidRPr="002B4792">
        <w:rPr>
          <w:rFonts w:ascii="Times New Roman" w:hAnsi="Times New Roman"/>
          <w:sz w:val="24"/>
          <w:szCs w:val="24"/>
          <w:lang w:eastAsia="ar-SA"/>
        </w:rPr>
        <w:t xml:space="preserve">. </w:t>
      </w:r>
      <w:r w:rsidRPr="002B4792">
        <w:rPr>
          <w:rFonts w:ascii="Times New Roman" w:hAnsi="Times New Roman"/>
          <w:sz w:val="24"/>
          <w:szCs w:val="24"/>
          <w:shd w:val="clear" w:color="auto" w:fill="FFFFFF"/>
          <w:lang w:eastAsia="ar-SA"/>
        </w:rPr>
        <w:t xml:space="preserve">Klaidinančiu informacijos neatskleidimu laikomas </w:t>
      </w:r>
      <w:r w:rsidRPr="002B4792">
        <w:rPr>
          <w:rFonts w:ascii="Times New Roman" w:hAnsi="Times New Roman"/>
          <w:color w:val="000000"/>
          <w:sz w:val="24"/>
          <w:szCs w:val="24"/>
          <w:lang w:eastAsia="ar-SA"/>
        </w:rPr>
        <w:t>esminės informacijos, kuri vidutiniam vartotojui reikalinga tam, kad jis galėtų priimti informacija paremtą sprendimą dėl sandorio, neatskleidimas arba esminės informacijos, kuri vidutiniam vartotojui reikalinga tam, kad jis galėtų priimti informacija paremtą sprendimą dėl sandorio, nuslėpimas ar jos pateikimas neaiškiai, nesuprantamai, dviprasmiškai ar ne laiku, arba komercinės veiklos tikslo, jeigu jis neaiškus pagal kitas aplinkybes, neatskleidimas.</w:t>
      </w:r>
      <w:r w:rsidRPr="002B4792">
        <w:rPr>
          <w:rFonts w:ascii="Times New Roman" w:hAnsi="Times New Roman"/>
          <w:sz w:val="24"/>
          <w:szCs w:val="24"/>
          <w:lang w:eastAsia="ar-SA"/>
        </w:rPr>
        <w:t xml:space="preserve"> </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Pabrėžtina, kad peticijoje pateiktas siūlymas yra susijęs ne su apgaulingu ar netiksliu tam tikros informacijos pateikimu vartotojams, o su tam tikros informacijos</w:t>
      </w:r>
      <w:r w:rsidRPr="002B4792">
        <w:rPr>
          <w:rFonts w:ascii="Times New Roman" w:hAnsi="Times New Roman"/>
          <w:color w:val="000000"/>
          <w:sz w:val="24"/>
          <w:szCs w:val="24"/>
          <w:lang w:eastAsia="ar-SA"/>
        </w:rPr>
        <w:t>, kuri vartotojui reikalinga tam, kad jis galėtų priimti informacija paremtą sprendimą dėl sandorio, neatskleidimu („</w:t>
      </w:r>
      <w:r w:rsidRPr="002B4792">
        <w:rPr>
          <w:rFonts w:ascii="Times New Roman" w:hAnsi="Times New Roman"/>
          <w:sz w:val="24"/>
          <w:szCs w:val="24"/>
          <w:lang w:eastAsia="ar-SA"/>
        </w:rPr>
        <w:t>nenurodant, kad naudą iš sandorio (tiek tiesiogiai, tiek netiesiogiai) gautų komercinės veiklos subjektas [...]“</w:t>
      </w:r>
      <w:r w:rsidRPr="002B4792">
        <w:rPr>
          <w:rFonts w:ascii="Times New Roman" w:hAnsi="Times New Roman"/>
          <w:color w:val="000000"/>
          <w:sz w:val="24"/>
          <w:szCs w:val="24"/>
          <w:lang w:eastAsia="ar-SA"/>
        </w:rPr>
        <w:t xml:space="preserve">). </w:t>
      </w:r>
    </w:p>
    <w:p w:rsidR="002B4792" w:rsidRPr="002B4792" w:rsidRDefault="002B4792" w:rsidP="005849CC">
      <w:pPr>
        <w:suppressAutoHyphens/>
        <w:spacing w:line="360" w:lineRule="auto"/>
        <w:ind w:firstLine="851"/>
        <w:jc w:val="both"/>
        <w:rPr>
          <w:rFonts w:ascii="Times New Roman" w:hAnsi="Times New Roman"/>
          <w:color w:val="000000"/>
          <w:sz w:val="24"/>
          <w:szCs w:val="24"/>
          <w:shd w:val="clear" w:color="auto" w:fill="FFFFFF"/>
          <w:lang w:eastAsia="ar-SA"/>
        </w:rPr>
      </w:pPr>
      <w:r w:rsidRPr="002B4792">
        <w:rPr>
          <w:rFonts w:ascii="Times New Roman" w:hAnsi="Times New Roman"/>
          <w:sz w:val="24"/>
          <w:szCs w:val="24"/>
          <w:lang w:eastAsia="ar-SA"/>
        </w:rPr>
        <w:t>Taigi, darytina išvada, kad peticijoje pateiktas siūlymas dėl Nesąžiningos komercinės veiklos vartotojams draudimo įstatymo 5 straipsnio 2 dalies papildymo būtų nesuderinamas su D</w:t>
      </w:r>
      <w:r w:rsidRPr="002B4792">
        <w:rPr>
          <w:rFonts w:ascii="Times New Roman" w:hAnsi="Times New Roman"/>
          <w:color w:val="000000"/>
          <w:sz w:val="24"/>
          <w:szCs w:val="24"/>
          <w:shd w:val="clear" w:color="auto" w:fill="FFFFFF"/>
          <w:lang w:eastAsia="ar-SA"/>
        </w:rPr>
        <w:t>irektyvos 2005/29/EB nuostatomis dėl taikomo visiško suderinimo principo ir dėl netinkamo klaidinančių veiksmų ir klaidinančios informacijos neatskleidimo kvalifikavimo.</w:t>
      </w:r>
    </w:p>
    <w:p w:rsidR="002B4792" w:rsidRPr="002B4792" w:rsidRDefault="00A30FF8" w:rsidP="005849CC">
      <w:pPr>
        <w:suppressAutoHyphens/>
        <w:spacing w:line="360" w:lineRule="auto"/>
        <w:ind w:firstLine="851"/>
        <w:jc w:val="both"/>
        <w:rPr>
          <w:rFonts w:ascii="Times New Roman" w:hAnsi="Times New Roman"/>
          <w:sz w:val="24"/>
          <w:szCs w:val="24"/>
          <w:lang w:eastAsia="ar-SA"/>
        </w:rPr>
      </w:pPr>
      <w:r>
        <w:rPr>
          <w:rFonts w:ascii="Times New Roman" w:hAnsi="Times New Roman"/>
          <w:color w:val="000000"/>
          <w:sz w:val="24"/>
          <w:szCs w:val="24"/>
          <w:shd w:val="clear" w:color="auto" w:fill="FFFFFF"/>
          <w:lang w:eastAsia="ar-SA"/>
        </w:rPr>
        <w:t>Teisingumo ministerija atkreipia dėmesį ir į tai</w:t>
      </w:r>
      <w:r w:rsidR="002B4792" w:rsidRPr="002B4792">
        <w:rPr>
          <w:rFonts w:ascii="Times New Roman" w:hAnsi="Times New Roman"/>
          <w:sz w:val="24"/>
          <w:szCs w:val="24"/>
          <w:lang w:eastAsia="ar-SA"/>
        </w:rPr>
        <w:t xml:space="preserve">, kad </w:t>
      </w:r>
      <w:r>
        <w:rPr>
          <w:rFonts w:ascii="Times New Roman" w:hAnsi="Times New Roman"/>
          <w:sz w:val="24"/>
          <w:szCs w:val="24"/>
          <w:lang w:eastAsia="ar-SA"/>
        </w:rPr>
        <w:t xml:space="preserve">peticijoje </w:t>
      </w:r>
      <w:r w:rsidR="002B4792" w:rsidRPr="002B4792">
        <w:rPr>
          <w:rFonts w:ascii="Times New Roman" w:hAnsi="Times New Roman"/>
          <w:sz w:val="24"/>
          <w:szCs w:val="24"/>
          <w:lang w:eastAsia="ar-SA"/>
        </w:rPr>
        <w:t xml:space="preserve">vartojamos sąvokos „nauda iš sandorio“ (apimant ir tiesioginę, ir netiesioginę naudą) ir „tiesiogiai ar netiesiogiai vykdantis veiklą valstybėse [...]“ nėra apibrėžtos ir yra vertinamojo pobūdžio, todėl neatitinka Lietuvos Respublikos teisėkūros pagrindų įstatymo 3 straipsnyje apibrėžto teisėkūros aiškumo principo. </w:t>
      </w:r>
    </w:p>
    <w:p w:rsidR="002B4792" w:rsidRPr="004679C8" w:rsidRDefault="002B4792" w:rsidP="005849CC">
      <w:pPr>
        <w:suppressAutoHyphens/>
        <w:spacing w:line="360" w:lineRule="auto"/>
        <w:ind w:firstLine="851"/>
        <w:jc w:val="both"/>
        <w:rPr>
          <w:rFonts w:ascii="Times New Roman" w:hAnsi="Times New Roman"/>
          <w:bCs/>
          <w:i/>
          <w:sz w:val="24"/>
          <w:szCs w:val="24"/>
          <w:lang w:eastAsia="ar-SA"/>
        </w:rPr>
      </w:pPr>
      <w:r w:rsidRPr="004679C8">
        <w:rPr>
          <w:rFonts w:ascii="Times New Roman" w:hAnsi="Times New Roman"/>
          <w:bCs/>
          <w:i/>
          <w:sz w:val="24"/>
          <w:szCs w:val="24"/>
          <w:lang w:eastAsia="ar-SA"/>
        </w:rPr>
        <w:t xml:space="preserve">Dėl pasiūlymo papildyti </w:t>
      </w:r>
      <w:r w:rsidR="00B43432" w:rsidRPr="004679C8">
        <w:rPr>
          <w:rFonts w:ascii="Times New Roman" w:hAnsi="Times New Roman"/>
          <w:bCs/>
          <w:i/>
          <w:sz w:val="24"/>
          <w:szCs w:val="24"/>
          <w:lang w:eastAsia="ar-SA"/>
        </w:rPr>
        <w:t>V</w:t>
      </w:r>
      <w:r w:rsidRPr="004679C8">
        <w:rPr>
          <w:rFonts w:ascii="Times New Roman" w:hAnsi="Times New Roman"/>
          <w:bCs/>
          <w:i/>
          <w:sz w:val="24"/>
          <w:szCs w:val="24"/>
          <w:lang w:eastAsia="ar-SA"/>
        </w:rPr>
        <w:t>artotoj</w:t>
      </w:r>
      <w:r w:rsidRPr="004679C8">
        <w:rPr>
          <w:rFonts w:ascii="Times New Roman" w:hAnsi="Times New Roman" w:hint="eastAsia"/>
          <w:bCs/>
          <w:i/>
          <w:sz w:val="24"/>
          <w:szCs w:val="24"/>
          <w:lang w:eastAsia="ar-SA"/>
        </w:rPr>
        <w:t>ų</w:t>
      </w:r>
      <w:r w:rsidRPr="004679C8">
        <w:rPr>
          <w:rFonts w:ascii="Times New Roman" w:hAnsi="Times New Roman"/>
          <w:bCs/>
          <w:i/>
          <w:sz w:val="24"/>
          <w:szCs w:val="24"/>
          <w:lang w:eastAsia="ar-SA"/>
        </w:rPr>
        <w:t xml:space="preserve"> teisi</w:t>
      </w:r>
      <w:r w:rsidRPr="004679C8">
        <w:rPr>
          <w:rFonts w:ascii="Times New Roman" w:hAnsi="Times New Roman" w:hint="eastAsia"/>
          <w:bCs/>
          <w:i/>
          <w:sz w:val="24"/>
          <w:szCs w:val="24"/>
          <w:lang w:eastAsia="ar-SA"/>
        </w:rPr>
        <w:t>ų</w:t>
      </w:r>
      <w:r w:rsidRPr="004679C8">
        <w:rPr>
          <w:rFonts w:ascii="Times New Roman" w:hAnsi="Times New Roman"/>
          <w:bCs/>
          <w:i/>
          <w:sz w:val="24"/>
          <w:szCs w:val="24"/>
          <w:lang w:eastAsia="ar-SA"/>
        </w:rPr>
        <w:t xml:space="preserve"> apsaugos </w:t>
      </w:r>
      <w:r w:rsidRPr="004679C8">
        <w:rPr>
          <w:rFonts w:ascii="Times New Roman" w:hAnsi="Times New Roman" w:hint="eastAsia"/>
          <w:bCs/>
          <w:i/>
          <w:sz w:val="24"/>
          <w:szCs w:val="24"/>
          <w:lang w:eastAsia="ar-SA"/>
        </w:rPr>
        <w:t>į</w:t>
      </w:r>
      <w:r w:rsidRPr="004679C8">
        <w:rPr>
          <w:rFonts w:ascii="Times New Roman" w:hAnsi="Times New Roman"/>
          <w:bCs/>
          <w:i/>
          <w:sz w:val="24"/>
          <w:szCs w:val="24"/>
          <w:lang w:eastAsia="ar-SA"/>
        </w:rPr>
        <w:t>statymo 5 straipsnį</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Peticijoje siūloma papildyti Vartotojų teisių apsaugos įstatymo 5 straipsnį nauja 7 dalimi ir joje nustatyti:</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„7. Gamintojas, pardavėjas, paslaugos teikėjas vartotojams privalo suteikti informaciją apie tai, kad iš sudaromo sandorio naudą (tiek tiesiogiai, tiek netiesiogiai) gautų verslininkas, tiesiogiai ar netiesiogiai vykdantis veiklą valstybėse, kurias Lietuvos Respublikos Seimas ar Europos Parlamentas yra pripažinęs terorizmą remiančiomis ir (ar) vykdančiomis valstybėmis“.</w:t>
      </w:r>
    </w:p>
    <w:p w:rsidR="002B4792" w:rsidRPr="002B4792" w:rsidRDefault="00A30FF8" w:rsidP="005849CC">
      <w:pPr>
        <w:suppressAutoHyphens/>
        <w:spacing w:line="360" w:lineRule="auto"/>
        <w:ind w:firstLine="851"/>
        <w:jc w:val="both"/>
        <w:rPr>
          <w:rFonts w:ascii="Times New Roman" w:hAnsi="Times New Roman"/>
          <w:sz w:val="24"/>
          <w:szCs w:val="24"/>
          <w:lang w:eastAsia="ar-SA"/>
        </w:rPr>
      </w:pPr>
      <w:r>
        <w:rPr>
          <w:rFonts w:ascii="Times New Roman" w:hAnsi="Times New Roman"/>
          <w:sz w:val="24"/>
          <w:szCs w:val="24"/>
          <w:lang w:eastAsia="ar-SA"/>
        </w:rPr>
        <w:t xml:space="preserve">Pažymėtina, kad </w:t>
      </w:r>
      <w:r w:rsidR="002B4792" w:rsidRPr="002B4792">
        <w:rPr>
          <w:rFonts w:ascii="Times New Roman" w:hAnsi="Times New Roman"/>
          <w:sz w:val="24"/>
          <w:szCs w:val="24"/>
          <w:lang w:eastAsia="ar-SA"/>
        </w:rPr>
        <w:t>Vartotojų teisių apsaugos įstatymo 5 straipsnyje reglamentuojamas informacijos pateikimas vartotojams. Pagal šio straipsnio 1 dalį gamintojas, pardavėjas, paslaugos teikėjas vartotojams privalo valstybine kalba suteikti</w:t>
      </w:r>
      <w:r w:rsidR="00B43432">
        <w:rPr>
          <w:rFonts w:ascii="Times New Roman" w:hAnsi="Times New Roman"/>
          <w:sz w:val="24"/>
          <w:szCs w:val="24"/>
          <w:lang w:eastAsia="ar-SA"/>
        </w:rPr>
        <w:t xml:space="preserve"> Lietuvos Respublikos</w:t>
      </w:r>
      <w:r w:rsidR="002B4792" w:rsidRPr="002B4792">
        <w:rPr>
          <w:rFonts w:ascii="Times New Roman" w:hAnsi="Times New Roman"/>
          <w:sz w:val="24"/>
          <w:szCs w:val="24"/>
          <w:lang w:eastAsia="ar-SA"/>
        </w:rPr>
        <w:t xml:space="preserve"> </w:t>
      </w:r>
      <w:r w:rsidR="00B43432">
        <w:rPr>
          <w:rFonts w:ascii="Times New Roman" w:hAnsi="Times New Roman"/>
          <w:sz w:val="24"/>
          <w:szCs w:val="24"/>
          <w:lang w:eastAsia="ar-SA"/>
        </w:rPr>
        <w:t>c</w:t>
      </w:r>
      <w:r w:rsidR="002B4792" w:rsidRPr="002B4792">
        <w:rPr>
          <w:rFonts w:ascii="Times New Roman" w:hAnsi="Times New Roman"/>
          <w:sz w:val="24"/>
          <w:szCs w:val="24"/>
          <w:lang w:eastAsia="ar-SA"/>
        </w:rPr>
        <w:t>iviliniame kodekse ir kituose teisės aktuose nustatytą informaciją ir teisės aktų nustatyta tvarka ženklinti prekes.</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Civilinio kodekso 6.228</w:t>
      </w:r>
      <w:r w:rsidRPr="002B4792">
        <w:rPr>
          <w:rFonts w:ascii="Times New Roman" w:hAnsi="Times New Roman"/>
          <w:sz w:val="24"/>
          <w:szCs w:val="24"/>
          <w:vertAlign w:val="superscript"/>
          <w:lang w:eastAsia="ar-SA"/>
        </w:rPr>
        <w:t>6</w:t>
      </w:r>
      <w:r w:rsidRPr="002B4792">
        <w:rPr>
          <w:rFonts w:ascii="Times New Roman" w:hAnsi="Times New Roman"/>
          <w:sz w:val="24"/>
          <w:szCs w:val="24"/>
          <w:lang w:eastAsia="ar-SA"/>
        </w:rPr>
        <w:t xml:space="preserve"> ir 6.228</w:t>
      </w:r>
      <w:r w:rsidRPr="002B4792">
        <w:rPr>
          <w:rFonts w:ascii="Times New Roman" w:hAnsi="Times New Roman"/>
          <w:sz w:val="24"/>
          <w:szCs w:val="24"/>
          <w:vertAlign w:val="superscript"/>
          <w:lang w:eastAsia="ar-SA"/>
        </w:rPr>
        <w:t>7</w:t>
      </w:r>
      <w:r w:rsidRPr="002B4792">
        <w:rPr>
          <w:rFonts w:ascii="Times New Roman" w:hAnsi="Times New Roman"/>
          <w:sz w:val="24"/>
          <w:szCs w:val="24"/>
          <w:lang w:eastAsia="ar-SA"/>
        </w:rPr>
        <w:t xml:space="preserve"> straipsniuose nustatyta informacija, kurią verslininkas privalo suteikti vartotojui, prieš sudarant vartojimo sutartį (6.228</w:t>
      </w:r>
      <w:r w:rsidRPr="002B4792">
        <w:rPr>
          <w:rFonts w:ascii="Times New Roman" w:hAnsi="Times New Roman"/>
          <w:sz w:val="24"/>
          <w:szCs w:val="24"/>
          <w:vertAlign w:val="superscript"/>
          <w:lang w:eastAsia="ar-SA"/>
        </w:rPr>
        <w:t>7</w:t>
      </w:r>
      <w:r w:rsidRPr="002B4792">
        <w:rPr>
          <w:rFonts w:ascii="Times New Roman" w:hAnsi="Times New Roman"/>
          <w:sz w:val="24"/>
          <w:szCs w:val="24"/>
          <w:lang w:eastAsia="ar-SA"/>
        </w:rPr>
        <w:t xml:space="preserve"> straipsnyje – kai sudaromos nuotolinės sutartys ar ne prekybos patalpose sudaromos sutartys; 6.228</w:t>
      </w:r>
      <w:r w:rsidRPr="002B4792">
        <w:rPr>
          <w:rFonts w:ascii="Times New Roman" w:hAnsi="Times New Roman"/>
          <w:sz w:val="24"/>
          <w:szCs w:val="24"/>
          <w:vertAlign w:val="superscript"/>
          <w:lang w:eastAsia="ar-SA"/>
        </w:rPr>
        <w:t xml:space="preserve">6 </w:t>
      </w:r>
      <w:r w:rsidRPr="002B4792">
        <w:rPr>
          <w:rFonts w:ascii="Times New Roman" w:hAnsi="Times New Roman"/>
          <w:sz w:val="24"/>
          <w:szCs w:val="24"/>
          <w:lang w:eastAsia="ar-SA"/>
        </w:rPr>
        <w:t xml:space="preserve">straipsnyje – kai sudaromos kitos sutartys). Pažymėtina, kad šios Civilinio kodekso nuostatos įgyvendina Direktyvos </w:t>
      </w:r>
      <w:r w:rsidRPr="002B4792">
        <w:rPr>
          <w:rFonts w:ascii="Times New Roman" w:hAnsi="Times New Roman"/>
          <w:sz w:val="24"/>
          <w:szCs w:val="24"/>
          <w:shd w:val="clear" w:color="auto" w:fill="FFFFFF"/>
          <w:lang w:eastAsia="ar-SA"/>
        </w:rPr>
        <w:t>2011/83/ES</w:t>
      </w:r>
      <w:r w:rsidRPr="002B4792">
        <w:rPr>
          <w:rFonts w:ascii="Times New Roman" w:hAnsi="Times New Roman"/>
          <w:sz w:val="24"/>
          <w:szCs w:val="24"/>
          <w:shd w:val="clear" w:color="auto" w:fill="FFFFFF"/>
          <w:vertAlign w:val="superscript"/>
          <w:lang w:eastAsia="ar-SA"/>
        </w:rPr>
        <w:footnoteReference w:id="7"/>
      </w:r>
      <w:r w:rsidRPr="002B4792">
        <w:rPr>
          <w:rFonts w:ascii="Times New Roman" w:hAnsi="Times New Roman"/>
          <w:sz w:val="24"/>
          <w:szCs w:val="24"/>
          <w:shd w:val="clear" w:color="auto" w:fill="FFFFFF"/>
          <w:lang w:eastAsia="ar-SA"/>
        </w:rPr>
        <w:t xml:space="preserve"> nuostatas. </w:t>
      </w:r>
    </w:p>
    <w:p w:rsidR="002B4792" w:rsidRPr="002B4792" w:rsidRDefault="002B4792" w:rsidP="005849CC">
      <w:pPr>
        <w:suppressAutoHyphens/>
        <w:spacing w:line="360" w:lineRule="auto"/>
        <w:ind w:firstLine="851"/>
        <w:jc w:val="both"/>
        <w:rPr>
          <w:rFonts w:ascii="Times New Roman" w:hAnsi="Times New Roman"/>
          <w:sz w:val="24"/>
          <w:szCs w:val="24"/>
          <w:shd w:val="clear" w:color="auto" w:fill="FFFFFF"/>
          <w:lang w:eastAsia="ar-SA"/>
        </w:rPr>
      </w:pPr>
      <w:r w:rsidRPr="002B4792">
        <w:rPr>
          <w:rFonts w:ascii="Times New Roman" w:hAnsi="Times New Roman"/>
          <w:sz w:val="24"/>
          <w:szCs w:val="24"/>
          <w:lang w:eastAsia="ar-SA"/>
        </w:rPr>
        <w:t xml:space="preserve">Pagal Direktyvą </w:t>
      </w:r>
      <w:r w:rsidRPr="002B4792">
        <w:rPr>
          <w:rFonts w:ascii="Times New Roman" w:hAnsi="Times New Roman"/>
          <w:sz w:val="24"/>
          <w:szCs w:val="24"/>
          <w:shd w:val="clear" w:color="auto" w:fill="FFFFFF"/>
          <w:lang w:eastAsia="ar-SA"/>
        </w:rPr>
        <w:t xml:space="preserve">2011/83/ES taikomas vartotojų informacijos ir teisės atsisakyti sutarties </w:t>
      </w:r>
      <w:r w:rsidRPr="004679C8">
        <w:rPr>
          <w:rFonts w:ascii="Times New Roman" w:hAnsi="Times New Roman"/>
          <w:bCs/>
          <w:sz w:val="24"/>
          <w:szCs w:val="24"/>
          <w:shd w:val="clear" w:color="auto" w:fill="FFFFFF"/>
          <w:lang w:eastAsia="ar-SA"/>
        </w:rPr>
        <w:t>visiškas suderinimas nuotolinės prekybos ir ne prekybai skirtose patalpose sudarytose sutartyse</w:t>
      </w:r>
      <w:r w:rsidRPr="004679C8">
        <w:rPr>
          <w:rFonts w:ascii="Times New Roman" w:hAnsi="Times New Roman"/>
          <w:sz w:val="24"/>
          <w:szCs w:val="24"/>
          <w:shd w:val="clear" w:color="auto" w:fill="FFFFFF"/>
          <w:lang w:eastAsia="ar-SA"/>
        </w:rPr>
        <w:t>,</w:t>
      </w:r>
      <w:r w:rsidRPr="002B4792">
        <w:rPr>
          <w:rFonts w:ascii="Times New Roman" w:hAnsi="Times New Roman"/>
          <w:sz w:val="24"/>
          <w:szCs w:val="24"/>
          <w:shd w:val="clear" w:color="auto" w:fill="FFFFFF"/>
          <w:lang w:eastAsia="ar-SA"/>
        </w:rPr>
        <w:t xml:space="preserve"> pasireiškiantis tuo, kad valstybės narės nacionalinėje teisėje neturi palikti galioti ar priimti nuostatų, nukrypstančių nuo šioje direktyvoje įtvirtintų nuostatų, įskaitant griežtesnių ar švelnesnių nuostatų</w:t>
      </w:r>
      <w:r w:rsidRPr="002B4792">
        <w:rPr>
          <w:rFonts w:ascii="Times New Roman" w:hAnsi="Times New Roman"/>
          <w:sz w:val="24"/>
          <w:szCs w:val="24"/>
          <w:shd w:val="clear" w:color="auto" w:fill="FFFFFF"/>
          <w:vertAlign w:val="superscript"/>
          <w:lang w:eastAsia="ar-SA"/>
        </w:rPr>
        <w:footnoteReference w:id="8"/>
      </w:r>
      <w:r w:rsidRPr="002B4792">
        <w:rPr>
          <w:rFonts w:ascii="Times New Roman" w:hAnsi="Times New Roman"/>
          <w:sz w:val="24"/>
          <w:szCs w:val="24"/>
          <w:shd w:val="clear" w:color="auto" w:fill="FFFFFF"/>
          <w:lang w:eastAsia="ar-SA"/>
        </w:rPr>
        <w:t xml:space="preserve">. </w:t>
      </w:r>
    </w:p>
    <w:p w:rsidR="002B4792" w:rsidRPr="004679C8" w:rsidRDefault="002B4792" w:rsidP="005849CC">
      <w:pPr>
        <w:suppressAutoHyphens/>
        <w:spacing w:line="360" w:lineRule="auto"/>
        <w:ind w:firstLine="851"/>
        <w:jc w:val="both"/>
        <w:rPr>
          <w:rFonts w:ascii="Times New Roman" w:hAnsi="Times New Roman"/>
          <w:sz w:val="24"/>
          <w:szCs w:val="24"/>
          <w:shd w:val="clear" w:color="auto" w:fill="FFFFFF"/>
          <w:lang w:eastAsia="ar-SA"/>
        </w:rPr>
      </w:pPr>
      <w:r w:rsidRPr="004679C8">
        <w:rPr>
          <w:rFonts w:ascii="Times New Roman" w:hAnsi="Times New Roman"/>
          <w:sz w:val="24"/>
          <w:szCs w:val="24"/>
          <w:lang w:eastAsia="ar-SA"/>
        </w:rPr>
        <w:t xml:space="preserve">Direktyvos </w:t>
      </w:r>
      <w:r w:rsidRPr="004679C8">
        <w:rPr>
          <w:rFonts w:ascii="Times New Roman" w:hAnsi="Times New Roman"/>
          <w:sz w:val="24"/>
          <w:szCs w:val="24"/>
          <w:shd w:val="clear" w:color="auto" w:fill="FFFFFF"/>
          <w:lang w:eastAsia="ar-SA"/>
        </w:rPr>
        <w:t xml:space="preserve">2011/83/ES 6 straipsnio 1 dalyje yra pateiktas </w:t>
      </w:r>
      <w:r w:rsidRPr="004679C8">
        <w:rPr>
          <w:rFonts w:ascii="Times New Roman" w:hAnsi="Times New Roman"/>
          <w:bCs/>
          <w:sz w:val="24"/>
          <w:szCs w:val="24"/>
          <w:shd w:val="clear" w:color="auto" w:fill="FFFFFF"/>
          <w:lang w:eastAsia="ar-SA"/>
        </w:rPr>
        <w:t>išsamus (baigtinis) informacijos, kurią prekiautojas turi aiškiai ir suprantamai pateikti vartotojui prieš sutarties sudarymą, sąrašas</w:t>
      </w:r>
      <w:r w:rsidRPr="004679C8">
        <w:rPr>
          <w:rFonts w:ascii="Times New Roman" w:hAnsi="Times New Roman"/>
          <w:sz w:val="24"/>
          <w:szCs w:val="24"/>
          <w:shd w:val="clear" w:color="auto" w:fill="FFFFFF"/>
          <w:lang w:eastAsia="ar-SA"/>
        </w:rPr>
        <w:t xml:space="preserve">. </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 xml:space="preserve">Direktyvos </w:t>
      </w:r>
      <w:r w:rsidRPr="002B4792">
        <w:rPr>
          <w:rFonts w:ascii="Times New Roman" w:hAnsi="Times New Roman"/>
          <w:sz w:val="24"/>
          <w:szCs w:val="24"/>
          <w:shd w:val="clear" w:color="auto" w:fill="FFFFFF"/>
          <w:lang w:eastAsia="ar-SA"/>
        </w:rPr>
        <w:t xml:space="preserve">2011/83/ES 6 straipsnyje yra numatytos tik dvi reguliavimo galimybės valstybėms narėms nustatyti papildomus reikalavimus. Pirma, pagal </w:t>
      </w:r>
      <w:r w:rsidRPr="002B4792">
        <w:rPr>
          <w:rFonts w:ascii="Times New Roman" w:hAnsi="Times New Roman"/>
          <w:sz w:val="24"/>
          <w:szCs w:val="24"/>
          <w:lang w:eastAsia="ar-SA"/>
        </w:rPr>
        <w:t xml:space="preserve">Direktyvos </w:t>
      </w:r>
      <w:r w:rsidRPr="002B4792">
        <w:rPr>
          <w:rFonts w:ascii="Times New Roman" w:hAnsi="Times New Roman"/>
          <w:sz w:val="24"/>
          <w:szCs w:val="24"/>
          <w:shd w:val="clear" w:color="auto" w:fill="FFFFFF"/>
          <w:lang w:eastAsia="ar-SA"/>
        </w:rPr>
        <w:t>2011/83/ES 6 straipsnio 7 dalį v</w:t>
      </w:r>
      <w:r w:rsidRPr="002B4792">
        <w:rPr>
          <w:rFonts w:ascii="Times New Roman" w:hAnsi="Times New Roman"/>
          <w:sz w:val="24"/>
          <w:szCs w:val="24"/>
          <w:lang w:eastAsia="ar-SA"/>
        </w:rPr>
        <w:t>alstybės narės gali priimti nacionalinės teisės nuostatas, susijusias su kalbos reikalavimais dėl su sutartimis susijusios informacijos, siekiant užtikrinti, kad tokia informacija būtų lengvai suprantama vartotojui. Antra, pagal 6 straipsnio 8 dalį gali būti nustatyti papildomi reikalavimai teikti informaciją pagal Direktyvą 2006/123/EB ir Direktyvą 2000/31/EB</w:t>
      </w:r>
      <w:r w:rsidRPr="002B4792">
        <w:rPr>
          <w:rFonts w:ascii="Times New Roman" w:hAnsi="Times New Roman"/>
          <w:sz w:val="24"/>
          <w:szCs w:val="24"/>
          <w:vertAlign w:val="superscript"/>
          <w:lang w:eastAsia="ar-SA"/>
        </w:rPr>
        <w:footnoteReference w:id="9"/>
      </w:r>
      <w:r w:rsidRPr="002B4792">
        <w:rPr>
          <w:rFonts w:ascii="Times New Roman" w:hAnsi="Times New Roman"/>
          <w:sz w:val="24"/>
          <w:szCs w:val="24"/>
          <w:lang w:eastAsia="ar-SA"/>
        </w:rPr>
        <w:t xml:space="preserve">. </w:t>
      </w:r>
    </w:p>
    <w:p w:rsidR="002B4792" w:rsidRPr="002B4792" w:rsidRDefault="002B4792" w:rsidP="005849CC">
      <w:pPr>
        <w:suppressAutoHyphens/>
        <w:spacing w:line="360" w:lineRule="auto"/>
        <w:ind w:firstLine="851"/>
        <w:jc w:val="both"/>
        <w:rPr>
          <w:rFonts w:ascii="Times New Roman" w:hAnsi="Times New Roman"/>
          <w:sz w:val="24"/>
          <w:szCs w:val="24"/>
          <w:shd w:val="clear" w:color="auto" w:fill="FFFFFF"/>
          <w:lang w:eastAsia="ar-SA"/>
        </w:rPr>
      </w:pPr>
      <w:r w:rsidRPr="002B4792">
        <w:rPr>
          <w:rFonts w:ascii="Times New Roman" w:hAnsi="Times New Roman"/>
          <w:sz w:val="24"/>
          <w:szCs w:val="24"/>
          <w:shd w:val="clear" w:color="auto" w:fill="FFFFFF"/>
          <w:lang w:eastAsia="ar-SA"/>
        </w:rPr>
        <w:t xml:space="preserve">Vis dėlto pažymėtina, kad peticijoje pateiktas siūlymas nėra susijęs su minėtomis </w:t>
      </w:r>
      <w:r w:rsidRPr="002B4792">
        <w:rPr>
          <w:rFonts w:ascii="Times New Roman" w:hAnsi="Times New Roman"/>
          <w:sz w:val="24"/>
          <w:szCs w:val="24"/>
          <w:lang w:eastAsia="ar-SA"/>
        </w:rPr>
        <w:t>Direktyva 2006/123/EB</w:t>
      </w:r>
      <w:r w:rsidRPr="002B4792">
        <w:rPr>
          <w:rFonts w:ascii="Times New Roman" w:hAnsi="Times New Roman"/>
          <w:sz w:val="24"/>
          <w:szCs w:val="24"/>
          <w:vertAlign w:val="superscript"/>
          <w:lang w:eastAsia="ar-SA"/>
        </w:rPr>
        <w:footnoteReference w:id="10"/>
      </w:r>
      <w:r w:rsidRPr="002B4792">
        <w:rPr>
          <w:rFonts w:ascii="Times New Roman" w:hAnsi="Times New Roman"/>
          <w:sz w:val="24"/>
          <w:szCs w:val="24"/>
          <w:lang w:eastAsia="ar-SA"/>
        </w:rPr>
        <w:t xml:space="preserve"> ir Direktyva 2000/31/EB. </w:t>
      </w:r>
    </w:p>
    <w:p w:rsidR="002B4792" w:rsidRPr="002B4792" w:rsidRDefault="002B4792" w:rsidP="005849CC">
      <w:pPr>
        <w:suppressAutoHyphens/>
        <w:spacing w:line="360" w:lineRule="auto"/>
        <w:ind w:firstLine="851"/>
        <w:jc w:val="both"/>
        <w:rPr>
          <w:rFonts w:ascii="Times New Roman" w:hAnsi="Times New Roman"/>
          <w:sz w:val="24"/>
          <w:szCs w:val="24"/>
          <w:shd w:val="clear" w:color="auto" w:fill="FFFFFF"/>
          <w:lang w:eastAsia="ar-SA"/>
        </w:rPr>
      </w:pPr>
      <w:r w:rsidRPr="002B4792">
        <w:rPr>
          <w:rFonts w:ascii="Times New Roman" w:hAnsi="Times New Roman"/>
          <w:sz w:val="24"/>
          <w:szCs w:val="24"/>
          <w:shd w:val="clear" w:color="auto" w:fill="FFFFFF"/>
          <w:lang w:eastAsia="ar-SA"/>
        </w:rPr>
        <w:t xml:space="preserve">Todėl peticijoje pateiktas siūlymas ta apimtimi, kiek taikomas nuotolinės prekybos sutartims ir ne prekybai skirtose patalpose sudarytoms sutartims, neatitiktų </w:t>
      </w:r>
      <w:r w:rsidRPr="002B4792">
        <w:rPr>
          <w:rFonts w:ascii="Times New Roman" w:hAnsi="Times New Roman"/>
          <w:sz w:val="24"/>
          <w:szCs w:val="24"/>
          <w:lang w:eastAsia="ar-SA"/>
        </w:rPr>
        <w:t xml:space="preserve">Direktyvos </w:t>
      </w:r>
      <w:r w:rsidRPr="002B4792">
        <w:rPr>
          <w:rFonts w:ascii="Times New Roman" w:hAnsi="Times New Roman"/>
          <w:sz w:val="24"/>
          <w:szCs w:val="24"/>
          <w:shd w:val="clear" w:color="auto" w:fill="FFFFFF"/>
          <w:lang w:eastAsia="ar-SA"/>
        </w:rPr>
        <w:t xml:space="preserve">2011/83/ES nuostatų. </w:t>
      </w:r>
    </w:p>
    <w:p w:rsidR="002B4792" w:rsidRPr="002B4792" w:rsidRDefault="002B4792" w:rsidP="005849CC">
      <w:pPr>
        <w:suppressAutoHyphens/>
        <w:spacing w:line="360" w:lineRule="auto"/>
        <w:ind w:firstLine="851"/>
        <w:jc w:val="both"/>
        <w:rPr>
          <w:rFonts w:ascii="Times New Roman" w:hAnsi="Times New Roman"/>
          <w:sz w:val="24"/>
          <w:szCs w:val="24"/>
          <w:shd w:val="clear" w:color="auto" w:fill="FFFFFF"/>
          <w:lang w:eastAsia="ar-SA"/>
        </w:rPr>
      </w:pPr>
      <w:r w:rsidRPr="002B4792">
        <w:rPr>
          <w:rFonts w:ascii="Times New Roman" w:hAnsi="Times New Roman"/>
          <w:sz w:val="24"/>
          <w:szCs w:val="24"/>
          <w:shd w:val="clear" w:color="auto" w:fill="FFFFFF"/>
          <w:lang w:eastAsia="ar-SA"/>
        </w:rPr>
        <w:t xml:space="preserve">Jeigu papildomas informacijos pateikimo reikalavimas būtų taikomas tik kitoms sutartims nei nuotolinės sutartys ir </w:t>
      </w:r>
      <w:r w:rsidRPr="002B4792">
        <w:rPr>
          <w:rFonts w:ascii="Times New Roman" w:hAnsi="Times New Roman"/>
          <w:sz w:val="24"/>
          <w:szCs w:val="24"/>
          <w:lang w:eastAsia="ar-SA"/>
        </w:rPr>
        <w:t>ne prekybos patalpose sudaromos sutartys</w:t>
      </w:r>
      <w:r w:rsidRPr="002B4792">
        <w:rPr>
          <w:rFonts w:ascii="Times New Roman" w:hAnsi="Times New Roman"/>
          <w:sz w:val="24"/>
          <w:szCs w:val="24"/>
          <w:shd w:val="clear" w:color="auto" w:fill="FFFFFF"/>
          <w:lang w:eastAsia="ar-SA"/>
        </w:rPr>
        <w:t xml:space="preserve">, tuomet tokiu teisiniu reguliavimu būtų sudarytos nevienodos nuotolinės (internetinės) ir fizinės (tradicinės) mažmeninės prekybos sąlygos, vartotojams parduodant tas </w:t>
      </w:r>
      <w:r w:rsidRPr="002B4792">
        <w:rPr>
          <w:rFonts w:ascii="Times New Roman" w:hAnsi="Times New Roman"/>
          <w:color w:val="000000"/>
          <w:sz w:val="24"/>
          <w:szCs w:val="24"/>
          <w:lang w:eastAsia="ar-SA"/>
        </w:rPr>
        <w:t xml:space="preserve">pačias prekes </w:t>
      </w:r>
      <w:r w:rsidRPr="002B4792">
        <w:rPr>
          <w:rFonts w:ascii="Times New Roman" w:hAnsi="Times New Roman"/>
          <w:sz w:val="24"/>
          <w:szCs w:val="24"/>
          <w:shd w:val="clear" w:color="auto" w:fill="FFFFFF"/>
          <w:lang w:eastAsia="ar-SA"/>
        </w:rPr>
        <w:t>dėl taikomų skirtingų vartotojų informavimo (prekių ženklinimo) reikalavimų.</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color w:val="000000"/>
          <w:sz w:val="24"/>
          <w:szCs w:val="24"/>
          <w:shd w:val="clear" w:color="auto" w:fill="FFFFFF"/>
          <w:lang w:eastAsia="ar-SA"/>
        </w:rPr>
        <w:t xml:space="preserve">Be to, kaip minėta, </w:t>
      </w:r>
      <w:r w:rsidRPr="002B4792">
        <w:rPr>
          <w:rFonts w:ascii="Times New Roman" w:hAnsi="Times New Roman"/>
          <w:sz w:val="24"/>
          <w:szCs w:val="24"/>
          <w:lang w:eastAsia="ar-SA"/>
        </w:rPr>
        <w:t>peticijoje pateiktame siūlyme vartojamos sąvokos „nauda iš sandorio“ (apimant ir tiesioginę, ir netiesioginę naudą) ir „tiesiogiai ar netiesiogiai vykdantis veiklą valstybėse [...]“ nėra apibrėžtos ir yra vertinamojo pobūdžio, todėl neatitinka Teisėkūros pagrindų įstatymo 3 straipsnyje apibrėžto teisėkūros aiškumo principo.</w:t>
      </w:r>
    </w:p>
    <w:p w:rsidR="002B4792" w:rsidRPr="002B4792" w:rsidRDefault="00A30FF8" w:rsidP="005849CC">
      <w:pPr>
        <w:suppressAutoHyphens/>
        <w:spacing w:line="360" w:lineRule="auto"/>
        <w:ind w:firstLine="851"/>
        <w:jc w:val="both"/>
        <w:rPr>
          <w:rFonts w:ascii="Times New Roman" w:hAnsi="Times New Roman"/>
          <w:sz w:val="24"/>
          <w:szCs w:val="24"/>
          <w:lang w:eastAsia="ar-SA"/>
        </w:rPr>
      </w:pPr>
      <w:r>
        <w:rPr>
          <w:rFonts w:ascii="Times New Roman" w:hAnsi="Times New Roman"/>
          <w:sz w:val="24"/>
          <w:szCs w:val="24"/>
          <w:lang w:eastAsia="ar-SA"/>
        </w:rPr>
        <w:t>Teisingumo ministerija</w:t>
      </w:r>
      <w:r w:rsidR="002B4792" w:rsidRPr="002B4792">
        <w:rPr>
          <w:rFonts w:ascii="Times New Roman" w:hAnsi="Times New Roman"/>
          <w:sz w:val="24"/>
          <w:szCs w:val="24"/>
          <w:lang w:eastAsia="ar-SA"/>
        </w:rPr>
        <w:t xml:space="preserve"> pabrėž</w:t>
      </w:r>
      <w:r>
        <w:rPr>
          <w:rFonts w:ascii="Times New Roman" w:hAnsi="Times New Roman"/>
          <w:sz w:val="24"/>
          <w:szCs w:val="24"/>
          <w:lang w:eastAsia="ar-SA"/>
        </w:rPr>
        <w:t>ia</w:t>
      </w:r>
      <w:r w:rsidR="002B4792" w:rsidRPr="002B4792">
        <w:rPr>
          <w:rFonts w:ascii="Times New Roman" w:hAnsi="Times New Roman"/>
          <w:sz w:val="24"/>
          <w:szCs w:val="24"/>
          <w:lang w:eastAsia="ar-SA"/>
        </w:rPr>
        <w:t>, kad Lietuvos Respublikos tarptautinių sankcijų įstatymas nustato tarptautinių sankcijų ir ribojamųjų priemonių įgyvendinimo ir užtikrinimo teisinį režimą, taip pat draudimą sudaryti sandorius ir prisiimti naujas prievoles, kurių vykdymas prieštarauja Lietuvos Respublikoje įgyvendinamoms tarptautinėms sankcijoms. Be to, draudžiama tarptautinių sankcijų įgyvendinimo laikotarpiu vykdyti sandorius ir prievoles, kurių vykdymas prieštarauja tarptautinėms sankcijoms</w:t>
      </w:r>
      <w:r w:rsidR="002B4792" w:rsidRPr="002B4792">
        <w:rPr>
          <w:rFonts w:ascii="Times New Roman" w:hAnsi="Times New Roman"/>
          <w:sz w:val="24"/>
          <w:szCs w:val="24"/>
          <w:vertAlign w:val="superscript"/>
          <w:lang w:eastAsia="ar-SA"/>
        </w:rPr>
        <w:footnoteReference w:id="11"/>
      </w:r>
      <w:r w:rsidR="002B4792" w:rsidRPr="002B4792">
        <w:rPr>
          <w:rFonts w:ascii="Times New Roman" w:hAnsi="Times New Roman"/>
          <w:sz w:val="24"/>
          <w:szCs w:val="24"/>
          <w:lang w:eastAsia="ar-SA"/>
        </w:rPr>
        <w:t xml:space="preserve">. </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Dėl užsienio valstybių vykdomos karinės agresijos prieš Ukrainą taikomi nacionaliniai apribojimai ir įpareigojimai kaip ribojamosios priemonės nustatyti Lietuvos Respublikos ribojamųjų priemonių dėl karinės agresijos prieš Ukrainą nustatymo įstatyme.</w:t>
      </w:r>
    </w:p>
    <w:p w:rsidR="002B4792" w:rsidRPr="002B4792" w:rsidRDefault="002B4792" w:rsidP="005849CC">
      <w:pPr>
        <w:suppressAutoHyphens/>
        <w:spacing w:line="360" w:lineRule="auto"/>
        <w:ind w:firstLine="851"/>
        <w:jc w:val="both"/>
        <w:rPr>
          <w:rFonts w:ascii="Times New Roman" w:hAnsi="Times New Roman"/>
          <w:sz w:val="24"/>
          <w:szCs w:val="24"/>
          <w:lang w:eastAsia="ar-SA"/>
        </w:rPr>
      </w:pPr>
      <w:r w:rsidRPr="002B4792">
        <w:rPr>
          <w:rFonts w:ascii="Times New Roman" w:hAnsi="Times New Roman"/>
          <w:sz w:val="24"/>
          <w:szCs w:val="24"/>
          <w:lang w:eastAsia="ar-SA"/>
        </w:rPr>
        <w:t>Už tarptautinių sankcijų ir ribojamųjų priemonių pažeidimus fiziniams ir juridiniams asmenims nustatyta atsakomybė, taikomos poveikio priemonės</w:t>
      </w:r>
      <w:r w:rsidRPr="002B4792">
        <w:rPr>
          <w:rFonts w:ascii="Times New Roman" w:hAnsi="Times New Roman"/>
          <w:sz w:val="24"/>
          <w:szCs w:val="24"/>
          <w:vertAlign w:val="superscript"/>
          <w:lang w:eastAsia="ar-SA"/>
        </w:rPr>
        <w:footnoteReference w:id="12"/>
      </w:r>
      <w:r w:rsidRPr="002B4792">
        <w:rPr>
          <w:rFonts w:ascii="Times New Roman" w:hAnsi="Times New Roman"/>
          <w:sz w:val="24"/>
          <w:szCs w:val="24"/>
          <w:lang w:eastAsia="ar-SA"/>
        </w:rPr>
        <w:t xml:space="preserve">. Tarptautinių sankcijų įstatyme nustatytos kompetentingos institucijos </w:t>
      </w:r>
      <w:r w:rsidR="000F50D1">
        <w:rPr>
          <w:rFonts w:ascii="Times New Roman" w:hAnsi="Times New Roman"/>
          <w:sz w:val="24"/>
          <w:szCs w:val="24"/>
          <w:lang w:eastAsia="ar-SA"/>
        </w:rPr>
        <w:t xml:space="preserve">privalo </w:t>
      </w:r>
      <w:r w:rsidRPr="002B4792">
        <w:rPr>
          <w:rFonts w:ascii="Times New Roman" w:hAnsi="Times New Roman"/>
          <w:sz w:val="24"/>
          <w:szCs w:val="24"/>
          <w:lang w:eastAsia="ar-SA"/>
        </w:rPr>
        <w:t>užtikrint</w:t>
      </w:r>
      <w:r w:rsidR="000F50D1">
        <w:rPr>
          <w:rFonts w:ascii="Times New Roman" w:hAnsi="Times New Roman"/>
          <w:sz w:val="24"/>
          <w:szCs w:val="24"/>
          <w:lang w:eastAsia="ar-SA"/>
        </w:rPr>
        <w:t>i</w:t>
      </w:r>
      <w:r w:rsidRPr="002B4792">
        <w:rPr>
          <w:rFonts w:ascii="Times New Roman" w:hAnsi="Times New Roman"/>
          <w:sz w:val="24"/>
          <w:szCs w:val="24"/>
          <w:lang w:eastAsia="ar-SA"/>
        </w:rPr>
        <w:t xml:space="preserve"> nustatytų tarptautinių sankcijų ir ribojamųjų priemonių veiksmingą įgyvendinimą bei prireikus poveikio priemonių taikymą. </w:t>
      </w:r>
    </w:p>
    <w:p w:rsidR="00B9387D" w:rsidRPr="00E33292" w:rsidRDefault="00B9387D" w:rsidP="005849CC">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E33292">
        <w:rPr>
          <w:rFonts w:ascii="Times New Roman" w:hAnsi="Times New Roman"/>
          <w:color w:val="000000" w:themeColor="text1"/>
          <w:sz w:val="24"/>
          <w:szCs w:val="24"/>
          <w:lang w:eastAsia="ar-SA"/>
        </w:rPr>
        <w:t xml:space="preserve">Vadovaujantis Lietuvos Respublikos peticijų įstatymo 12 straipsnio 3 dalimi, Seimo Peticijų komisijos išvada dėl </w:t>
      </w:r>
      <w:r w:rsidR="007F6453">
        <w:rPr>
          <w:rFonts w:ascii="Times New Roman" w:hAnsi="Times New Roman"/>
          <w:color w:val="000000" w:themeColor="text1"/>
          <w:sz w:val="24"/>
          <w:szCs w:val="24"/>
          <w:lang w:eastAsia="ar-SA"/>
        </w:rPr>
        <w:t xml:space="preserve">M. </w:t>
      </w:r>
      <w:proofErr w:type="spellStart"/>
      <w:r w:rsidR="007F6453">
        <w:rPr>
          <w:rFonts w:ascii="Times New Roman" w:hAnsi="Times New Roman"/>
          <w:color w:val="000000" w:themeColor="text1"/>
          <w:sz w:val="24"/>
          <w:szCs w:val="24"/>
          <w:lang w:eastAsia="ar-SA"/>
        </w:rPr>
        <w:t>Gedeikio</w:t>
      </w:r>
      <w:proofErr w:type="spellEnd"/>
      <w:r w:rsidRPr="00B9387D">
        <w:rPr>
          <w:rFonts w:ascii="Times New Roman" w:hAnsi="Times New Roman"/>
          <w:color w:val="000000" w:themeColor="text1"/>
          <w:sz w:val="24"/>
          <w:szCs w:val="24"/>
          <w:lang w:eastAsia="ar-SA"/>
        </w:rPr>
        <w:t xml:space="preserve"> </w:t>
      </w:r>
      <w:r w:rsidRPr="00E33292">
        <w:rPr>
          <w:rFonts w:ascii="Times New Roman" w:hAnsi="Times New Roman"/>
          <w:color w:val="000000" w:themeColor="text1"/>
          <w:sz w:val="24"/>
          <w:szCs w:val="24"/>
          <w:lang w:eastAsia="ar-SA"/>
        </w:rPr>
        <w:t>peticijoje pateikt</w:t>
      </w:r>
      <w:r w:rsidR="007F6453">
        <w:rPr>
          <w:rFonts w:ascii="Times New Roman" w:hAnsi="Times New Roman"/>
          <w:color w:val="000000" w:themeColor="text1"/>
          <w:sz w:val="24"/>
          <w:szCs w:val="24"/>
          <w:lang w:eastAsia="ar-SA"/>
        </w:rPr>
        <w:t>ų</w:t>
      </w:r>
      <w:r w:rsidRPr="00E33292">
        <w:rPr>
          <w:rFonts w:ascii="Times New Roman" w:hAnsi="Times New Roman"/>
          <w:color w:val="000000" w:themeColor="text1"/>
          <w:sz w:val="24"/>
          <w:szCs w:val="24"/>
          <w:lang w:eastAsia="ar-SA"/>
        </w:rPr>
        <w:t xml:space="preserve"> pasiūlym</w:t>
      </w:r>
      <w:r w:rsidR="007F6453">
        <w:rPr>
          <w:rFonts w:ascii="Times New Roman" w:hAnsi="Times New Roman"/>
          <w:color w:val="000000" w:themeColor="text1"/>
          <w:sz w:val="24"/>
          <w:szCs w:val="24"/>
          <w:lang w:eastAsia="ar-SA"/>
        </w:rPr>
        <w:t>ų</w:t>
      </w:r>
      <w:r w:rsidRPr="00E33292">
        <w:rPr>
          <w:rFonts w:ascii="Times New Roman" w:hAnsi="Times New Roman"/>
          <w:color w:val="000000" w:themeColor="text1"/>
          <w:sz w:val="24"/>
          <w:szCs w:val="24"/>
          <w:lang w:eastAsia="ar-SA"/>
        </w:rPr>
        <w:t xml:space="preserve"> atmetimo teikiama Seimui, taip pat siūloma įtraukti į Seimo </w:t>
      </w:r>
      <w:r>
        <w:rPr>
          <w:rFonts w:ascii="Times New Roman" w:hAnsi="Times New Roman"/>
          <w:color w:val="000000" w:themeColor="text1"/>
          <w:sz w:val="24"/>
          <w:szCs w:val="24"/>
          <w:lang w:eastAsia="ar-SA"/>
        </w:rPr>
        <w:t>rudens</w:t>
      </w:r>
      <w:r w:rsidRPr="001D0926">
        <w:rPr>
          <w:rFonts w:ascii="Times New Roman" w:hAnsi="Times New Roman"/>
          <w:color w:val="000000" w:themeColor="text1"/>
          <w:sz w:val="24"/>
          <w:szCs w:val="24"/>
          <w:lang w:eastAsia="ar-SA"/>
        </w:rPr>
        <w:t xml:space="preserve"> (VI</w:t>
      </w:r>
      <w:r>
        <w:rPr>
          <w:rFonts w:ascii="Times New Roman" w:hAnsi="Times New Roman"/>
          <w:color w:val="000000" w:themeColor="text1"/>
          <w:sz w:val="24"/>
          <w:szCs w:val="24"/>
          <w:lang w:eastAsia="ar-SA"/>
        </w:rPr>
        <w:t>I</w:t>
      </w:r>
      <w:r w:rsidRPr="001D0926">
        <w:rPr>
          <w:rFonts w:ascii="Times New Roman" w:hAnsi="Times New Roman"/>
          <w:color w:val="000000" w:themeColor="text1"/>
          <w:sz w:val="24"/>
          <w:szCs w:val="24"/>
          <w:lang w:eastAsia="ar-SA"/>
        </w:rPr>
        <w:t>)</w:t>
      </w:r>
      <w:r w:rsidRPr="00E33292">
        <w:rPr>
          <w:rFonts w:ascii="Times New Roman" w:hAnsi="Times New Roman"/>
          <w:color w:val="000000" w:themeColor="text1"/>
          <w:sz w:val="24"/>
          <w:szCs w:val="24"/>
          <w:lang w:eastAsia="ar-SA"/>
        </w:rPr>
        <w:t xml:space="preserve"> sesijos darbotvarkę Seimo nutarimo „Dėl Lietuvos Respublikos Seimo Peticijų komisijos išvados dėl </w:t>
      </w:r>
      <w:r w:rsidR="007F6453">
        <w:rPr>
          <w:rFonts w:ascii="Times New Roman" w:hAnsi="Times New Roman"/>
          <w:color w:val="000000" w:themeColor="text1"/>
          <w:sz w:val="24"/>
          <w:szCs w:val="24"/>
          <w:lang w:eastAsia="ar-SA"/>
        </w:rPr>
        <w:t xml:space="preserve">Mindaugo </w:t>
      </w:r>
      <w:proofErr w:type="spellStart"/>
      <w:r w:rsidR="007F6453">
        <w:rPr>
          <w:rFonts w:ascii="Times New Roman" w:hAnsi="Times New Roman"/>
          <w:color w:val="000000" w:themeColor="text1"/>
          <w:sz w:val="24"/>
          <w:szCs w:val="24"/>
          <w:lang w:eastAsia="ar-SA"/>
        </w:rPr>
        <w:t>Gedeikio</w:t>
      </w:r>
      <w:proofErr w:type="spellEnd"/>
      <w:r w:rsidRPr="00B9387D">
        <w:rPr>
          <w:rFonts w:ascii="Times New Roman" w:hAnsi="Times New Roman"/>
          <w:color w:val="000000" w:themeColor="text1"/>
          <w:sz w:val="24"/>
          <w:szCs w:val="24"/>
          <w:lang w:eastAsia="ar-SA"/>
        </w:rPr>
        <w:t xml:space="preserve"> </w:t>
      </w:r>
      <w:r w:rsidRPr="00E33292">
        <w:rPr>
          <w:rFonts w:ascii="Times New Roman" w:hAnsi="Times New Roman"/>
          <w:color w:val="000000" w:themeColor="text1"/>
          <w:sz w:val="24"/>
          <w:szCs w:val="24"/>
          <w:lang w:eastAsia="ar-SA"/>
        </w:rPr>
        <w:t>peticijos“ projektą.</w:t>
      </w:r>
    </w:p>
    <w:p w:rsidR="0048328A" w:rsidRDefault="0048328A" w:rsidP="005849CC">
      <w:pPr>
        <w:pStyle w:val="Betarp"/>
        <w:tabs>
          <w:tab w:val="left" w:pos="1134"/>
        </w:tabs>
        <w:spacing w:line="360" w:lineRule="auto"/>
        <w:ind w:firstLine="851"/>
        <w:jc w:val="both"/>
        <w:rPr>
          <w:rFonts w:ascii="Times New Roman" w:hAnsi="Times New Roman"/>
          <w:sz w:val="24"/>
          <w:szCs w:val="24"/>
          <w:lang w:eastAsia="ar-SA"/>
        </w:rPr>
      </w:pPr>
    </w:p>
    <w:p w:rsidR="009F0E0F" w:rsidRDefault="009F0E0F"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t>E</w:t>
      </w:r>
      <w:r w:rsidR="005263DF">
        <w:rPr>
          <w:rFonts w:ascii="Times New Roman" w:hAnsi="Times New Roman"/>
          <w:sz w:val="24"/>
          <w:szCs w:val="24"/>
          <w:lang w:eastAsia="ar-SA"/>
        </w:rPr>
        <w:t>dmundas Pupinis</w:t>
      </w:r>
    </w:p>
    <w:p w:rsidR="00DA38BD" w:rsidRDefault="00DA38BD" w:rsidP="00883671">
      <w:pPr>
        <w:pStyle w:val="Betarp"/>
        <w:tabs>
          <w:tab w:val="left" w:pos="1134"/>
        </w:tabs>
        <w:spacing w:line="360" w:lineRule="auto"/>
        <w:jc w:val="both"/>
        <w:rPr>
          <w:rFonts w:ascii="Times New Roman" w:hAnsi="Times New Roman"/>
          <w:sz w:val="24"/>
          <w:szCs w:val="24"/>
          <w:lang w:eastAsia="ar-SA"/>
        </w:rPr>
      </w:pPr>
    </w:p>
    <w:p w:rsidR="002E6D8A" w:rsidRDefault="002E6D8A" w:rsidP="00883671">
      <w:pPr>
        <w:pStyle w:val="Betarp"/>
        <w:tabs>
          <w:tab w:val="left" w:pos="1134"/>
        </w:tabs>
        <w:spacing w:line="360" w:lineRule="auto"/>
        <w:jc w:val="both"/>
        <w:rPr>
          <w:rFonts w:ascii="Times New Roman" w:hAnsi="Times New Roman"/>
          <w:sz w:val="24"/>
          <w:szCs w:val="24"/>
          <w:lang w:eastAsia="ar-SA"/>
        </w:rPr>
      </w:pPr>
    </w:p>
    <w:p w:rsidR="00BB3866" w:rsidRDefault="00BB3866" w:rsidP="00883671">
      <w:pPr>
        <w:pStyle w:val="Betarp"/>
        <w:tabs>
          <w:tab w:val="left" w:pos="1134"/>
        </w:tabs>
        <w:spacing w:line="360" w:lineRule="auto"/>
        <w:jc w:val="both"/>
        <w:rPr>
          <w:rFonts w:ascii="Times New Roman" w:hAnsi="Times New Roman"/>
          <w:sz w:val="24"/>
          <w:szCs w:val="24"/>
          <w:lang w:eastAsia="ar-SA"/>
        </w:rPr>
      </w:pPr>
    </w:p>
    <w:p w:rsidR="00CA423F" w:rsidRDefault="00CA423F"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p>
    <w:p w:rsidR="003F18F6" w:rsidRDefault="003F18F6" w:rsidP="00883671">
      <w:pPr>
        <w:pStyle w:val="Betarp"/>
        <w:tabs>
          <w:tab w:val="left" w:pos="1134"/>
        </w:tabs>
        <w:spacing w:line="360" w:lineRule="auto"/>
        <w:jc w:val="both"/>
        <w:rPr>
          <w:rFonts w:ascii="Times New Roman" w:hAnsi="Times New Roman"/>
          <w:sz w:val="24"/>
          <w:szCs w:val="24"/>
          <w:lang w:eastAsia="ar-SA"/>
        </w:rPr>
      </w:pPr>
      <w:bookmarkStart w:id="0" w:name="_GoBack"/>
      <w:bookmarkEnd w:id="0"/>
    </w:p>
    <w:p w:rsidR="003F5F33" w:rsidRDefault="00E466E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4624A4">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 w:id="1">
    <w:p w:rsidR="002B4792" w:rsidRPr="002B4792" w:rsidRDefault="002B4792" w:rsidP="002B4792">
      <w:pPr>
        <w:pStyle w:val="Puslapioinaostekstas"/>
        <w:jc w:val="both"/>
        <w:rPr>
          <w:lang w:val="lt-LT"/>
        </w:rPr>
      </w:pPr>
      <w:r>
        <w:rPr>
          <w:rStyle w:val="Puslapioinaosnuoroda"/>
        </w:rPr>
        <w:footnoteRef/>
      </w:r>
      <w:r>
        <w:t xml:space="preserve"> </w:t>
      </w:r>
      <w:r w:rsidRPr="002B4792">
        <w:rPr>
          <w:color w:val="000000"/>
          <w:shd w:val="clear" w:color="auto" w:fill="FFFFFF"/>
          <w:lang w:val="lt-LT"/>
        </w:rPr>
        <w:t>2005 m. gegužės 11 d. Europos Parlamento ir Tarybos direktyva 2005/29/EB dėl nesąžiningos įmonių komercinės veiklos vartotojų atžvilgiu vidaus rinkoje ir iš dalies keičianti Tarybos direktyvą 84/450/EEB, Europos Parlamento ir Tarybos direktyvas 97/7/EB, 98/27/EB bei 2002/65/EB ir Europos Parlamento ir Tarybos reglamentą (EB) Nr. 2006/2004.</w:t>
      </w:r>
    </w:p>
  </w:footnote>
  <w:footnote w:id="2">
    <w:p w:rsidR="002B4792" w:rsidRPr="002B4792" w:rsidRDefault="002B4792" w:rsidP="002B4792">
      <w:pPr>
        <w:pStyle w:val="Puslapioinaostekstas"/>
        <w:jc w:val="both"/>
        <w:rPr>
          <w:lang w:val="lt-LT"/>
        </w:rPr>
      </w:pPr>
      <w:r w:rsidRPr="002B4792">
        <w:rPr>
          <w:rStyle w:val="Puslapioinaosnuoroda"/>
          <w:lang w:val="lt-LT"/>
        </w:rPr>
        <w:footnoteRef/>
      </w:r>
      <w:r w:rsidRPr="002B4792">
        <w:rPr>
          <w:lang w:val="lt-LT"/>
        </w:rPr>
        <w:t xml:space="preserve"> Žr. Nesąžiningos komercinės veiklos direktyvos preambulės 6 punktą.</w:t>
      </w:r>
    </w:p>
  </w:footnote>
  <w:footnote w:id="3">
    <w:p w:rsidR="002B4792" w:rsidRPr="002B4792" w:rsidRDefault="002B4792" w:rsidP="002B4792">
      <w:pPr>
        <w:pStyle w:val="Puslapioinaostekstas"/>
        <w:rPr>
          <w:lang w:val="lt-LT"/>
        </w:rPr>
      </w:pPr>
      <w:r w:rsidRPr="002B4792">
        <w:rPr>
          <w:rStyle w:val="Puslapioinaosnuoroda"/>
          <w:lang w:val="lt-LT"/>
        </w:rPr>
        <w:footnoteRef/>
      </w:r>
      <w:r w:rsidRPr="002B4792">
        <w:rPr>
          <w:lang w:val="lt-LT"/>
        </w:rPr>
        <w:t xml:space="preserve"> Žr. Nesąžiningos komercinės veiklos direktyvos 3 straipsnio 5 dalį.</w:t>
      </w:r>
    </w:p>
  </w:footnote>
  <w:footnote w:id="4">
    <w:p w:rsidR="002B4792" w:rsidRPr="002B4792" w:rsidRDefault="002B4792" w:rsidP="002B4792">
      <w:pPr>
        <w:pStyle w:val="Puslapioinaostekstas"/>
        <w:rPr>
          <w:lang w:val="lt-LT"/>
        </w:rPr>
      </w:pPr>
      <w:r w:rsidRPr="00C14A1D">
        <w:rPr>
          <w:rStyle w:val="Puslapioinaosnuoroda"/>
        </w:rPr>
        <w:footnoteRef/>
      </w:r>
      <w:r w:rsidRPr="00C14A1D">
        <w:t xml:space="preserve"> </w:t>
      </w:r>
      <w:r w:rsidRPr="002B4792">
        <w:rPr>
          <w:lang w:val="lt-LT"/>
        </w:rPr>
        <w:t>Žr. ESTT sprendimo s</w:t>
      </w:r>
      <w:r w:rsidRPr="002B4792">
        <w:rPr>
          <w:color w:val="000000"/>
          <w:lang w:val="lt-LT"/>
        </w:rPr>
        <w:t>ujungtose bylose C</w:t>
      </w:r>
      <w:r w:rsidRPr="002B4792">
        <w:rPr>
          <w:color w:val="000000"/>
          <w:lang w:val="lt-LT"/>
        </w:rPr>
        <w:noBreakHyphen/>
        <w:t>261/07 ir C</w:t>
      </w:r>
      <w:r w:rsidRPr="002B4792">
        <w:rPr>
          <w:color w:val="000000"/>
          <w:lang w:val="lt-LT"/>
        </w:rPr>
        <w:noBreakHyphen/>
        <w:t>299/07 52 punktą, sprendimo byloje C</w:t>
      </w:r>
      <w:r w:rsidRPr="002B4792">
        <w:rPr>
          <w:color w:val="000000"/>
          <w:lang w:val="lt-LT"/>
        </w:rPr>
        <w:noBreakHyphen/>
        <w:t>421/12 55 punktą.</w:t>
      </w:r>
    </w:p>
  </w:footnote>
  <w:footnote w:id="5">
    <w:p w:rsidR="002B4792" w:rsidRPr="002B4792" w:rsidRDefault="002B4792" w:rsidP="002B4792">
      <w:pPr>
        <w:pStyle w:val="Puslapioinaostekstas"/>
        <w:rPr>
          <w:lang w:val="lt-LT"/>
        </w:rPr>
      </w:pPr>
      <w:r w:rsidRPr="002B4792">
        <w:rPr>
          <w:rStyle w:val="Puslapioinaosnuoroda"/>
          <w:lang w:val="lt-LT"/>
        </w:rPr>
        <w:footnoteRef/>
      </w:r>
      <w:r w:rsidRPr="002B4792">
        <w:rPr>
          <w:lang w:val="lt-LT"/>
        </w:rPr>
        <w:t xml:space="preserve"> Šio straipsnio nuostatos įgyvendina Direktyvos </w:t>
      </w:r>
      <w:r w:rsidRPr="002B4792">
        <w:rPr>
          <w:shd w:val="clear" w:color="auto" w:fill="FFFFFF"/>
          <w:lang w:val="lt-LT"/>
        </w:rPr>
        <w:t>2005/29/EB</w:t>
      </w:r>
      <w:r w:rsidRPr="002B4792">
        <w:rPr>
          <w:lang w:val="lt-LT"/>
        </w:rPr>
        <w:t xml:space="preserve"> 6 straipsnio nuostatas. </w:t>
      </w:r>
    </w:p>
  </w:footnote>
  <w:footnote w:id="6">
    <w:p w:rsidR="002B4792" w:rsidRPr="002B4792" w:rsidRDefault="002B4792" w:rsidP="002B4792">
      <w:pPr>
        <w:pStyle w:val="Puslapioinaostekstas"/>
        <w:rPr>
          <w:lang w:val="lt-LT"/>
        </w:rPr>
      </w:pPr>
      <w:r w:rsidRPr="002B4792">
        <w:rPr>
          <w:rStyle w:val="Puslapioinaosnuoroda"/>
          <w:lang w:val="lt-LT"/>
        </w:rPr>
        <w:footnoteRef/>
      </w:r>
      <w:r w:rsidRPr="002B4792">
        <w:rPr>
          <w:lang w:val="lt-LT"/>
        </w:rPr>
        <w:t xml:space="preserve"> Šio straipsnio nuostatos įgyvendina Direktyvos </w:t>
      </w:r>
      <w:r w:rsidRPr="002B4792">
        <w:rPr>
          <w:shd w:val="clear" w:color="auto" w:fill="FFFFFF"/>
          <w:lang w:val="lt-LT"/>
        </w:rPr>
        <w:t>2005/29/EB</w:t>
      </w:r>
      <w:r w:rsidRPr="002B4792">
        <w:rPr>
          <w:lang w:val="lt-LT"/>
        </w:rPr>
        <w:t xml:space="preserve"> 7 straipsnio nuostatas.</w:t>
      </w:r>
    </w:p>
  </w:footnote>
  <w:footnote w:id="7">
    <w:p w:rsidR="002B4792" w:rsidRPr="002B4792" w:rsidRDefault="002B4792" w:rsidP="002B4792">
      <w:pPr>
        <w:pStyle w:val="Puslapioinaostekstas"/>
        <w:jc w:val="both"/>
        <w:rPr>
          <w:lang w:val="lt-LT"/>
        </w:rPr>
      </w:pPr>
      <w:r w:rsidRPr="002B4792">
        <w:rPr>
          <w:rStyle w:val="Puslapioinaosnuoroda"/>
          <w:lang w:val="lt-LT"/>
        </w:rPr>
        <w:footnoteRef/>
      </w:r>
      <w:r w:rsidRPr="002B4792">
        <w:rPr>
          <w:lang w:val="lt-LT"/>
        </w:rPr>
        <w:t xml:space="preserve"> </w:t>
      </w:r>
      <w:r w:rsidRPr="002B4792">
        <w:rPr>
          <w:shd w:val="clear" w:color="auto" w:fill="FFFFFF"/>
          <w:lang w:val="lt-LT"/>
        </w:rPr>
        <w:t>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w:t>
      </w:r>
    </w:p>
  </w:footnote>
  <w:footnote w:id="8">
    <w:p w:rsidR="002B4792" w:rsidRPr="002B4792" w:rsidRDefault="002B4792" w:rsidP="002B4792">
      <w:pPr>
        <w:pStyle w:val="Puslapioinaostekstas"/>
        <w:jc w:val="both"/>
        <w:rPr>
          <w:lang w:val="lt-LT"/>
        </w:rPr>
      </w:pPr>
      <w:r w:rsidRPr="002B4792">
        <w:rPr>
          <w:rStyle w:val="Puslapioinaosnuoroda"/>
          <w:lang w:val="lt-LT"/>
        </w:rPr>
        <w:footnoteRef/>
      </w:r>
      <w:r w:rsidRPr="002B4792">
        <w:rPr>
          <w:lang w:val="lt-LT"/>
        </w:rPr>
        <w:t xml:space="preserve"> Žr. Direktyvos 2011/83/ES preambulės 4, 5, 9 punktus ir 4 straipsnį. </w:t>
      </w:r>
    </w:p>
  </w:footnote>
  <w:footnote w:id="9">
    <w:p w:rsidR="002B4792" w:rsidRPr="002B4792" w:rsidRDefault="002B4792" w:rsidP="002B4792">
      <w:pPr>
        <w:pStyle w:val="Puslapioinaostekstas"/>
        <w:jc w:val="both"/>
        <w:rPr>
          <w:lang w:val="lt-LT"/>
        </w:rPr>
      </w:pPr>
      <w:r w:rsidRPr="002B4792">
        <w:rPr>
          <w:rStyle w:val="Puslapioinaosnuoroda"/>
          <w:lang w:val="lt-LT"/>
        </w:rPr>
        <w:footnoteRef/>
      </w:r>
      <w:r w:rsidRPr="002B4792">
        <w:rPr>
          <w:lang w:val="lt-LT"/>
        </w:rPr>
        <w:t xml:space="preserve"> </w:t>
      </w:r>
      <w:r w:rsidRPr="002B4792">
        <w:rPr>
          <w:shd w:val="clear" w:color="auto" w:fill="FFFFFF"/>
          <w:lang w:val="lt-LT"/>
        </w:rPr>
        <w:t>2000 m. birželio 8 d. Europos Parlamento ir Tarybos Direktyva 2000/31/EB dėl kai kurių informacinės visuomenės paslaugų, ypač elektroninės komercijos, teisinių aspektų vidaus rinkoje (Elektroninės komercijos Direktyva)</w:t>
      </w:r>
    </w:p>
  </w:footnote>
  <w:footnote w:id="10">
    <w:p w:rsidR="002B4792" w:rsidRPr="002B4792" w:rsidRDefault="002B4792" w:rsidP="002B4792">
      <w:pPr>
        <w:pStyle w:val="Puslapioinaostekstas"/>
        <w:jc w:val="both"/>
        <w:rPr>
          <w:lang w:val="lt-LT"/>
        </w:rPr>
      </w:pPr>
      <w:r w:rsidRPr="002B4792">
        <w:rPr>
          <w:rStyle w:val="Puslapioinaosnuoroda"/>
          <w:lang w:val="lt-LT"/>
        </w:rPr>
        <w:footnoteRef/>
      </w:r>
      <w:r w:rsidRPr="002B4792">
        <w:rPr>
          <w:lang w:val="lt-LT"/>
        </w:rPr>
        <w:t xml:space="preserve"> </w:t>
      </w:r>
      <w:r w:rsidRPr="002B4792">
        <w:rPr>
          <w:shd w:val="clear" w:color="auto" w:fill="FFFFFF"/>
          <w:lang w:val="lt-LT"/>
        </w:rPr>
        <w:t xml:space="preserve">2006 m. gruodžio 12 d. Europos Parlamento ir Tarybos direktyva 2006/123/EB dėl paslaugų vidaus rinkoje. </w:t>
      </w:r>
    </w:p>
  </w:footnote>
  <w:footnote w:id="11">
    <w:p w:rsidR="002B4792" w:rsidRPr="005849CC" w:rsidRDefault="002B4792" w:rsidP="002B4792">
      <w:pPr>
        <w:pStyle w:val="Puslapioinaostekstas"/>
        <w:rPr>
          <w:lang w:val="lt-LT"/>
        </w:rPr>
      </w:pPr>
      <w:r w:rsidRPr="005849CC">
        <w:rPr>
          <w:rStyle w:val="Puslapioinaosnuoroda"/>
          <w:lang w:val="lt-LT"/>
        </w:rPr>
        <w:footnoteRef/>
      </w:r>
      <w:r w:rsidRPr="005849CC">
        <w:rPr>
          <w:lang w:val="lt-LT"/>
        </w:rPr>
        <w:t xml:space="preserve"> Žr. Tarptautinių sankcijų įstatymo 7 straipsnio 1 ir 2 dalis.</w:t>
      </w:r>
    </w:p>
  </w:footnote>
  <w:footnote w:id="12">
    <w:p w:rsidR="002B4792" w:rsidRPr="000F50D1" w:rsidRDefault="002B4792" w:rsidP="002B4792">
      <w:pPr>
        <w:pStyle w:val="Puslapioinaostekstas"/>
        <w:rPr>
          <w:lang w:val="lt-LT"/>
        </w:rPr>
      </w:pPr>
      <w:r w:rsidRPr="000F50D1">
        <w:rPr>
          <w:rStyle w:val="Puslapioinaosnuoroda"/>
          <w:lang w:val="lt-LT"/>
        </w:rPr>
        <w:footnoteRef/>
      </w:r>
      <w:r w:rsidRPr="000F50D1">
        <w:rPr>
          <w:lang w:val="lt-LT"/>
        </w:rPr>
        <w:t xml:space="preserve"> Žr. Tarptautinių sankcijų įstatymo 6</w:t>
      </w:r>
      <w:r w:rsidRPr="000F50D1">
        <w:rPr>
          <w:vertAlign w:val="superscript"/>
          <w:lang w:val="lt-LT"/>
        </w:rPr>
        <w:t>2</w:t>
      </w:r>
      <w:r w:rsidRPr="000F50D1">
        <w:rPr>
          <w:lang w:val="lt-LT"/>
        </w:rPr>
        <w:t xml:space="preserve"> ir</w:t>
      </w:r>
      <w:r w:rsidR="000F50D1">
        <w:rPr>
          <w:lang w:val="lt-LT"/>
        </w:rPr>
        <w:t xml:space="preserve"> </w:t>
      </w:r>
      <w:r w:rsidRPr="000F50D1">
        <w:rPr>
          <w:lang w:val="lt-LT"/>
        </w:rPr>
        <w:t>15 straipsn</w:t>
      </w:r>
      <w:r w:rsidR="000F50D1">
        <w:rPr>
          <w:lang w:val="lt-LT"/>
        </w:rPr>
        <w:t>ius</w:t>
      </w:r>
      <w:r w:rsidRPr="000F50D1">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3F18F6">
          <w:rPr>
            <w:rFonts w:ascii="Times New Roman" w:hAnsi="Times New Roman"/>
            <w:noProof/>
            <w:sz w:val="24"/>
            <w:szCs w:val="24"/>
          </w:rPr>
          <w:t>5</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1C3C"/>
    <w:rsid w:val="000054F5"/>
    <w:rsid w:val="00005876"/>
    <w:rsid w:val="00007646"/>
    <w:rsid w:val="00013CD3"/>
    <w:rsid w:val="00032E3D"/>
    <w:rsid w:val="00035763"/>
    <w:rsid w:val="00041A0D"/>
    <w:rsid w:val="00042A1C"/>
    <w:rsid w:val="00043AB2"/>
    <w:rsid w:val="00043D82"/>
    <w:rsid w:val="0004523C"/>
    <w:rsid w:val="0004543A"/>
    <w:rsid w:val="00054198"/>
    <w:rsid w:val="00054D78"/>
    <w:rsid w:val="00054FDF"/>
    <w:rsid w:val="00055048"/>
    <w:rsid w:val="000563F5"/>
    <w:rsid w:val="00063562"/>
    <w:rsid w:val="00064507"/>
    <w:rsid w:val="00065AB6"/>
    <w:rsid w:val="00066455"/>
    <w:rsid w:val="000676F6"/>
    <w:rsid w:val="00072C88"/>
    <w:rsid w:val="00074F1E"/>
    <w:rsid w:val="00076A01"/>
    <w:rsid w:val="00094970"/>
    <w:rsid w:val="000A1F59"/>
    <w:rsid w:val="000A2419"/>
    <w:rsid w:val="000A35AE"/>
    <w:rsid w:val="000B008F"/>
    <w:rsid w:val="000B29C8"/>
    <w:rsid w:val="000B30C4"/>
    <w:rsid w:val="000B50F2"/>
    <w:rsid w:val="000B5A0C"/>
    <w:rsid w:val="000C4F0E"/>
    <w:rsid w:val="000C6FF7"/>
    <w:rsid w:val="000D1836"/>
    <w:rsid w:val="000E1825"/>
    <w:rsid w:val="000F0F78"/>
    <w:rsid w:val="000F50D1"/>
    <w:rsid w:val="00102ACA"/>
    <w:rsid w:val="001031E0"/>
    <w:rsid w:val="001048E0"/>
    <w:rsid w:val="001076F4"/>
    <w:rsid w:val="00107F15"/>
    <w:rsid w:val="00111A10"/>
    <w:rsid w:val="00111F6A"/>
    <w:rsid w:val="00112561"/>
    <w:rsid w:val="001143A8"/>
    <w:rsid w:val="00114DB1"/>
    <w:rsid w:val="0011643A"/>
    <w:rsid w:val="00116E33"/>
    <w:rsid w:val="00117ACF"/>
    <w:rsid w:val="0013103A"/>
    <w:rsid w:val="00134578"/>
    <w:rsid w:val="00135346"/>
    <w:rsid w:val="00140919"/>
    <w:rsid w:val="001427D0"/>
    <w:rsid w:val="00144359"/>
    <w:rsid w:val="00151A19"/>
    <w:rsid w:val="00151C06"/>
    <w:rsid w:val="00157442"/>
    <w:rsid w:val="001612AF"/>
    <w:rsid w:val="00172476"/>
    <w:rsid w:val="001764E1"/>
    <w:rsid w:val="0017707D"/>
    <w:rsid w:val="00184772"/>
    <w:rsid w:val="0018594A"/>
    <w:rsid w:val="0018768A"/>
    <w:rsid w:val="00190F20"/>
    <w:rsid w:val="00197428"/>
    <w:rsid w:val="001976D0"/>
    <w:rsid w:val="001A1864"/>
    <w:rsid w:val="001B1B18"/>
    <w:rsid w:val="001B33A6"/>
    <w:rsid w:val="001B595B"/>
    <w:rsid w:val="001B5EC0"/>
    <w:rsid w:val="001C0504"/>
    <w:rsid w:val="001C1C6C"/>
    <w:rsid w:val="001C682D"/>
    <w:rsid w:val="001D06FE"/>
    <w:rsid w:val="001D0891"/>
    <w:rsid w:val="001D0926"/>
    <w:rsid w:val="001D14A2"/>
    <w:rsid w:val="001D580C"/>
    <w:rsid w:val="001D6691"/>
    <w:rsid w:val="001D67C8"/>
    <w:rsid w:val="001E36B6"/>
    <w:rsid w:val="001E3FE2"/>
    <w:rsid w:val="001F2ABA"/>
    <w:rsid w:val="001F61D8"/>
    <w:rsid w:val="00204FA1"/>
    <w:rsid w:val="00211FC6"/>
    <w:rsid w:val="00212538"/>
    <w:rsid w:val="0022684C"/>
    <w:rsid w:val="00227101"/>
    <w:rsid w:val="00230C3F"/>
    <w:rsid w:val="00233F42"/>
    <w:rsid w:val="002368D3"/>
    <w:rsid w:val="00236F81"/>
    <w:rsid w:val="002442CA"/>
    <w:rsid w:val="002452AA"/>
    <w:rsid w:val="00245E31"/>
    <w:rsid w:val="00246EB6"/>
    <w:rsid w:val="00247207"/>
    <w:rsid w:val="0025131C"/>
    <w:rsid w:val="00255C9E"/>
    <w:rsid w:val="002600BA"/>
    <w:rsid w:val="00261648"/>
    <w:rsid w:val="002658CB"/>
    <w:rsid w:val="00271439"/>
    <w:rsid w:val="00271F63"/>
    <w:rsid w:val="0027321D"/>
    <w:rsid w:val="00273300"/>
    <w:rsid w:val="00280B58"/>
    <w:rsid w:val="002821BF"/>
    <w:rsid w:val="00282617"/>
    <w:rsid w:val="002875DE"/>
    <w:rsid w:val="00290605"/>
    <w:rsid w:val="00292C99"/>
    <w:rsid w:val="002944A5"/>
    <w:rsid w:val="002A2CA5"/>
    <w:rsid w:val="002A7DA2"/>
    <w:rsid w:val="002B23DA"/>
    <w:rsid w:val="002B39B0"/>
    <w:rsid w:val="002B4792"/>
    <w:rsid w:val="002B4E3A"/>
    <w:rsid w:val="002B63E2"/>
    <w:rsid w:val="002B67D6"/>
    <w:rsid w:val="002C0240"/>
    <w:rsid w:val="002C094E"/>
    <w:rsid w:val="002C2F57"/>
    <w:rsid w:val="002C47F6"/>
    <w:rsid w:val="002D2770"/>
    <w:rsid w:val="002D61FF"/>
    <w:rsid w:val="002D6AC5"/>
    <w:rsid w:val="002E231E"/>
    <w:rsid w:val="002E6D8A"/>
    <w:rsid w:val="002F513C"/>
    <w:rsid w:val="002F5F3E"/>
    <w:rsid w:val="002F63FA"/>
    <w:rsid w:val="002F6759"/>
    <w:rsid w:val="00302517"/>
    <w:rsid w:val="00307D44"/>
    <w:rsid w:val="0031264E"/>
    <w:rsid w:val="00312705"/>
    <w:rsid w:val="00316238"/>
    <w:rsid w:val="00320508"/>
    <w:rsid w:val="0032176A"/>
    <w:rsid w:val="00330AD3"/>
    <w:rsid w:val="00333F29"/>
    <w:rsid w:val="00334E06"/>
    <w:rsid w:val="003364F0"/>
    <w:rsid w:val="00340CC8"/>
    <w:rsid w:val="00343064"/>
    <w:rsid w:val="00350191"/>
    <w:rsid w:val="003515CC"/>
    <w:rsid w:val="00355146"/>
    <w:rsid w:val="00373106"/>
    <w:rsid w:val="00382BF5"/>
    <w:rsid w:val="003964E1"/>
    <w:rsid w:val="003A59E2"/>
    <w:rsid w:val="003B1E99"/>
    <w:rsid w:val="003B5D73"/>
    <w:rsid w:val="003B69A3"/>
    <w:rsid w:val="003C249C"/>
    <w:rsid w:val="003D0471"/>
    <w:rsid w:val="003E2370"/>
    <w:rsid w:val="003E3ADC"/>
    <w:rsid w:val="003E3FE8"/>
    <w:rsid w:val="003E63B7"/>
    <w:rsid w:val="003E694D"/>
    <w:rsid w:val="003E7934"/>
    <w:rsid w:val="003F18F6"/>
    <w:rsid w:val="003F27A8"/>
    <w:rsid w:val="003F3B6E"/>
    <w:rsid w:val="003F54B5"/>
    <w:rsid w:val="003F5F33"/>
    <w:rsid w:val="003F685E"/>
    <w:rsid w:val="004022D3"/>
    <w:rsid w:val="00402F72"/>
    <w:rsid w:val="00414E54"/>
    <w:rsid w:val="00416206"/>
    <w:rsid w:val="004202F5"/>
    <w:rsid w:val="004324C5"/>
    <w:rsid w:val="00435C07"/>
    <w:rsid w:val="0044187D"/>
    <w:rsid w:val="00447A41"/>
    <w:rsid w:val="00460840"/>
    <w:rsid w:val="004624A4"/>
    <w:rsid w:val="004679C8"/>
    <w:rsid w:val="00471F84"/>
    <w:rsid w:val="00472322"/>
    <w:rsid w:val="004731D2"/>
    <w:rsid w:val="004819E5"/>
    <w:rsid w:val="0048328A"/>
    <w:rsid w:val="00487756"/>
    <w:rsid w:val="004919C2"/>
    <w:rsid w:val="00491F41"/>
    <w:rsid w:val="00494994"/>
    <w:rsid w:val="004A1E1A"/>
    <w:rsid w:val="004A36FA"/>
    <w:rsid w:val="004A4BE9"/>
    <w:rsid w:val="004A4DF3"/>
    <w:rsid w:val="004B44DC"/>
    <w:rsid w:val="004B5B02"/>
    <w:rsid w:val="004B78C8"/>
    <w:rsid w:val="004B7ACE"/>
    <w:rsid w:val="004C24E7"/>
    <w:rsid w:val="004C4A3F"/>
    <w:rsid w:val="004D13DA"/>
    <w:rsid w:val="004D1791"/>
    <w:rsid w:val="004D6DEE"/>
    <w:rsid w:val="004E1287"/>
    <w:rsid w:val="004E3BBF"/>
    <w:rsid w:val="004F3132"/>
    <w:rsid w:val="004F49F5"/>
    <w:rsid w:val="0050358C"/>
    <w:rsid w:val="005038B2"/>
    <w:rsid w:val="00505204"/>
    <w:rsid w:val="00505F5A"/>
    <w:rsid w:val="00506B82"/>
    <w:rsid w:val="0051109C"/>
    <w:rsid w:val="00512416"/>
    <w:rsid w:val="0051636C"/>
    <w:rsid w:val="005246AA"/>
    <w:rsid w:val="00524D2C"/>
    <w:rsid w:val="005263DF"/>
    <w:rsid w:val="00533925"/>
    <w:rsid w:val="00534504"/>
    <w:rsid w:val="00536470"/>
    <w:rsid w:val="005450CA"/>
    <w:rsid w:val="00545CA1"/>
    <w:rsid w:val="00547061"/>
    <w:rsid w:val="005502DA"/>
    <w:rsid w:val="005520F3"/>
    <w:rsid w:val="005610B2"/>
    <w:rsid w:val="005619B5"/>
    <w:rsid w:val="00575A8D"/>
    <w:rsid w:val="00576E5E"/>
    <w:rsid w:val="00583C5F"/>
    <w:rsid w:val="00584987"/>
    <w:rsid w:val="005849CC"/>
    <w:rsid w:val="00594F69"/>
    <w:rsid w:val="005977E0"/>
    <w:rsid w:val="005A10E2"/>
    <w:rsid w:val="005A4F8B"/>
    <w:rsid w:val="005A5045"/>
    <w:rsid w:val="005B1920"/>
    <w:rsid w:val="005C0AC2"/>
    <w:rsid w:val="005C2B1F"/>
    <w:rsid w:val="005C497B"/>
    <w:rsid w:val="005C4FEC"/>
    <w:rsid w:val="005C5AB0"/>
    <w:rsid w:val="005C5B44"/>
    <w:rsid w:val="005C6765"/>
    <w:rsid w:val="005D314F"/>
    <w:rsid w:val="005D4877"/>
    <w:rsid w:val="005D5758"/>
    <w:rsid w:val="005E074A"/>
    <w:rsid w:val="005E0D50"/>
    <w:rsid w:val="005E2B10"/>
    <w:rsid w:val="005E4522"/>
    <w:rsid w:val="005F61EB"/>
    <w:rsid w:val="005F7F97"/>
    <w:rsid w:val="006016DD"/>
    <w:rsid w:val="00611CBD"/>
    <w:rsid w:val="006163A4"/>
    <w:rsid w:val="00621034"/>
    <w:rsid w:val="00624568"/>
    <w:rsid w:val="00632A07"/>
    <w:rsid w:val="00637B2E"/>
    <w:rsid w:val="00637B5A"/>
    <w:rsid w:val="0064094C"/>
    <w:rsid w:val="0064594B"/>
    <w:rsid w:val="0064673D"/>
    <w:rsid w:val="00652619"/>
    <w:rsid w:val="00662E5D"/>
    <w:rsid w:val="00664A6A"/>
    <w:rsid w:val="006677DE"/>
    <w:rsid w:val="00672CE6"/>
    <w:rsid w:val="006775A3"/>
    <w:rsid w:val="006879E7"/>
    <w:rsid w:val="00691256"/>
    <w:rsid w:val="00697D21"/>
    <w:rsid w:val="006A714A"/>
    <w:rsid w:val="006B1114"/>
    <w:rsid w:val="006B7732"/>
    <w:rsid w:val="006C0447"/>
    <w:rsid w:val="006C6CB5"/>
    <w:rsid w:val="006D60EA"/>
    <w:rsid w:val="006E2A05"/>
    <w:rsid w:val="006E3578"/>
    <w:rsid w:val="006E39CA"/>
    <w:rsid w:val="006E52E3"/>
    <w:rsid w:val="006E53DD"/>
    <w:rsid w:val="006E7DC2"/>
    <w:rsid w:val="006F02AC"/>
    <w:rsid w:val="006F155E"/>
    <w:rsid w:val="006F6977"/>
    <w:rsid w:val="00704CE6"/>
    <w:rsid w:val="00716955"/>
    <w:rsid w:val="00716FAA"/>
    <w:rsid w:val="00717C90"/>
    <w:rsid w:val="007244D3"/>
    <w:rsid w:val="0072480E"/>
    <w:rsid w:val="0073085E"/>
    <w:rsid w:val="00730966"/>
    <w:rsid w:val="00737080"/>
    <w:rsid w:val="00746659"/>
    <w:rsid w:val="00752F22"/>
    <w:rsid w:val="007616B6"/>
    <w:rsid w:val="00761D28"/>
    <w:rsid w:val="00767FBF"/>
    <w:rsid w:val="00776CE2"/>
    <w:rsid w:val="00777ADA"/>
    <w:rsid w:val="00781A5A"/>
    <w:rsid w:val="00783707"/>
    <w:rsid w:val="0079436F"/>
    <w:rsid w:val="00795533"/>
    <w:rsid w:val="007A0C13"/>
    <w:rsid w:val="007A504A"/>
    <w:rsid w:val="007A6AD7"/>
    <w:rsid w:val="007B2D21"/>
    <w:rsid w:val="007B6AC5"/>
    <w:rsid w:val="007C0302"/>
    <w:rsid w:val="007C047B"/>
    <w:rsid w:val="007C4C25"/>
    <w:rsid w:val="007C4C61"/>
    <w:rsid w:val="007D16B6"/>
    <w:rsid w:val="007D4E90"/>
    <w:rsid w:val="007E70EE"/>
    <w:rsid w:val="007F6453"/>
    <w:rsid w:val="007F6A7C"/>
    <w:rsid w:val="007F7219"/>
    <w:rsid w:val="00804BD5"/>
    <w:rsid w:val="00805CE1"/>
    <w:rsid w:val="0082085B"/>
    <w:rsid w:val="00823345"/>
    <w:rsid w:val="0082419F"/>
    <w:rsid w:val="00824773"/>
    <w:rsid w:val="00831ABF"/>
    <w:rsid w:val="00836489"/>
    <w:rsid w:val="00840CD9"/>
    <w:rsid w:val="00840FE3"/>
    <w:rsid w:val="008434FB"/>
    <w:rsid w:val="00854AEE"/>
    <w:rsid w:val="00861944"/>
    <w:rsid w:val="0086456E"/>
    <w:rsid w:val="00871860"/>
    <w:rsid w:val="00873DCD"/>
    <w:rsid w:val="0087566D"/>
    <w:rsid w:val="0088091B"/>
    <w:rsid w:val="00881819"/>
    <w:rsid w:val="008831BA"/>
    <w:rsid w:val="00883671"/>
    <w:rsid w:val="008852EF"/>
    <w:rsid w:val="00886620"/>
    <w:rsid w:val="00890254"/>
    <w:rsid w:val="008945C5"/>
    <w:rsid w:val="00897545"/>
    <w:rsid w:val="008A43DB"/>
    <w:rsid w:val="008A5D53"/>
    <w:rsid w:val="008B00C5"/>
    <w:rsid w:val="008B40FD"/>
    <w:rsid w:val="008B46DE"/>
    <w:rsid w:val="008B7EB0"/>
    <w:rsid w:val="008C1E8D"/>
    <w:rsid w:val="008C382A"/>
    <w:rsid w:val="008D0679"/>
    <w:rsid w:val="008D0BEC"/>
    <w:rsid w:val="008D27FA"/>
    <w:rsid w:val="008D3789"/>
    <w:rsid w:val="008D434F"/>
    <w:rsid w:val="008E146F"/>
    <w:rsid w:val="008E6956"/>
    <w:rsid w:val="008E7B56"/>
    <w:rsid w:val="008F14D1"/>
    <w:rsid w:val="008F2D63"/>
    <w:rsid w:val="008F3913"/>
    <w:rsid w:val="009050D4"/>
    <w:rsid w:val="009130BE"/>
    <w:rsid w:val="00913592"/>
    <w:rsid w:val="00916F60"/>
    <w:rsid w:val="00917D6F"/>
    <w:rsid w:val="00940B8A"/>
    <w:rsid w:val="0094550E"/>
    <w:rsid w:val="00945932"/>
    <w:rsid w:val="00947680"/>
    <w:rsid w:val="00954BA8"/>
    <w:rsid w:val="00955C87"/>
    <w:rsid w:val="00960CD0"/>
    <w:rsid w:val="0096259C"/>
    <w:rsid w:val="00962D21"/>
    <w:rsid w:val="0096678A"/>
    <w:rsid w:val="00967B58"/>
    <w:rsid w:val="009716F4"/>
    <w:rsid w:val="00972156"/>
    <w:rsid w:val="00973FA4"/>
    <w:rsid w:val="009752C4"/>
    <w:rsid w:val="0097779B"/>
    <w:rsid w:val="00990C68"/>
    <w:rsid w:val="0099486D"/>
    <w:rsid w:val="00997E64"/>
    <w:rsid w:val="009A1042"/>
    <w:rsid w:val="009A28EC"/>
    <w:rsid w:val="009A7E45"/>
    <w:rsid w:val="009C6A49"/>
    <w:rsid w:val="009C7031"/>
    <w:rsid w:val="009D368A"/>
    <w:rsid w:val="009D44CA"/>
    <w:rsid w:val="009D61C9"/>
    <w:rsid w:val="009D7F95"/>
    <w:rsid w:val="009F0E0F"/>
    <w:rsid w:val="009F2503"/>
    <w:rsid w:val="009F694D"/>
    <w:rsid w:val="009F6A1C"/>
    <w:rsid w:val="009F74AC"/>
    <w:rsid w:val="00A0519B"/>
    <w:rsid w:val="00A11004"/>
    <w:rsid w:val="00A143BD"/>
    <w:rsid w:val="00A15302"/>
    <w:rsid w:val="00A154AF"/>
    <w:rsid w:val="00A17B6D"/>
    <w:rsid w:val="00A17D8B"/>
    <w:rsid w:val="00A2083E"/>
    <w:rsid w:val="00A24DB6"/>
    <w:rsid w:val="00A30897"/>
    <w:rsid w:val="00A30CF0"/>
    <w:rsid w:val="00A30FF8"/>
    <w:rsid w:val="00A3110E"/>
    <w:rsid w:val="00A31867"/>
    <w:rsid w:val="00A40019"/>
    <w:rsid w:val="00A406FC"/>
    <w:rsid w:val="00A43BD0"/>
    <w:rsid w:val="00A441B6"/>
    <w:rsid w:val="00A44BB1"/>
    <w:rsid w:val="00A45702"/>
    <w:rsid w:val="00A46800"/>
    <w:rsid w:val="00A47BDB"/>
    <w:rsid w:val="00A54D7E"/>
    <w:rsid w:val="00A56BC2"/>
    <w:rsid w:val="00A61606"/>
    <w:rsid w:val="00A618F7"/>
    <w:rsid w:val="00A63E72"/>
    <w:rsid w:val="00A646FE"/>
    <w:rsid w:val="00A65887"/>
    <w:rsid w:val="00A74C81"/>
    <w:rsid w:val="00A82AF6"/>
    <w:rsid w:val="00A855F9"/>
    <w:rsid w:val="00A8642B"/>
    <w:rsid w:val="00A87C5E"/>
    <w:rsid w:val="00A906A7"/>
    <w:rsid w:val="00A90743"/>
    <w:rsid w:val="00A96801"/>
    <w:rsid w:val="00AA1304"/>
    <w:rsid w:val="00AA6CD6"/>
    <w:rsid w:val="00AB6A08"/>
    <w:rsid w:val="00AC06DA"/>
    <w:rsid w:val="00AC13D8"/>
    <w:rsid w:val="00AC33D7"/>
    <w:rsid w:val="00AC688B"/>
    <w:rsid w:val="00AD200E"/>
    <w:rsid w:val="00AE1949"/>
    <w:rsid w:val="00AE2911"/>
    <w:rsid w:val="00AE3015"/>
    <w:rsid w:val="00AF1AF7"/>
    <w:rsid w:val="00AF1C09"/>
    <w:rsid w:val="00AF2260"/>
    <w:rsid w:val="00AF2ACD"/>
    <w:rsid w:val="00AF6454"/>
    <w:rsid w:val="00B02FB0"/>
    <w:rsid w:val="00B053EC"/>
    <w:rsid w:val="00B05A20"/>
    <w:rsid w:val="00B10E22"/>
    <w:rsid w:val="00B12827"/>
    <w:rsid w:val="00B13BD9"/>
    <w:rsid w:val="00B13C0D"/>
    <w:rsid w:val="00B207BF"/>
    <w:rsid w:val="00B222B9"/>
    <w:rsid w:val="00B2312A"/>
    <w:rsid w:val="00B24F01"/>
    <w:rsid w:val="00B276DB"/>
    <w:rsid w:val="00B27A99"/>
    <w:rsid w:val="00B302D6"/>
    <w:rsid w:val="00B33D6A"/>
    <w:rsid w:val="00B34F8A"/>
    <w:rsid w:val="00B43432"/>
    <w:rsid w:val="00B5127D"/>
    <w:rsid w:val="00B57CA2"/>
    <w:rsid w:val="00B57CFF"/>
    <w:rsid w:val="00B62255"/>
    <w:rsid w:val="00B623CC"/>
    <w:rsid w:val="00B63344"/>
    <w:rsid w:val="00B660A6"/>
    <w:rsid w:val="00B67951"/>
    <w:rsid w:val="00B70DCA"/>
    <w:rsid w:val="00B70E01"/>
    <w:rsid w:val="00B74E60"/>
    <w:rsid w:val="00B75FFA"/>
    <w:rsid w:val="00B771B1"/>
    <w:rsid w:val="00B81CDD"/>
    <w:rsid w:val="00B876EF"/>
    <w:rsid w:val="00B9387D"/>
    <w:rsid w:val="00B9698B"/>
    <w:rsid w:val="00BA5940"/>
    <w:rsid w:val="00BA62C8"/>
    <w:rsid w:val="00BB3866"/>
    <w:rsid w:val="00BC11D0"/>
    <w:rsid w:val="00BC4505"/>
    <w:rsid w:val="00BD507D"/>
    <w:rsid w:val="00BF7A90"/>
    <w:rsid w:val="00C00314"/>
    <w:rsid w:val="00C02462"/>
    <w:rsid w:val="00C04105"/>
    <w:rsid w:val="00C073E5"/>
    <w:rsid w:val="00C10528"/>
    <w:rsid w:val="00C22E5B"/>
    <w:rsid w:val="00C2424F"/>
    <w:rsid w:val="00C24D0F"/>
    <w:rsid w:val="00C30E40"/>
    <w:rsid w:val="00C36236"/>
    <w:rsid w:val="00C37AAF"/>
    <w:rsid w:val="00C41478"/>
    <w:rsid w:val="00C45FA7"/>
    <w:rsid w:val="00C5018C"/>
    <w:rsid w:val="00C51EED"/>
    <w:rsid w:val="00C61088"/>
    <w:rsid w:val="00C61D14"/>
    <w:rsid w:val="00C61F31"/>
    <w:rsid w:val="00C703AF"/>
    <w:rsid w:val="00C73F52"/>
    <w:rsid w:val="00C81970"/>
    <w:rsid w:val="00C84E99"/>
    <w:rsid w:val="00C85196"/>
    <w:rsid w:val="00C85EAA"/>
    <w:rsid w:val="00C90D1B"/>
    <w:rsid w:val="00C94265"/>
    <w:rsid w:val="00CA423F"/>
    <w:rsid w:val="00CA65A9"/>
    <w:rsid w:val="00CB491B"/>
    <w:rsid w:val="00CB6542"/>
    <w:rsid w:val="00CB65C3"/>
    <w:rsid w:val="00CC2653"/>
    <w:rsid w:val="00CD1B33"/>
    <w:rsid w:val="00CD23CA"/>
    <w:rsid w:val="00CD7212"/>
    <w:rsid w:val="00CE3076"/>
    <w:rsid w:val="00CE3F3A"/>
    <w:rsid w:val="00CF2010"/>
    <w:rsid w:val="00CF6EE3"/>
    <w:rsid w:val="00D015ED"/>
    <w:rsid w:val="00D07AB9"/>
    <w:rsid w:val="00D10E52"/>
    <w:rsid w:val="00D34643"/>
    <w:rsid w:val="00D348F0"/>
    <w:rsid w:val="00D36574"/>
    <w:rsid w:val="00D36D0D"/>
    <w:rsid w:val="00D41C81"/>
    <w:rsid w:val="00D430F1"/>
    <w:rsid w:val="00D513DA"/>
    <w:rsid w:val="00D54B2C"/>
    <w:rsid w:val="00D64B1B"/>
    <w:rsid w:val="00D70C59"/>
    <w:rsid w:val="00D73D0B"/>
    <w:rsid w:val="00D75803"/>
    <w:rsid w:val="00D83393"/>
    <w:rsid w:val="00D84646"/>
    <w:rsid w:val="00D861E5"/>
    <w:rsid w:val="00D93AB0"/>
    <w:rsid w:val="00DA0CCD"/>
    <w:rsid w:val="00DA38BD"/>
    <w:rsid w:val="00DB602A"/>
    <w:rsid w:val="00DC3D3E"/>
    <w:rsid w:val="00DC4B9E"/>
    <w:rsid w:val="00DD0283"/>
    <w:rsid w:val="00DD1A64"/>
    <w:rsid w:val="00DD24C8"/>
    <w:rsid w:val="00DD3E52"/>
    <w:rsid w:val="00DD493D"/>
    <w:rsid w:val="00DE3D96"/>
    <w:rsid w:val="00DF26D9"/>
    <w:rsid w:val="00DF4CDF"/>
    <w:rsid w:val="00E12ACA"/>
    <w:rsid w:val="00E23527"/>
    <w:rsid w:val="00E24D2A"/>
    <w:rsid w:val="00E25CBC"/>
    <w:rsid w:val="00E277C8"/>
    <w:rsid w:val="00E32608"/>
    <w:rsid w:val="00E32764"/>
    <w:rsid w:val="00E33292"/>
    <w:rsid w:val="00E36EE3"/>
    <w:rsid w:val="00E43CC1"/>
    <w:rsid w:val="00E466EA"/>
    <w:rsid w:val="00E47179"/>
    <w:rsid w:val="00E47A43"/>
    <w:rsid w:val="00E5133E"/>
    <w:rsid w:val="00E5184F"/>
    <w:rsid w:val="00E628D9"/>
    <w:rsid w:val="00E63F36"/>
    <w:rsid w:val="00E64D8E"/>
    <w:rsid w:val="00E6578D"/>
    <w:rsid w:val="00E66D4B"/>
    <w:rsid w:val="00E74523"/>
    <w:rsid w:val="00E74FF5"/>
    <w:rsid w:val="00EB27D6"/>
    <w:rsid w:val="00EB2CBF"/>
    <w:rsid w:val="00EB4DC2"/>
    <w:rsid w:val="00EB5893"/>
    <w:rsid w:val="00EB605B"/>
    <w:rsid w:val="00EF5655"/>
    <w:rsid w:val="00F02558"/>
    <w:rsid w:val="00F12000"/>
    <w:rsid w:val="00F13970"/>
    <w:rsid w:val="00F229DC"/>
    <w:rsid w:val="00F25EF4"/>
    <w:rsid w:val="00F30238"/>
    <w:rsid w:val="00F30951"/>
    <w:rsid w:val="00F41C67"/>
    <w:rsid w:val="00F43C8D"/>
    <w:rsid w:val="00F45151"/>
    <w:rsid w:val="00F45F4F"/>
    <w:rsid w:val="00F53F45"/>
    <w:rsid w:val="00F55B27"/>
    <w:rsid w:val="00F577FD"/>
    <w:rsid w:val="00F601D4"/>
    <w:rsid w:val="00F60698"/>
    <w:rsid w:val="00F60B44"/>
    <w:rsid w:val="00F63111"/>
    <w:rsid w:val="00F64267"/>
    <w:rsid w:val="00F700AE"/>
    <w:rsid w:val="00F71C44"/>
    <w:rsid w:val="00F74B23"/>
    <w:rsid w:val="00F80EAA"/>
    <w:rsid w:val="00F84B60"/>
    <w:rsid w:val="00F90586"/>
    <w:rsid w:val="00F91C94"/>
    <w:rsid w:val="00F91F9F"/>
    <w:rsid w:val="00FA1DF2"/>
    <w:rsid w:val="00FA218A"/>
    <w:rsid w:val="00FA2C96"/>
    <w:rsid w:val="00FA7BD1"/>
    <w:rsid w:val="00FB2777"/>
    <w:rsid w:val="00FB44D3"/>
    <w:rsid w:val="00FD33C3"/>
    <w:rsid w:val="00FD59C1"/>
    <w:rsid w:val="00FE6600"/>
    <w:rsid w:val="00FE71AE"/>
    <w:rsid w:val="00FE7736"/>
    <w:rsid w:val="00FE7DA1"/>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6840"/>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customStyle="1" w:styleId="Standard">
    <w:name w:val="Standard"/>
    <w:rsid w:val="008D3789"/>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Footnote">
    <w:name w:val="Footnote"/>
    <w:basedOn w:val="Standard"/>
    <w:rsid w:val="008D378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Z6YWEJNPDQQR-896559167-376</_dlc_DocId>
    <_dlc_DocIdUrl xmlns="28130d43-1b56-4a10-ad88-2cd38123f4c1">
      <Url>https://intranetas.lrs.lt/29/_layouts/15/DocIdRedir.aspx?ID=Z6YWEJNPDQQR-896559167-376</Url>
      <Description>Z6YWEJNPDQQR-896559167-376</Description>
    </_dlc_DocIdUrl>
  </documentManagement>
</p:properties>
</file>

<file path=customXml/itemProps1.xml><?xml version="1.0" encoding="utf-8"?>
<ds:datastoreItem xmlns:ds="http://schemas.openxmlformats.org/officeDocument/2006/customXml" ds:itemID="{6C7082C0-A21C-4B15-8EDD-449258319D11}">
  <ds:schemaRefs>
    <ds:schemaRef ds:uri="http://schemas.openxmlformats.org/officeDocument/2006/bibliography"/>
  </ds:schemaRefs>
</ds:datastoreItem>
</file>

<file path=customXml/itemProps2.xml><?xml version="1.0" encoding="utf-8"?>
<ds:datastoreItem xmlns:ds="http://schemas.openxmlformats.org/officeDocument/2006/customXml" ds:itemID="{8190C06C-6322-424C-88D8-C2B985806B00}"/>
</file>

<file path=customXml/itemProps3.xml><?xml version="1.0" encoding="utf-8"?>
<ds:datastoreItem xmlns:ds="http://schemas.openxmlformats.org/officeDocument/2006/customXml" ds:itemID="{D33721F3-2389-430E-BFFA-5E81116FB188}"/>
</file>

<file path=customXml/itemProps4.xml><?xml version="1.0" encoding="utf-8"?>
<ds:datastoreItem xmlns:ds="http://schemas.openxmlformats.org/officeDocument/2006/customXml" ds:itemID="{31A9638D-25E8-44AB-AFD4-71F3B64752C0}"/>
</file>

<file path=customXml/itemProps5.xml><?xml version="1.0" encoding="utf-8"?>
<ds:datastoreItem xmlns:ds="http://schemas.openxmlformats.org/officeDocument/2006/customXml" ds:itemID="{8549FB97-F17C-4B88-8266-5EE6A1B5B2EE}"/>
</file>

<file path=docProps/app.xml><?xml version="1.0" encoding="utf-8"?>
<Properties xmlns="http://schemas.openxmlformats.org/officeDocument/2006/extended-properties" xmlns:vt="http://schemas.openxmlformats.org/officeDocument/2006/docPropsVTypes">
  <Template>Normal.dotm</Template>
  <TotalTime>37</TotalTime>
  <Pages>5</Pages>
  <Words>6650</Words>
  <Characters>3792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17</cp:revision>
  <dcterms:created xsi:type="dcterms:W3CDTF">2023-08-18T09:08:00Z</dcterms:created>
  <dcterms:modified xsi:type="dcterms:W3CDTF">2023-09-01T10:53:00Z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b321c4c7-208c-46f0-82c8-4181fe80b918</vt:lpwstr>
  </property>
</Properties>
</file>