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3"/>
          <w:szCs w:val="23"/>
        </w:rPr>
        <w:alias w:val="pagrindine"/>
        <w:tag w:val="part_46a0fb91daf64f5292e9262b495ae84e"/>
        <w:id w:val="1957282416"/>
        <w:lock w:val="sdtLocked"/>
      </w:sdtPr>
      <w:sdtEndPr/>
      <w:sdtContent>
        <w:p w:rsidR="005427A1" w:rsidRPr="00D627CE" w:rsidRDefault="005427A1">
          <w:pPr>
            <w:tabs>
              <w:tab w:val="center" w:pos="4819"/>
              <w:tab w:val="right" w:pos="9638"/>
            </w:tabs>
            <w:rPr>
              <w:rFonts w:ascii="CG Times" w:hAnsi="CG Times"/>
              <w:sz w:val="23"/>
              <w:szCs w:val="23"/>
            </w:rPr>
          </w:pPr>
        </w:p>
        <w:p w:rsidR="005427A1" w:rsidRPr="00D627CE" w:rsidRDefault="00AC3DB9">
          <w:pPr>
            <w:jc w:val="center"/>
            <w:rPr>
              <w:sz w:val="23"/>
              <w:szCs w:val="23"/>
            </w:rPr>
          </w:pPr>
          <w:r w:rsidRPr="00D627CE">
            <w:rPr>
              <w:noProof/>
              <w:sz w:val="23"/>
              <w:szCs w:val="23"/>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427A1" w:rsidRPr="00D627CE" w:rsidRDefault="005427A1">
          <w:pPr>
            <w:ind w:firstLine="851"/>
            <w:jc w:val="center"/>
            <w:rPr>
              <w:sz w:val="23"/>
              <w:szCs w:val="23"/>
            </w:rPr>
          </w:pPr>
        </w:p>
        <w:p w:rsidR="005427A1" w:rsidRPr="00D627CE" w:rsidRDefault="00AC3DB9">
          <w:pPr>
            <w:jc w:val="center"/>
            <w:rPr>
              <w:b/>
              <w:bCs/>
              <w:sz w:val="23"/>
              <w:szCs w:val="23"/>
            </w:rPr>
          </w:pPr>
          <w:r w:rsidRPr="00D627CE">
            <w:rPr>
              <w:b/>
              <w:bCs/>
              <w:sz w:val="23"/>
              <w:szCs w:val="23"/>
            </w:rPr>
            <w:t>LIETUVOS RESPUBLIKOS SEIMO</w:t>
          </w:r>
        </w:p>
        <w:p w:rsidR="005427A1" w:rsidRPr="00D627CE" w:rsidRDefault="00AC3DB9">
          <w:pPr>
            <w:spacing w:line="360" w:lineRule="auto"/>
            <w:jc w:val="center"/>
            <w:rPr>
              <w:b/>
              <w:bCs/>
              <w:spacing w:val="4"/>
              <w:sz w:val="23"/>
              <w:szCs w:val="23"/>
            </w:rPr>
          </w:pPr>
          <w:r w:rsidRPr="00D627CE">
            <w:rPr>
              <w:b/>
              <w:bCs/>
              <w:spacing w:val="4"/>
              <w:sz w:val="23"/>
              <w:szCs w:val="23"/>
            </w:rPr>
            <w:t>PETICIJŲ KOMISIJA</w:t>
          </w:r>
        </w:p>
        <w:p w:rsidR="005427A1" w:rsidRPr="00D627CE" w:rsidRDefault="00AC3DB9">
          <w:pPr>
            <w:spacing w:line="360" w:lineRule="auto"/>
            <w:jc w:val="center"/>
            <w:rPr>
              <w:rFonts w:eastAsia="Calibri"/>
              <w:b/>
              <w:sz w:val="23"/>
              <w:szCs w:val="23"/>
            </w:rPr>
          </w:pPr>
          <w:r w:rsidRPr="00D627CE">
            <w:rPr>
              <w:rFonts w:eastAsia="Calibri"/>
              <w:b/>
              <w:sz w:val="23"/>
              <w:szCs w:val="23"/>
            </w:rPr>
            <w:t>IŠVADA</w:t>
          </w:r>
        </w:p>
        <w:p w:rsidR="005427A1" w:rsidRPr="00D627CE" w:rsidRDefault="00AC3DB9">
          <w:pPr>
            <w:spacing w:line="360" w:lineRule="auto"/>
            <w:jc w:val="center"/>
            <w:rPr>
              <w:rFonts w:eastAsia="Calibri"/>
              <w:b/>
              <w:sz w:val="23"/>
              <w:szCs w:val="23"/>
            </w:rPr>
          </w:pPr>
          <w:r w:rsidRPr="00D627CE">
            <w:rPr>
              <w:rFonts w:eastAsia="Calibri"/>
              <w:b/>
              <w:sz w:val="23"/>
              <w:szCs w:val="23"/>
            </w:rPr>
            <w:t>DĖL PETICIJOJE PATEIKTO SIŪLYMO NETENKINIMO</w:t>
          </w:r>
        </w:p>
        <w:p w:rsidR="005427A1" w:rsidRPr="00D627CE" w:rsidRDefault="00370ED3">
          <w:pPr>
            <w:spacing w:line="360" w:lineRule="auto"/>
            <w:jc w:val="center"/>
            <w:rPr>
              <w:rFonts w:eastAsia="Calibri"/>
              <w:sz w:val="23"/>
              <w:szCs w:val="23"/>
              <w:lang w:val="en-US"/>
            </w:rPr>
          </w:pPr>
          <w:r>
            <w:rPr>
              <w:rFonts w:eastAsia="Calibri"/>
              <w:sz w:val="23"/>
              <w:szCs w:val="23"/>
            </w:rPr>
            <w:t xml:space="preserve">2024 m. rugsėjo </w:t>
          </w:r>
          <w:r>
            <w:rPr>
              <w:rFonts w:eastAsia="Calibri"/>
              <w:sz w:val="23"/>
              <w:szCs w:val="23"/>
              <w:lang w:val="en-US"/>
            </w:rPr>
            <w:t>19</w:t>
          </w:r>
          <w:r>
            <w:rPr>
              <w:rFonts w:eastAsia="Calibri"/>
              <w:sz w:val="23"/>
              <w:szCs w:val="23"/>
            </w:rPr>
            <w:t xml:space="preserve"> d. Nr. 250-I-25</w:t>
          </w:r>
        </w:p>
        <w:p w:rsidR="005427A1" w:rsidRPr="00D627CE" w:rsidRDefault="00AC3DB9">
          <w:pPr>
            <w:spacing w:line="360" w:lineRule="auto"/>
            <w:jc w:val="center"/>
            <w:rPr>
              <w:rFonts w:eastAsia="Calibri"/>
              <w:sz w:val="23"/>
              <w:szCs w:val="23"/>
            </w:rPr>
          </w:pPr>
          <w:r w:rsidRPr="00D627CE">
            <w:rPr>
              <w:rFonts w:eastAsia="Calibri"/>
              <w:sz w:val="23"/>
              <w:szCs w:val="23"/>
            </w:rPr>
            <w:t>Vilnius</w:t>
          </w:r>
        </w:p>
        <w:p w:rsidR="005427A1" w:rsidRPr="00D627CE" w:rsidRDefault="005427A1">
          <w:pPr>
            <w:spacing w:line="360" w:lineRule="auto"/>
            <w:jc w:val="center"/>
            <w:rPr>
              <w:rFonts w:eastAsia="Calibri"/>
              <w:sz w:val="23"/>
              <w:szCs w:val="23"/>
            </w:rPr>
          </w:pPr>
        </w:p>
        <w:sdt>
          <w:sdtPr>
            <w:rPr>
              <w:color w:val="auto"/>
              <w:szCs w:val="20"/>
              <w:lang w:eastAsia="en-US"/>
            </w:rPr>
            <w:alias w:val="preambule"/>
            <w:tag w:val="part_4a1e2754778e450bbfed49196cc2268c"/>
            <w:id w:val="-236793222"/>
            <w:lock w:val="sdtLocked"/>
          </w:sdtPr>
          <w:sdtEndPr/>
          <w:sdtContent>
            <w:p w:rsidR="007D2F42" w:rsidRPr="004E5D57" w:rsidRDefault="00AC3DB9" w:rsidP="00D92E3C">
              <w:pPr>
                <w:pStyle w:val="Default"/>
                <w:spacing w:line="360" w:lineRule="auto"/>
                <w:ind w:firstLine="720"/>
                <w:jc w:val="both"/>
              </w:pPr>
              <w:r w:rsidRPr="004E5D57">
                <w:t>Lietuvos Respublikos Seimo Pe</w:t>
              </w:r>
              <w:r w:rsidR="00FF75B2" w:rsidRPr="004E5D57">
                <w:t xml:space="preserve">ticijų komisija </w:t>
              </w:r>
              <w:r w:rsidR="00C145A4" w:rsidRPr="004E5D57">
                <w:t xml:space="preserve">(toliau – Komisija) </w:t>
              </w:r>
              <w:r w:rsidR="00370ED3">
                <w:t xml:space="preserve">2024 m. rugsėjo </w:t>
              </w:r>
              <w:r w:rsidR="00370ED3">
                <w:rPr>
                  <w:lang w:val="en-US"/>
                </w:rPr>
                <w:t>19</w:t>
              </w:r>
              <w:r w:rsidRPr="004E5D57">
                <w:t xml:space="preserve"> d.</w:t>
              </w:r>
              <w:r w:rsidR="00370ED3">
                <w:t xml:space="preserve"> posėdyje išnagrinėjo pareiškėjų</w:t>
              </w:r>
              <w:r w:rsidRPr="004E5D57">
                <w:t xml:space="preserve"> petic</w:t>
              </w:r>
              <w:r w:rsidR="00370ED3">
                <w:t>ijas, kurios</w:t>
              </w:r>
              <w:r w:rsidR="00D92E3C" w:rsidRPr="004E5D57">
                <w:t>e pateiktas siūlymas</w:t>
              </w:r>
              <w:r w:rsidR="00D92E3C" w:rsidRPr="004E5D57">
                <w:rPr>
                  <w:color w:val="1F4E79" w:themeColor="accent1" w:themeShade="80"/>
                  <w:lang w:bidi="bn-IN"/>
                </w:rPr>
                <w:t xml:space="preserve"> </w:t>
              </w:r>
              <w:r w:rsidR="00370ED3" w:rsidRPr="00416890">
                <w:t xml:space="preserve">pakeisti Lietuvos Respublikos bausmių vykdymo kodekso (toliau – BVK) </w:t>
              </w:r>
              <w:r w:rsidR="00370ED3">
                <w:t>83</w:t>
              </w:r>
              <w:r w:rsidR="00370ED3" w:rsidRPr="00416890">
                <w:t xml:space="preserve"> straipsnį</w:t>
              </w:r>
              <w:r w:rsidR="00370ED3">
                <w:t xml:space="preserve">, sudarant teisines prielaidas </w:t>
              </w:r>
              <w:r w:rsidR="00370ED3" w:rsidRPr="00416890">
                <w:t>lygtin</w:t>
              </w:r>
              <w:r w:rsidR="00370ED3">
                <w:t>į</w:t>
              </w:r>
              <w:r w:rsidR="00370ED3" w:rsidRPr="00416890">
                <w:t xml:space="preserve"> paleidim</w:t>
              </w:r>
              <w:r w:rsidR="00370ED3">
                <w:t>ą</w:t>
              </w:r>
              <w:r w:rsidR="00370ED3" w:rsidRPr="00416890">
                <w:t xml:space="preserve"> iš </w:t>
              </w:r>
              <w:r w:rsidR="00370ED3">
                <w:t>laisvės atėmimo vietų įstaigos</w:t>
              </w:r>
              <w:r w:rsidR="00370ED3" w:rsidRPr="00416890">
                <w:t xml:space="preserve"> </w:t>
              </w:r>
              <w:r w:rsidR="00370ED3">
                <w:t>taikyti</w:t>
              </w:r>
              <w:r w:rsidR="00370ED3" w:rsidRPr="00416890">
                <w:t xml:space="preserve"> </w:t>
              </w:r>
              <w:r w:rsidR="00370ED3">
                <w:t xml:space="preserve">ir </w:t>
              </w:r>
              <w:r w:rsidR="00370ED3" w:rsidRPr="000E3228">
                <w:t>asmenims, atliekantiems bausmę už tyčinius nusikaltimus, padarytus laikino sulaikymo, suėmimo vykdymo, arešto arba laisvės atėmimo bausmės atlikimo metu</w:t>
              </w:r>
              <w:r w:rsidR="00370ED3">
                <w:t xml:space="preserve"> </w:t>
              </w:r>
              <w:r w:rsidR="00945D27" w:rsidRPr="004E5D57">
                <w:rPr>
                  <w:rFonts w:eastAsia="Calibri"/>
                </w:rPr>
                <w:t xml:space="preserve">ir priėmė sprendimą </w:t>
              </w:r>
              <w:r w:rsidR="00945D27" w:rsidRPr="004E5D57">
                <w:t xml:space="preserve">teikti Seimui išvadą </w:t>
              </w:r>
              <w:r w:rsidR="00945D27" w:rsidRPr="004E5D57">
                <w:rPr>
                  <w:rFonts w:eastAsia="Calibri"/>
                </w:rPr>
                <w:t>netenkinti šio siūlymo.</w:t>
              </w:r>
              <w:r w:rsidR="00D627CE" w:rsidRPr="004E5D57">
                <w:rPr>
                  <w:rFonts w:eastAsia="Calibri"/>
                </w:rPr>
                <w:t xml:space="preserve"> </w:t>
              </w:r>
              <w:r w:rsidR="00C145A4" w:rsidRPr="004E5D57">
                <w:t>K</w:t>
              </w:r>
              <w:r w:rsidR="00FF75B2" w:rsidRPr="004E5D57">
                <w:t>omisija</w:t>
              </w:r>
              <w:r w:rsidR="00F60FE9" w:rsidRPr="004E5D57">
                <w:rPr>
                  <w:rFonts w:eastAsia="Calibri"/>
                </w:rPr>
                <w:t xml:space="preserve"> sprendimą priė</w:t>
              </w:r>
              <w:r w:rsidR="00FF75B2" w:rsidRPr="004E5D57">
                <w:rPr>
                  <w:rFonts w:eastAsia="Calibri"/>
                </w:rPr>
                <w:t>mė</w:t>
              </w:r>
              <w:r w:rsidR="00945D27" w:rsidRPr="004E5D57">
                <w:rPr>
                  <w:rFonts w:eastAsia="Calibri"/>
                </w:rPr>
                <w:t xml:space="preserve"> atsižvelgus</w:t>
              </w:r>
              <w:r w:rsidR="00FF75B2" w:rsidRPr="004E5D57">
                <w:rPr>
                  <w:rFonts w:eastAsia="Calibri"/>
                </w:rPr>
                <w:t>i</w:t>
              </w:r>
              <w:r w:rsidR="00945D27" w:rsidRPr="004E5D57">
                <w:rPr>
                  <w:rFonts w:eastAsia="Calibri"/>
                </w:rPr>
                <w:t xml:space="preserve"> į Lietuvos Respublikos </w:t>
              </w:r>
              <w:r w:rsidR="00370ED3">
                <w:t>teisingumo</w:t>
              </w:r>
              <w:r w:rsidR="00D92E3C" w:rsidRPr="004E5D57">
                <w:t xml:space="preserve"> ministerijos </w:t>
              </w:r>
              <w:r w:rsidR="00945D27" w:rsidRPr="004E5D57">
                <w:rPr>
                  <w:rFonts w:eastAsia="Calibri"/>
                </w:rPr>
                <w:t>nuomonę dėl peticijoje pateikto siūlymo.</w:t>
              </w:r>
              <w:r w:rsidR="00916CF8" w:rsidRPr="004E5D57">
                <w:t xml:space="preserve"> </w:t>
              </w:r>
            </w:p>
            <w:p w:rsidR="00370ED3" w:rsidRDefault="00370ED3" w:rsidP="00E805F1">
              <w:pPr>
                <w:spacing w:before="40" w:after="40" w:line="360" w:lineRule="auto"/>
                <w:ind w:right="40" w:firstLine="851"/>
                <w:jc w:val="both"/>
                <w:outlineLvl w:val="0"/>
              </w:pPr>
              <w:r>
                <w:t xml:space="preserve">Lietuvos Respublikos Seimas dar </w:t>
              </w:r>
              <w:r w:rsidRPr="001E654A">
                <w:t xml:space="preserve">2005 </w:t>
              </w:r>
              <w:r>
                <w:t xml:space="preserve">m. balandžio </w:t>
              </w:r>
              <w:r w:rsidRPr="001E654A">
                <w:t xml:space="preserve">21 </w:t>
              </w:r>
              <w:r>
                <w:t xml:space="preserve">d. </w:t>
              </w:r>
              <w:r w:rsidRPr="001E654A">
                <w:t>įstatymu Nr. X-164</w:t>
              </w:r>
              <w:r>
                <w:t xml:space="preserve"> </w:t>
              </w:r>
              <w:proofErr w:type="spellStart"/>
              <w:r w:rsidRPr="001E654A">
                <w:rPr>
                  <w:i/>
                  <w:iCs/>
                </w:rPr>
                <w:t>inter</w:t>
              </w:r>
              <w:proofErr w:type="spellEnd"/>
              <w:r w:rsidRPr="001E654A">
                <w:rPr>
                  <w:i/>
                  <w:iCs/>
                </w:rPr>
                <w:t xml:space="preserve"> alia</w:t>
              </w:r>
              <w:r>
                <w:t xml:space="preserve"> apsisprendė papildyti Lietuvos Respublikos bausmių vykdymo kodekso (toliau – BVK) 158 straipsnio 4 punktą, nustatydamas, kad </w:t>
              </w:r>
              <w:r w:rsidRPr="00416890">
                <w:t>lygtin</w:t>
              </w:r>
              <w:r>
                <w:t>is</w:t>
              </w:r>
              <w:r w:rsidRPr="00416890">
                <w:t xml:space="preserve"> paleidim</w:t>
              </w:r>
              <w:r>
                <w:t>as</w:t>
              </w:r>
              <w:r w:rsidRPr="00416890">
                <w:t xml:space="preserve"> iš </w:t>
              </w:r>
              <w:r>
                <w:t>laisvės atėmimo vietų įstaigos</w:t>
              </w:r>
              <w:r w:rsidRPr="00416890">
                <w:t xml:space="preserve"> </w:t>
              </w:r>
              <w:r>
                <w:t xml:space="preserve">netaikomas ir </w:t>
              </w:r>
              <w:r w:rsidRPr="000E3228">
                <w:t xml:space="preserve">asmenims, atliekantiems bausmę už tyčinius nusikaltimus, padarytus </w:t>
              </w:r>
              <w:r>
                <w:t xml:space="preserve">arešto ir </w:t>
              </w:r>
              <w:r w:rsidRPr="000E3228">
                <w:t>suėmimo vykdymo metu</w:t>
              </w:r>
              <w:r>
                <w:t xml:space="preserve">. Pastebėtina, kad paminėtas ir dabar </w:t>
              </w:r>
              <w:bookmarkStart w:id="0" w:name="_Hlk150269878"/>
              <w:r w:rsidRPr="00416890">
                <w:t xml:space="preserve">BVK </w:t>
              </w:r>
              <w:r>
                <w:t>83</w:t>
              </w:r>
              <w:bookmarkEnd w:id="0"/>
              <w:r w:rsidRPr="00416890">
                <w:t xml:space="preserve"> straipsn</w:t>
              </w:r>
              <w:r>
                <w:t>yje įtvirtintas</w:t>
              </w:r>
              <w:r w:rsidRPr="00416890">
                <w:t xml:space="preserve"> </w:t>
              </w:r>
              <w:r>
                <w:t xml:space="preserve">teisinis reguliavimas, nustatantis išimtis iš bendros lygtinio paleidimo iš laisvės atėmimo vietų įstaigos tvarkos, svariai prisideda prie bendrosios nusikaltimų prevencijos, saugesnės visuomenės ir laisvės atėmimo vietų įstaigos valdymo. Aptariamu atveju, netaikant lygtinio paleidimo </w:t>
              </w:r>
              <w:r w:rsidRPr="0014744B">
                <w:t xml:space="preserve">iš </w:t>
              </w:r>
              <w:r>
                <w:t xml:space="preserve">laisvės atėmimo vietų įstaigos asmenims, nuteistiems </w:t>
              </w:r>
              <w:r w:rsidRPr="00066268">
                <w:t>už</w:t>
              </w:r>
              <w:r w:rsidRPr="0080542F">
                <w:t xml:space="preserve"> tyčinius nusikaltimus, padarytus laikino sulaikymo, suėmimo vykdymo, arešto arba laisvės atėmimo bausmės atlikimo metu</w:t>
              </w:r>
              <w:r>
                <w:t>, siekiama asmenis, atliekančius laisvės atėmimo bausmes, atgrasyti</w:t>
              </w:r>
              <w:r w:rsidRPr="0014744B">
                <w:t xml:space="preserve"> </w:t>
              </w:r>
              <w:r>
                <w:t>nuo naujų nusikaltimų darymo ir sukurti jiems paveikią aplinką keisti savo nusikalstamą elgesį.</w:t>
              </w:r>
            </w:p>
            <w:p w:rsidR="00E805F1" w:rsidRPr="00184086" w:rsidRDefault="00E805F1" w:rsidP="00184086">
              <w:pPr>
                <w:spacing w:line="360" w:lineRule="auto"/>
                <w:ind w:firstLine="851"/>
                <w:jc w:val="both"/>
                <w:rPr>
                  <w:rFonts w:eastAsia="Calibri"/>
                  <w:bCs/>
                  <w:szCs w:val="24"/>
                </w:rPr>
              </w:pPr>
              <w:r>
                <w:rPr>
                  <w:rFonts w:eastAsia="Calibri"/>
                  <w:bCs/>
                  <w:szCs w:val="24"/>
                </w:rPr>
                <w:t xml:space="preserve">BVK 83 straipsnyje nustatytas nusikalstamų veikų, už kurias laisvės atėmimo bausmę atliekantiems nuteistiesiems negali būti taikomas lygtinis paleidimas iš laisvės atėmimo vietų įstaigos, sąrašas. Į šį sąrašą patenka nusikaltimai Lietuvos valstybės nepriklausomybei, teritorijos vientisumui ir konstitucinei santvarkai, nepilnamečio asmens seksualinio apsisprendimo laisvei ir (ar) neliečiamumui, taip pat nusikaltimai, padaryti laisvės atėmimo vietose. Pastebėtina, kad į nurodytą sąrašą neįtraukti nusikaltimus žmoniškumui ir karo nusikaltimus, kurie Lietuvos Respublikos </w:t>
              </w:r>
              <w:r>
                <w:rPr>
                  <w:rFonts w:eastAsia="Calibri"/>
                  <w:bCs/>
                  <w:szCs w:val="24"/>
                </w:rPr>
                <w:lastRenderedPageBreak/>
                <w:t>baudžiamajame kodekse (toliau – BK) priskiriami prie pačių sunkiausių nusikalstamų veikų, tačiau, vadovaujantis galiojančiu teisiniu reguliavimu, už šiuos nusikaltimus bausmę atliekantys asmenys šiuo metu potencialiai galėtų būti lygtinai paleidžiami atlikę tik dalį jiems paskirtos bausmės.</w:t>
              </w:r>
            </w:p>
            <w:p w:rsidR="00370ED3" w:rsidRDefault="00370ED3" w:rsidP="00E805F1">
              <w:pPr>
                <w:spacing w:before="40" w:after="40" w:line="360" w:lineRule="auto"/>
                <w:ind w:right="40" w:firstLine="851"/>
                <w:jc w:val="both"/>
                <w:outlineLvl w:val="0"/>
              </w:pPr>
              <w:r>
                <w:t>Pažymėtina, kad</w:t>
              </w:r>
              <w:bookmarkStart w:id="1" w:name="_Hlk150967539"/>
              <w:r w:rsidRPr="002161F7">
                <w:t xml:space="preserve"> </w:t>
              </w:r>
              <w:bookmarkStart w:id="2" w:name="_Hlk150353262"/>
              <w:bookmarkEnd w:id="1"/>
              <w:r>
                <w:t xml:space="preserve">Lietuvos Respublikos </w:t>
              </w:r>
              <w:r w:rsidRPr="002161F7">
                <w:t>Konstitucinis Teism</w:t>
              </w:r>
              <w:bookmarkEnd w:id="2"/>
              <w:r w:rsidRPr="002161F7">
                <w:t>as</w:t>
              </w:r>
              <w:r>
                <w:t xml:space="preserve"> (toliau – KT) savo sprendimuose </w:t>
              </w:r>
              <w:r w:rsidRPr="002161F7">
                <w:t xml:space="preserve">ne kartą yra konstatavęs, </w:t>
              </w:r>
              <w:r>
                <w:t xml:space="preserve">jog </w:t>
              </w:r>
              <w:r w:rsidRPr="002161F7">
                <w:t>konstitucinis asmenų lygiateisiškumo principas nepaneigia galimybės įstatyme nustatyti nevienodą (diferencijuotą) teisinį reguliavimą tam tikrų asmenų kategorijų, esančių skirtingose padėtyse, atžvilgiu</w:t>
              </w:r>
              <w:r>
                <w:t xml:space="preserve">, </w:t>
              </w:r>
              <w:r w:rsidRPr="00A42C93">
                <w:t>jeigu tarp šių asmenų yra tokio pobūdžio skirtumų, kurie tokį diferencijuotą reguliavimą daro objektyviai pateisinamą</w:t>
              </w:r>
              <w:r>
                <w:rPr>
                  <w:rStyle w:val="Puslapioinaosnuoroda"/>
                  <w:rFonts w:eastAsia="Andale Sans UI"/>
                </w:rPr>
                <w:footnoteReference w:id="1"/>
              </w:r>
              <w:r>
                <w:t>.</w:t>
              </w:r>
              <w:r w:rsidRPr="00317547">
                <w:t xml:space="preserve"> </w:t>
              </w:r>
              <w:r>
                <w:t xml:space="preserve">Kartu KT ne kartą yra pasisakęs, kad </w:t>
              </w:r>
              <w:r w:rsidRPr="002161F7">
                <w:t>įstatymų leidėjas gali, atsižvelgdamas į nusikalstamų veikų pobūdį, pavojingumą (sunkumą), mastą, kitus požymius</w:t>
              </w:r>
              <w:r>
                <w:t xml:space="preserve"> bei</w:t>
              </w:r>
              <w:r w:rsidRPr="002161F7">
                <w:t xml:space="preserve"> kitas reikšmingas aplinkybes, įtvirtinti diferencijuotą teisinį reguliavimą ir už atitinkamas nusikalstamas veikas nustatyti skirtingą baudžiamąją atsakomybę ar bausmės atlikimo sąlygas.</w:t>
              </w:r>
              <w:r>
                <w:t xml:space="preserve"> Šia aptariama KT</w:t>
              </w:r>
              <w:r w:rsidRPr="002161F7">
                <w:t xml:space="preserve"> </w:t>
              </w:r>
              <w:r>
                <w:t xml:space="preserve">suformuota doktrina vadovaujasi visi teismai, kurie, nagrinėdami pareiškėjų skundus dėl galimai diskriminacinio teisinio reguliavimo, ne kartą konstatavo, kad BVK įtvirtinta </w:t>
              </w:r>
              <w:r w:rsidRPr="00E13F92">
                <w:t xml:space="preserve">nevienoda galimybė būti lygtinai paleistam, atsižvelgiant į padaryto nusikaltimo pobūdį, yra galima, </w:t>
              </w:r>
              <w:r>
                <w:t>nes</w:t>
              </w:r>
              <w:r w:rsidRPr="00E13F92">
                <w:t xml:space="preserve"> diferencijuotas teisinis reguliavimas, kai jis taikomas tam tikroms vienodais požymiais pasižyminčioms asmenų grupėms, jeigu juo siekiama pozityvių, visuomeniškai reikšmingų tikslų arba jeigu tam tikrų ribojimų ar sąlygų nustatymas yra susijęs su reguliuojamų visuomeninių santykių ypatumais, savaime nelaikytinas diskriminaciniu</w:t>
              </w:r>
              <w:r>
                <w:rPr>
                  <w:rStyle w:val="Puslapioinaosnuoroda"/>
                  <w:rFonts w:eastAsia="Andale Sans UI"/>
                </w:rPr>
                <w:footnoteReference w:id="2"/>
              </w:r>
              <w:r w:rsidRPr="00E13F92">
                <w:t>.</w:t>
              </w:r>
            </w:p>
            <w:p w:rsidR="00370ED3" w:rsidRDefault="00370ED3" w:rsidP="00E805F1">
              <w:pPr>
                <w:pStyle w:val="Tekstas"/>
                <w:spacing w:before="0" w:after="0" w:line="360" w:lineRule="auto"/>
                <w:ind w:firstLine="851"/>
                <w:outlineLvl w:val="0"/>
              </w:pPr>
              <w:r>
                <w:t>Peticijoje nuteistųjų teisinę padėtį siūloma švelninti, taikant lygtinį paleidimą iš laisvės atėmimo vietų įstaigos, net kai nuteistieji bausmės atlikimo metu daro visuomenei pavojingiausius pažeidimus – nusikaltimus. Tokio siūlymo įgyvendinimas būtų nesuderinamas su BVK</w:t>
              </w:r>
              <w:r w:rsidRPr="00C64034">
                <w:t xml:space="preserve"> </w:t>
              </w:r>
              <w:r>
                <w:t>4</w:t>
              </w:r>
              <w:r w:rsidRPr="00C64034">
                <w:t xml:space="preserve"> straipsn</w:t>
              </w:r>
              <w:r>
                <w:t xml:space="preserve">io 1 dalies 9 punkte </w:t>
              </w:r>
              <w:r w:rsidRPr="00C64034">
                <w:t>įtvirtint</w:t>
              </w:r>
              <w:r>
                <w:t>u vienu</w:t>
              </w:r>
              <w:r w:rsidRPr="00C64034">
                <w:t xml:space="preserve"> </w:t>
              </w:r>
              <w:r>
                <w:t xml:space="preserve">iš pamatiniu bausmių vykdymo principu – </w:t>
              </w:r>
              <w:r w:rsidRPr="00C64034">
                <w:t>teisingo ir progresyvaus bausmių atlikim</w:t>
              </w:r>
              <w:r>
                <w:t xml:space="preserve">o. Šio principo esmė yra ta, kad nuteistojo teisinė padėtis tiesiogiai priklauso nuo jo </w:t>
              </w:r>
              <w:r w:rsidRPr="00A63295">
                <w:t>nusikalstamo elgesio rizik</w:t>
              </w:r>
              <w:r>
                <w:t>os</w:t>
              </w:r>
              <w:r w:rsidRPr="00A63295">
                <w:t xml:space="preserve"> ir elges</w:t>
              </w:r>
              <w:r>
                <w:t>io</w:t>
              </w:r>
              <w:r w:rsidRPr="00A63295">
                <w:t xml:space="preserve"> </w:t>
              </w:r>
              <w:r>
                <w:t xml:space="preserve">pokyčių </w:t>
              </w:r>
              <w:r w:rsidRPr="00A63295">
                <w:t>bausmės atlikimo metu (nustatytų pareigų atlikim</w:t>
              </w:r>
              <w:r>
                <w:t>o</w:t>
              </w:r>
              <w:r w:rsidRPr="00A63295">
                <w:t xml:space="preserve"> ir draudimų laikym</w:t>
              </w:r>
              <w:r>
                <w:t>osi</w:t>
              </w:r>
              <w:r w:rsidRPr="00A63295">
                <w:t>, reagavim</w:t>
              </w:r>
              <w:r>
                <w:t>o</w:t>
              </w:r>
              <w:r w:rsidRPr="00A63295">
                <w:t xml:space="preserve"> į resocializacijos priemones</w:t>
              </w:r>
              <w:r>
                <w:t xml:space="preserve"> ir pan.</w:t>
              </w:r>
              <w:r w:rsidRPr="00A63295">
                <w:t>)</w:t>
              </w:r>
              <w:r>
                <w:t xml:space="preserve">. Atsižvelgiant į tai, nuteistojo, kuris daro pažangą resocializacijos procese, mažina savo nusikalstamo elgesio riziką, jo </w:t>
              </w:r>
              <w:r w:rsidRPr="00C64034">
                <w:t>teisinė padėtis švelninama suteikiant papildom</w:t>
              </w:r>
              <w:r>
                <w:t>ų</w:t>
              </w:r>
              <w:r w:rsidRPr="00C64034">
                <w:t xml:space="preserve"> teis</w:t>
              </w:r>
              <w:r>
                <w:t>ių</w:t>
              </w:r>
              <w:r w:rsidRPr="00C64034">
                <w:t>, atsisakant tam tikrų apribojimų</w:t>
              </w:r>
              <w:r>
                <w:t>, o taip pat</w:t>
              </w:r>
              <w:r w:rsidRPr="00C64034">
                <w:t xml:space="preserve"> taikant lygtinį paleidimą iš </w:t>
              </w:r>
              <w:r>
                <w:t xml:space="preserve">laisvės atėmimo vietų </w:t>
              </w:r>
              <w:r w:rsidRPr="00C64034">
                <w:t>įstaigos</w:t>
              </w:r>
              <w:r>
                <w:t>. Tačiau</w:t>
              </w:r>
              <w:r w:rsidR="00F34BA5">
                <w:t>,</w:t>
              </w:r>
              <w:r>
                <w:t xml:space="preserve"> tuo atveju, kai nuteistasis nedaro minėtos pažangos ar didėja jo nusikalstamo elgesio rizika dėl </w:t>
              </w:r>
              <w:r w:rsidR="00F34BA5">
                <w:t>padarytų naujų teisės pažeidimų</w:t>
              </w:r>
              <w:r>
                <w:t xml:space="preserve">, jo teisinė padėtis </w:t>
              </w:r>
              <w:r w:rsidRPr="00C64034">
                <w:t xml:space="preserve">griežtinama </w:t>
              </w:r>
              <w:r>
                <w:t>(apribojamos</w:t>
              </w:r>
              <w:r w:rsidRPr="00C64034">
                <w:t xml:space="preserve"> tam tikr</w:t>
              </w:r>
              <w:r>
                <w:t>os</w:t>
              </w:r>
              <w:r w:rsidRPr="00C64034">
                <w:t xml:space="preserve"> teis</w:t>
              </w:r>
              <w:r>
                <w:t>ė</w:t>
              </w:r>
              <w:r w:rsidRPr="00C64034">
                <w:t>s, nustat</w:t>
              </w:r>
              <w:r>
                <w:t>omos</w:t>
              </w:r>
              <w:r w:rsidRPr="00C64034">
                <w:t xml:space="preserve"> papildom</w:t>
              </w:r>
              <w:r>
                <w:t>os</w:t>
              </w:r>
              <w:r w:rsidRPr="00C64034">
                <w:t xml:space="preserve"> pareig</w:t>
              </w:r>
              <w:r>
                <w:t>os</w:t>
              </w:r>
              <w:r w:rsidRPr="00C64034">
                <w:t>, o taip pat netaik</w:t>
              </w:r>
              <w:r>
                <w:t>omas</w:t>
              </w:r>
              <w:r w:rsidRPr="00C64034">
                <w:t xml:space="preserve"> </w:t>
              </w:r>
              <w:r>
                <w:t>l</w:t>
              </w:r>
              <w:r w:rsidRPr="00C64034">
                <w:t>ygtini</w:t>
              </w:r>
              <w:r>
                <w:t>s</w:t>
              </w:r>
              <w:r w:rsidRPr="00C64034">
                <w:t xml:space="preserve"> paleidim</w:t>
              </w:r>
              <w:r>
                <w:t>as</w:t>
              </w:r>
              <w:r w:rsidRPr="00C64034">
                <w:t xml:space="preserve"> iš </w:t>
              </w:r>
              <w:r>
                <w:t xml:space="preserve">laisvės atėmimo vietų </w:t>
              </w:r>
              <w:r w:rsidRPr="00C64034">
                <w:t>įstaigos</w:t>
              </w:r>
              <w:r>
                <w:t xml:space="preserve">). </w:t>
              </w:r>
            </w:p>
            <w:p w:rsidR="00370ED3" w:rsidRPr="0097177D" w:rsidRDefault="00370ED3" w:rsidP="00E805F1">
              <w:pPr>
                <w:spacing w:before="40" w:after="40" w:line="360" w:lineRule="auto"/>
                <w:ind w:right="40" w:firstLine="851"/>
                <w:jc w:val="both"/>
                <w:outlineLvl w:val="0"/>
              </w:pPr>
              <w:r w:rsidRPr="0097177D">
                <w:lastRenderedPageBreak/>
                <w:t>4. Akcentuotina ir tai, kad lygtinio paleidimo iš laisvės atėmimo vietų įstaigos taikymo sąlygos yra siejamos su nuteistojo nusikalstamo elgesio rizika (BVK 82 straipsnio 1 ir 3 dalys). Lygtinis paleidimas iš laisvės atėmimo vietų įstaigos gali būti taikomas tik tais atvejais, kai nuteistojo nusikalstamo elgesio rizika žema ir (ar) jis daro akivaizdžią pažangą mažinant šią riziką. Būtina pastebėti, kad įkalinto asmens padarytas naujas nusikaltimas suėmimo vykdymo ar bausmės atlikimo metu, atskleidžia jo neigiamą požiūrį į valstybės saugom</w:t>
              </w:r>
              <w:r>
                <w:t>u</w:t>
              </w:r>
              <w:r w:rsidRPr="0097177D">
                <w:t>s gėrius, nenorą keisti savo nusikalstamą elgesį ir gerbti visuotinai pripažint</w:t>
              </w:r>
              <w:r>
                <w:t>as</w:t>
              </w:r>
              <w:r w:rsidRPr="0097177D">
                <w:t xml:space="preserve"> vertyb</w:t>
              </w:r>
              <w:r>
                <w:t>es</w:t>
              </w:r>
              <w:r w:rsidRPr="0097177D">
                <w:t>. Taigi peticijoje pateiktas siūlymas iš esmės nesuderinamas ir su BVK nustatytomis lygtinio paleidimo iš laisvės atėmimo vietų įstaigos taikymo sąlygomis.</w:t>
              </w:r>
            </w:p>
            <w:p w:rsidR="00370ED3" w:rsidRDefault="00E805F1" w:rsidP="00E805F1">
              <w:pPr>
                <w:spacing w:before="40" w:after="40" w:line="360" w:lineRule="auto"/>
                <w:ind w:right="40" w:firstLine="851"/>
                <w:jc w:val="both"/>
                <w:outlineLvl w:val="0"/>
              </w:pPr>
              <w:r>
                <w:t>P</w:t>
              </w:r>
              <w:r w:rsidR="00370ED3">
                <w:t xml:space="preserve">aminėtina, kad asmenims, kurie pagal BVK </w:t>
              </w:r>
              <w:bookmarkStart w:id="3" w:name="_Hlk150267658"/>
              <w:r w:rsidR="00370ED3" w:rsidRPr="00DE1B00">
                <w:t>83 straipsn</w:t>
              </w:r>
              <w:bookmarkEnd w:id="3"/>
              <w:r w:rsidR="00370ED3" w:rsidRPr="00DE1B00">
                <w:t>į</w:t>
              </w:r>
              <w:r w:rsidR="00370ED3">
                <w:t xml:space="preserve"> negali būti lygtinai paleidžiami </w:t>
              </w:r>
              <w:r w:rsidR="00370ED3" w:rsidRPr="00DE1B00">
                <w:t>iš laisvės atėmimo vietų įstaigos</w:t>
              </w:r>
              <w:r w:rsidR="00370ED3">
                <w:t>, nėra neapribotos kitos jų bausmės atlikimo sąlygų arba paskirtos bausmės švelninimo galimybės. Pavyzdžiui, vadovaujantis BVK 37 straipsnio 6 dalimi,</w:t>
              </w:r>
              <w:r w:rsidR="00370ED3" w:rsidRPr="00634763">
                <w:t xml:space="preserve"> nuteistieji, kuriems negali būti taikomas lygtinis paleidimas iš bausmės atlikimo vietos ir kurie yra atlikę tris ketvirtadalius bausmės</w:t>
              </w:r>
              <w:r w:rsidR="00370ED3">
                <w:t xml:space="preserve"> bei atitinkantys kitas perkėlimo sąlygas/reikalavimus</w:t>
              </w:r>
              <w:r w:rsidR="00370ED3" w:rsidRPr="00634763">
                <w:t xml:space="preserve">, likus ne daugiau kaip dvejiems metams iki bausmės pabaigos, </w:t>
              </w:r>
              <w:r w:rsidR="00370ED3">
                <w:t xml:space="preserve">gali būti </w:t>
              </w:r>
              <w:r w:rsidR="00370ED3" w:rsidRPr="00634763">
                <w:t>perkeliami į atviro tipo bausmės atlikimo vietą</w:t>
              </w:r>
              <w:r w:rsidR="00370ED3">
                <w:t xml:space="preserve">. Taip pat šiems nuteistiesiems paskirta bausmė, vadovaujantis Lietuvos Respublikos baudžiamojo kodekso 78 ir 79 straipsniais, gali būti atitinkamai švelninama, taikant amnestiją arba malonę. </w:t>
              </w:r>
            </w:p>
            <w:p w:rsidR="005427A1" w:rsidRPr="00184086" w:rsidRDefault="00184086" w:rsidP="00184086">
              <w:pPr>
                <w:spacing w:line="360" w:lineRule="auto"/>
                <w:ind w:firstLine="851"/>
                <w:jc w:val="both"/>
                <w:rPr>
                  <w:rFonts w:eastAsia="Calibri"/>
                  <w:color w:val="000000"/>
                  <w:sz w:val="23"/>
                  <w:szCs w:val="23"/>
                </w:rPr>
              </w:pPr>
              <w:r w:rsidRPr="00D627CE">
                <w:rPr>
                  <w:rFonts w:eastAsia="Calibri"/>
                  <w:sz w:val="23"/>
                  <w:szCs w:val="23"/>
                  <w:lang w:eastAsia="ar-SA"/>
                </w:rPr>
                <w:t>Vadovaujantis Lietuvos Respublikos peticijų konstitucinio įstatymo 18 straipsnio 4 dalies 2 punktu ir Lietuvos Respublikos Seimo Peticijų komisijos nuostatų, patvirtintų Seimo 2023 m. birželio 27 d. nutarimu Nr. XIV-2101 „Dėl Lietuvos Respublikos Seimo Peticijų komisijos nuostatų patvirtinimo“, 8.7 punktu, Seimo Peticijų komisijos išvada dėl pareiškėjo peticijoje pateikto siūlymo netenkinimo teikiama Seimui, taip p</w:t>
              </w:r>
              <w:r w:rsidR="00F34BA5">
                <w:rPr>
                  <w:rFonts w:eastAsia="Calibri"/>
                  <w:sz w:val="23"/>
                  <w:szCs w:val="23"/>
                  <w:lang w:eastAsia="ar-SA"/>
                </w:rPr>
                <w:t xml:space="preserve">at siūloma įtraukti į Seimo </w:t>
              </w:r>
              <w:bookmarkStart w:id="4" w:name="_GoBack"/>
              <w:bookmarkEnd w:id="4"/>
              <w:r>
                <w:rPr>
                  <w:rFonts w:eastAsia="Calibri"/>
                  <w:sz w:val="23"/>
                  <w:szCs w:val="23"/>
                  <w:lang w:eastAsia="ar-SA"/>
                </w:rPr>
                <w:t>IX (rudens</w:t>
              </w:r>
              <w:r w:rsidRPr="00D627CE">
                <w:rPr>
                  <w:rFonts w:eastAsia="Calibri"/>
                  <w:sz w:val="23"/>
                  <w:szCs w:val="23"/>
                  <w:lang w:eastAsia="ar-SA"/>
                </w:rPr>
                <w:t>) sesijos darbotvarkę Seimo nutarimo „Dėl Lietuvos Respublikos Seimo Peticijų komisijos 202</w:t>
              </w:r>
              <w:r w:rsidRPr="00D627CE">
                <w:rPr>
                  <w:rFonts w:eastAsia="Calibri"/>
                  <w:sz w:val="23"/>
                  <w:szCs w:val="23"/>
                  <w:lang w:val="en-US" w:eastAsia="ar-SA"/>
                </w:rPr>
                <w:t>4</w:t>
              </w:r>
              <w:r>
                <w:rPr>
                  <w:rFonts w:eastAsia="Calibri"/>
                  <w:sz w:val="23"/>
                  <w:szCs w:val="23"/>
                  <w:lang w:eastAsia="ar-SA"/>
                </w:rPr>
                <w:t xml:space="preserve"> m. rugsėjo </w:t>
              </w:r>
              <w:r>
                <w:rPr>
                  <w:rFonts w:eastAsia="Calibri"/>
                  <w:sz w:val="23"/>
                  <w:szCs w:val="23"/>
                  <w:lang w:val="en-US" w:eastAsia="ar-SA"/>
                </w:rPr>
                <w:t>18</w:t>
              </w:r>
              <w:r w:rsidRPr="00D627CE">
                <w:rPr>
                  <w:rFonts w:eastAsia="Calibri"/>
                  <w:sz w:val="23"/>
                  <w:szCs w:val="23"/>
                  <w:lang w:val="en-US" w:eastAsia="ar-SA"/>
                </w:rPr>
                <w:t xml:space="preserve"> </w:t>
              </w:r>
              <w:r>
                <w:rPr>
                  <w:rFonts w:eastAsia="Calibri"/>
                  <w:sz w:val="23"/>
                  <w:szCs w:val="23"/>
                  <w:lang w:eastAsia="ar-SA"/>
                </w:rPr>
                <w:t>d. išvados Nr. 250-I-25</w:t>
              </w:r>
              <w:r w:rsidRPr="00D627CE">
                <w:rPr>
                  <w:rFonts w:eastAsia="Calibri"/>
                  <w:sz w:val="23"/>
                  <w:szCs w:val="23"/>
                  <w:lang w:eastAsia="ar-SA"/>
                </w:rPr>
                <w:t>“ projektą.</w:t>
              </w:r>
            </w:p>
          </w:sdtContent>
        </w:sdt>
        <w:sdt>
          <w:sdtPr>
            <w:rPr>
              <w:szCs w:val="24"/>
            </w:rPr>
            <w:alias w:val="pastraipa"/>
            <w:tag w:val="part_61e79df1cae74e789a0ffd222907bcc1"/>
            <w:id w:val="149337873"/>
            <w:lock w:val="sdtLocked"/>
          </w:sdtPr>
          <w:sdtEndPr>
            <w:rPr>
              <w:sz w:val="23"/>
              <w:szCs w:val="23"/>
            </w:rPr>
          </w:sdtEndPr>
          <w:sdtContent>
            <w:p w:rsidR="00F60FE9" w:rsidRPr="004E5D57" w:rsidRDefault="00F60FE9" w:rsidP="00F60FE9">
              <w:pPr>
                <w:spacing w:line="360" w:lineRule="auto"/>
                <w:jc w:val="both"/>
                <w:rPr>
                  <w:rFonts w:eastAsia="Calibri"/>
                  <w:szCs w:val="24"/>
                  <w:lang w:eastAsia="ar-SA"/>
                </w:rPr>
              </w:pPr>
            </w:p>
            <w:p w:rsidR="005427A1" w:rsidRPr="004E5D57" w:rsidRDefault="00AC3DB9">
              <w:pPr>
                <w:tabs>
                  <w:tab w:val="left" w:pos="1134"/>
                </w:tabs>
                <w:spacing w:line="360" w:lineRule="auto"/>
                <w:jc w:val="both"/>
                <w:rPr>
                  <w:rFonts w:eastAsia="Calibri"/>
                  <w:szCs w:val="24"/>
                  <w:lang w:eastAsia="ar-SA"/>
                </w:rPr>
              </w:pPr>
              <w:r w:rsidRPr="004E5D57">
                <w:rPr>
                  <w:rFonts w:eastAsia="Calibri"/>
                  <w:szCs w:val="24"/>
                  <w:lang w:eastAsia="ar-SA"/>
                </w:rPr>
                <w:t>Komisijos pirmininkas</w:t>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t>Edmundas Pupinis</w:t>
              </w:r>
            </w:p>
            <w:p w:rsidR="007D2F42" w:rsidRDefault="007D2F42">
              <w:pPr>
                <w:tabs>
                  <w:tab w:val="left" w:pos="1134"/>
                </w:tabs>
                <w:spacing w:line="360" w:lineRule="auto"/>
                <w:jc w:val="both"/>
                <w:rPr>
                  <w:rFonts w:eastAsia="Calibri"/>
                  <w:szCs w:val="24"/>
                  <w:lang w:eastAsia="ar-SA"/>
                </w:rPr>
              </w:pPr>
            </w:p>
            <w:p w:rsidR="00181C0D" w:rsidRDefault="00181C0D">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5427A1" w:rsidRPr="00D627CE" w:rsidRDefault="00AC3DB9">
              <w:pPr>
                <w:tabs>
                  <w:tab w:val="left" w:pos="1134"/>
                </w:tabs>
                <w:spacing w:line="360" w:lineRule="auto"/>
                <w:jc w:val="both"/>
                <w:rPr>
                  <w:rFonts w:eastAsia="Calibri"/>
                  <w:sz w:val="23"/>
                  <w:szCs w:val="23"/>
                </w:rPr>
              </w:pPr>
              <w:r w:rsidRPr="00D627CE">
                <w:rPr>
                  <w:rFonts w:eastAsia="Calibri"/>
                  <w:sz w:val="23"/>
                  <w:szCs w:val="23"/>
                  <w:lang w:eastAsia="ar-SA"/>
                </w:rPr>
                <w:t>R. Kniukštienė, tel. (0 5)  209 6</w:t>
              </w:r>
              <w:r w:rsidRPr="00D627CE">
                <w:rPr>
                  <w:rFonts w:eastAsia="Calibri"/>
                  <w:sz w:val="23"/>
                  <w:szCs w:val="23"/>
                  <w:lang w:val="en-US" w:eastAsia="ar-SA"/>
                </w:rPr>
                <w:t>591</w:t>
              </w:r>
              <w:r w:rsidRPr="00D627CE">
                <w:rPr>
                  <w:rFonts w:eastAsia="Calibri"/>
                  <w:sz w:val="23"/>
                  <w:szCs w:val="23"/>
                  <w:lang w:eastAsia="ar-SA"/>
                </w:rPr>
                <w:t>, el. p. rimante.kniukstiene@lrs.lt</w:t>
              </w:r>
            </w:p>
          </w:sdtContent>
        </w:sdt>
      </w:sdtContent>
    </w:sdt>
    <w:sectPr w:rsidR="005427A1" w:rsidRPr="00D627C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A1" w:rsidRDefault="00AC3DB9">
      <w:pPr>
        <w:rPr>
          <w:rFonts w:ascii="CG Times" w:hAnsi="CG Times"/>
          <w:sz w:val="20"/>
        </w:rPr>
      </w:pPr>
      <w:r>
        <w:rPr>
          <w:rFonts w:ascii="CG Times" w:hAnsi="CG Times"/>
          <w:sz w:val="20"/>
        </w:rPr>
        <w:separator/>
      </w:r>
    </w:p>
  </w:endnote>
  <w:endnote w:type="continuationSeparator" w:id="0">
    <w:p w:rsidR="005427A1" w:rsidRDefault="00AC3DB9">
      <w:pPr>
        <w:rPr>
          <w:rFonts w:ascii="CG Times" w:hAnsi="CG Times"/>
          <w:sz w:val="20"/>
        </w:rPr>
      </w:pPr>
      <w:r>
        <w:rPr>
          <w:rFonts w:ascii="CG Times" w:hAnsi="CG Times"/>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A1" w:rsidRDefault="00AC3DB9">
      <w:pPr>
        <w:rPr>
          <w:rFonts w:ascii="CG Times" w:hAnsi="CG Times"/>
          <w:sz w:val="20"/>
        </w:rPr>
      </w:pPr>
      <w:r>
        <w:rPr>
          <w:rFonts w:ascii="CG Times" w:hAnsi="CG Times"/>
          <w:sz w:val="20"/>
        </w:rPr>
        <w:separator/>
      </w:r>
    </w:p>
  </w:footnote>
  <w:footnote w:type="continuationSeparator" w:id="0">
    <w:p w:rsidR="005427A1" w:rsidRDefault="00AC3DB9">
      <w:pPr>
        <w:rPr>
          <w:rFonts w:ascii="CG Times" w:hAnsi="CG Times"/>
          <w:sz w:val="20"/>
        </w:rPr>
      </w:pPr>
      <w:r>
        <w:rPr>
          <w:rFonts w:ascii="CG Times" w:hAnsi="CG Times"/>
          <w:sz w:val="20"/>
        </w:rPr>
        <w:continuationSeparator/>
      </w:r>
    </w:p>
  </w:footnote>
  <w:footnote w:id="1">
    <w:p w:rsidR="00370ED3" w:rsidRDefault="00370ED3" w:rsidP="00370ED3">
      <w:pPr>
        <w:pStyle w:val="Puslapioinaostekstas"/>
      </w:pPr>
      <w:r>
        <w:rPr>
          <w:rStyle w:val="Puslapioinaosnuoroda"/>
        </w:rPr>
        <w:footnoteRef/>
      </w:r>
      <w:r>
        <w:t xml:space="preserve"> </w:t>
      </w:r>
      <w:r w:rsidRPr="00416890">
        <w:t xml:space="preserve">Lietuvos Respublikos </w:t>
      </w:r>
      <w:r w:rsidRPr="00317547">
        <w:t>Konstitucinio Teismo 1998 m. lapkričio 11 d., 2005 m. gegužės 13 d., 2006 m. gegužės 31 d., 2009 m. kovo 2 d., 2009 m. balandžio 29 d. nutarimai, 2010 m. balandžio 20 d. sprendimas, 2010 m. birželio 29 d.</w:t>
      </w:r>
      <w:r>
        <w:t xml:space="preserve"> ir</w:t>
      </w:r>
      <w:r w:rsidRPr="00317547">
        <w:t xml:space="preserve"> </w:t>
      </w:r>
      <w:r w:rsidRPr="00A42C93">
        <w:t>2011 m. gruodžio 22 d. nutarima</w:t>
      </w:r>
      <w:r>
        <w:t>i.</w:t>
      </w:r>
    </w:p>
  </w:footnote>
  <w:footnote w:id="2">
    <w:p w:rsidR="00370ED3" w:rsidRDefault="00370ED3" w:rsidP="00370ED3">
      <w:pPr>
        <w:pStyle w:val="Puslapioinaostekstas"/>
        <w:jc w:val="both"/>
      </w:pPr>
      <w:r>
        <w:rPr>
          <w:rStyle w:val="Puslapioinaosnuoroda"/>
        </w:rPr>
        <w:footnoteRef/>
      </w:r>
      <w:r>
        <w:t xml:space="preserve"> </w:t>
      </w:r>
      <w:r>
        <w:t xml:space="preserve">Pavyzdžiui, </w:t>
      </w:r>
      <w:r w:rsidRPr="00E13F92">
        <w:t>Lietuvos apeliacinio teismo 2017 m. gegužės 4 d. nutartis, priimta civilinėje byloje Nr. 2A-217-196/2017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AC3DB9">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5800B4">
      <w:rPr>
        <w:noProof/>
        <w:szCs w:val="24"/>
      </w:rPr>
      <w:t>3</w:t>
    </w:r>
    <w:r>
      <w:rPr>
        <w:szCs w:val="24"/>
      </w:rPr>
      <w:fldChar w:fldCharType="end"/>
    </w:r>
  </w:p>
  <w:p w:rsidR="005427A1" w:rsidRDefault="005427A1">
    <w:pPr>
      <w:tabs>
        <w:tab w:val="center" w:pos="4819"/>
        <w:tab w:val="right" w:pos="9638"/>
      </w:tabs>
      <w:rPr>
        <w:rFonts w:ascii="CG Times" w:hAnsi="CG Time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121904"/>
    <w:rsid w:val="00125A79"/>
    <w:rsid w:val="0013463E"/>
    <w:rsid w:val="00181C0D"/>
    <w:rsid w:val="00184086"/>
    <w:rsid w:val="00245A5E"/>
    <w:rsid w:val="002F53CF"/>
    <w:rsid w:val="002F7036"/>
    <w:rsid w:val="003364F0"/>
    <w:rsid w:val="00370ED3"/>
    <w:rsid w:val="004E5D57"/>
    <w:rsid w:val="005427A1"/>
    <w:rsid w:val="005800B4"/>
    <w:rsid w:val="00590DC6"/>
    <w:rsid w:val="00593097"/>
    <w:rsid w:val="006A4651"/>
    <w:rsid w:val="007A014D"/>
    <w:rsid w:val="007D2F42"/>
    <w:rsid w:val="008D131C"/>
    <w:rsid w:val="0091178E"/>
    <w:rsid w:val="00913CCE"/>
    <w:rsid w:val="00916CF8"/>
    <w:rsid w:val="00945D27"/>
    <w:rsid w:val="00A3304E"/>
    <w:rsid w:val="00AC3DB9"/>
    <w:rsid w:val="00AE7509"/>
    <w:rsid w:val="00B80D4B"/>
    <w:rsid w:val="00BF5B1D"/>
    <w:rsid w:val="00C145A4"/>
    <w:rsid w:val="00C5060C"/>
    <w:rsid w:val="00C72C80"/>
    <w:rsid w:val="00D627CE"/>
    <w:rsid w:val="00D92E3C"/>
    <w:rsid w:val="00DA51E1"/>
    <w:rsid w:val="00E560F5"/>
    <w:rsid w:val="00E805F1"/>
    <w:rsid w:val="00F34BA5"/>
    <w:rsid w:val="00F60FE9"/>
    <w:rsid w:val="00FA0059"/>
    <w:rsid w:val="00FD61F4"/>
    <w:rsid w:val="00FF7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8E41"/>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72C8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72C80"/>
    <w:rPr>
      <w:rFonts w:ascii="Segoe UI" w:hAnsi="Segoe UI" w:cs="Segoe UI"/>
      <w:sz w:val="18"/>
      <w:szCs w:val="18"/>
    </w:rPr>
  </w:style>
  <w:style w:type="character" w:customStyle="1" w:styleId="normaltextrun">
    <w:name w:val="normaltextrun"/>
    <w:basedOn w:val="Numatytasispastraiposriftas"/>
    <w:rsid w:val="006A4651"/>
  </w:style>
  <w:style w:type="paragraph" w:styleId="Puslapioinaostekstas">
    <w:name w:val="footnote text"/>
    <w:aliases w:val="Footnote Text Char1,Footnote Text Char Char,Footnote text,Footnote Text1,Char Char,Footnote Text2,Footnote Text11,ALTS FOOTNOTE11,Footnote Text Char111,Footnote Text Char Char Char11,Footnote Text Char1 Char Char Char Char11"/>
    <w:basedOn w:val="prastasis"/>
    <w:link w:val="PuslapioinaostekstasDiagrama"/>
    <w:qFormat/>
    <w:rsid w:val="00C145A4"/>
    <w:rPr>
      <w:rFonts w:ascii="Calibri" w:eastAsia="Calibri" w:hAnsi="Calibri" w:cs="Calibri"/>
      <w:sz w:val="20"/>
      <w:lang w:eastAsia="lt-LT"/>
    </w:rPr>
  </w:style>
  <w:style w:type="character" w:customStyle="1" w:styleId="PuslapioinaostekstasDiagrama">
    <w:name w:val="Puslapio išnašos tekstas Diagrama"/>
    <w:aliases w:val="Footnote Text Char1 Diagrama,Footnote Text Char Char Diagrama,Footnote text Diagrama,Footnote Text1 Diagrama,Char Char Diagrama,Footnote Text2 Diagrama,Footnote Text11 Diagrama,ALTS FOOTNOTE11 Diagrama"/>
    <w:basedOn w:val="Numatytasispastraiposriftas"/>
    <w:link w:val="Puslapioinaostekstas"/>
    <w:rsid w:val="00C145A4"/>
    <w:rPr>
      <w:rFonts w:ascii="Calibri" w:eastAsia="Calibri" w:hAnsi="Calibri" w:cs="Calibri"/>
      <w:sz w:val="20"/>
      <w:lang w:eastAsia="lt-LT"/>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ootnote"/>
    <w:rsid w:val="00C145A4"/>
    <w:rPr>
      <w:vertAlign w:val="superscript"/>
    </w:rPr>
  </w:style>
  <w:style w:type="paragraph" w:customStyle="1" w:styleId="Default">
    <w:name w:val="Default"/>
    <w:rsid w:val="00C145A4"/>
    <w:pPr>
      <w:autoSpaceDE w:val="0"/>
      <w:autoSpaceDN w:val="0"/>
      <w:adjustRightInd w:val="0"/>
    </w:pPr>
    <w:rPr>
      <w:color w:val="000000"/>
      <w:szCs w:val="24"/>
      <w:lang w:eastAsia="lt-LT"/>
    </w:rPr>
  </w:style>
  <w:style w:type="character" w:styleId="Hipersaitas">
    <w:name w:val="Hyperlink"/>
    <w:rsid w:val="00D92E3C"/>
    <w:rPr>
      <w:color w:val="000080"/>
      <w:u w:val="single"/>
    </w:rPr>
  </w:style>
  <w:style w:type="paragraph" w:styleId="Pagrindinistekstas">
    <w:name w:val="Body Text"/>
    <w:basedOn w:val="prastasis"/>
    <w:link w:val="PagrindinistekstasDiagrama"/>
    <w:rsid w:val="00D92E3C"/>
    <w:pPr>
      <w:ind w:firstLine="567"/>
      <w:jc w:val="both"/>
    </w:pPr>
    <w:rPr>
      <w:rFonts w:eastAsia="Andale Sans UI" w:cs="Tahoma"/>
      <w:szCs w:val="24"/>
      <w:lang w:bidi="en-US"/>
    </w:rPr>
  </w:style>
  <w:style w:type="character" w:customStyle="1" w:styleId="PagrindinistekstasDiagrama">
    <w:name w:val="Pagrindinis tekstas Diagrama"/>
    <w:basedOn w:val="Numatytasispastraiposriftas"/>
    <w:link w:val="Pagrindinistekstas"/>
    <w:rsid w:val="00D92E3C"/>
    <w:rPr>
      <w:rFonts w:eastAsia="Andale Sans UI" w:cs="Tahoma"/>
      <w:szCs w:val="24"/>
      <w:lang w:bidi="en-US"/>
    </w:rPr>
  </w:style>
  <w:style w:type="paragraph" w:styleId="Komentarotekstas">
    <w:name w:val="annotation text"/>
    <w:basedOn w:val="prastasis"/>
    <w:link w:val="KomentarotekstasDiagrama"/>
    <w:unhideWhenUsed/>
    <w:rsid w:val="00D92E3C"/>
    <w:pPr>
      <w:jc w:val="both"/>
    </w:pPr>
    <w:rPr>
      <w:rFonts w:eastAsia="Andale Sans UI" w:cs="Tahoma"/>
      <w:sz w:val="20"/>
      <w:lang w:bidi="en-US"/>
    </w:rPr>
  </w:style>
  <w:style w:type="character" w:customStyle="1" w:styleId="KomentarotekstasDiagrama">
    <w:name w:val="Komentaro tekstas Diagrama"/>
    <w:basedOn w:val="Numatytasispastraiposriftas"/>
    <w:link w:val="Komentarotekstas"/>
    <w:rsid w:val="00D92E3C"/>
    <w:rPr>
      <w:rFonts w:eastAsia="Andale Sans UI" w:cs="Tahoma"/>
      <w:sz w:val="20"/>
      <w:lang w:bidi="en-US"/>
    </w:rPr>
  </w:style>
  <w:style w:type="character" w:customStyle="1" w:styleId="normal-h">
    <w:name w:val="normal-h"/>
    <w:basedOn w:val="Numatytasispastraiposriftas"/>
    <w:rsid w:val="00D92E3C"/>
  </w:style>
  <w:style w:type="character" w:customStyle="1" w:styleId="contentpasted1">
    <w:name w:val="contentpasted1"/>
    <w:basedOn w:val="Numatytasispastraiposriftas"/>
    <w:rsid w:val="00D92E3C"/>
  </w:style>
  <w:style w:type="paragraph" w:customStyle="1" w:styleId="Tekstas">
    <w:name w:val="Tekstas"/>
    <w:basedOn w:val="prastasis"/>
    <w:rsid w:val="00370ED3"/>
    <w:pPr>
      <w:spacing w:before="40" w:after="40"/>
      <w:ind w:right="40" w:firstLine="1247"/>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arts xmlns="http://lrs.lt/TAIS/DocParts">
  <Part Type="pagrindine" DocPartId="eb2e099258dd4196bcf9666e11ceaa92" PartId="46a0fb91daf64f5292e9262b495ae84e">
    <Part Type="preambule" DocPartId="b68f453c061a44198d6034e8509d844f" PartId="4a1e2754778e450bbfed49196cc2268c"/>
    <Part Type="pastraipa" DocPartId="cc8180f4cc3343f09fa32348a6b664ac" PartId="61e79df1cae74e789a0ffd222907bcc1"/>
  </Part>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Z6YWEJNPDQQR-896559167-493</_dlc_DocId>
    <_dlc_DocIdUrl xmlns="28130d43-1b56-4a10-ad88-2cd38123f4c1">
      <Url>https://intranetas.lrs.lt/29/_layouts/15/DocIdRedir.aspx?ID=Z6YWEJNPDQQR-896559167-493</Url>
      <Description>Z6YWEJNPDQQR-896559167-493</Description>
    </_dlc_DocIdUrl>
  </documentManagement>
</p:properties>
</file>

<file path=customXml/itemProps1.xml><?xml version="1.0" encoding="utf-8"?>
<ds:datastoreItem xmlns:ds="http://schemas.openxmlformats.org/officeDocument/2006/customXml" ds:itemID="{572F02B0-E301-4EC6-94A1-980E93393CA3}">
  <ds:schemaRefs>
    <ds:schemaRef ds:uri="http://lrs.lt/TAIS/DocParts"/>
  </ds:schemaRefs>
</ds:datastoreItem>
</file>

<file path=customXml/itemProps2.xml><?xml version="1.0" encoding="utf-8"?>
<ds:datastoreItem xmlns:ds="http://schemas.openxmlformats.org/officeDocument/2006/customXml" ds:itemID="{EE162284-754A-46C0-BF95-3037EF720691}">
  <ds:schemaRefs>
    <ds:schemaRef ds:uri="http://schemas.openxmlformats.org/officeDocument/2006/bibliography"/>
  </ds:schemaRefs>
</ds:datastoreItem>
</file>

<file path=customXml/itemProps3.xml><?xml version="1.0" encoding="utf-8"?>
<ds:datastoreItem xmlns:ds="http://schemas.openxmlformats.org/officeDocument/2006/customXml" ds:itemID="{B92DEDAC-1141-412C-A8A9-7A07418D1F35}"/>
</file>

<file path=customXml/itemProps4.xml><?xml version="1.0" encoding="utf-8"?>
<ds:datastoreItem xmlns:ds="http://schemas.openxmlformats.org/officeDocument/2006/customXml" ds:itemID="{CED83388-44E0-4A1F-AC54-1C4BDE1B11E7}"/>
</file>

<file path=customXml/itemProps5.xml><?xml version="1.0" encoding="utf-8"?>
<ds:datastoreItem xmlns:ds="http://schemas.openxmlformats.org/officeDocument/2006/customXml" ds:itemID="{68ED91D1-6340-4591-BAB2-8787BA47B006}"/>
</file>

<file path=customXml/itemProps6.xml><?xml version="1.0" encoding="utf-8"?>
<ds:datastoreItem xmlns:ds="http://schemas.openxmlformats.org/officeDocument/2006/customXml" ds:itemID="{018CF302-4A72-423E-B2FE-850FE96F02A2}"/>
</file>

<file path=docProps/app.xml><?xml version="1.0" encoding="utf-8"?>
<Properties xmlns="http://schemas.openxmlformats.org/officeDocument/2006/extended-properties" xmlns:vt="http://schemas.openxmlformats.org/officeDocument/2006/docPropsVTypes">
  <Template>Normal.dotm</Template>
  <TotalTime>142</TotalTime>
  <Pages>3</Pages>
  <Words>4917</Words>
  <Characters>2804</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GRICIŪTĖ Rasa</dc:creator>
  <cp:lastModifiedBy>KNIUKŠTIENĖ Rimantė</cp:lastModifiedBy>
  <cp:revision>30</cp:revision>
  <cp:lastPrinted>2024-06-26T10:06:00Z</cp:lastPrinted>
  <dcterms:created xsi:type="dcterms:W3CDTF">2024-06-05T07:01:00Z</dcterms:created>
  <dcterms:modified xsi:type="dcterms:W3CDTF">2024-09-25T06:59:00Z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39e51eb9-9700-467d-a06a-8552ad6c79a1</vt:lpwstr>
  </property>
</Properties>
</file>