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337" w:rsidRPr="00694B02" w:rsidRDefault="00792337" w:rsidP="0059116A">
      <w:pPr>
        <w:spacing w:after="0" w:line="360" w:lineRule="auto"/>
        <w:jc w:val="center"/>
      </w:pPr>
      <w:bookmarkStart w:id="0" w:name="_GoBack"/>
      <w:bookmarkEnd w:id="0"/>
      <w:r w:rsidRPr="00694B02">
        <w:rPr>
          <w:noProof/>
          <w:lang w:eastAsia="lt-LT"/>
        </w:rPr>
        <w:drawing>
          <wp:inline distT="0" distB="0" distL="0" distR="0" wp14:anchorId="1F84EC23" wp14:editId="4963BAB4">
            <wp:extent cx="522605" cy="61468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605" cy="614680"/>
                    </a:xfrm>
                    <a:prstGeom prst="rect">
                      <a:avLst/>
                    </a:prstGeom>
                    <a:noFill/>
                    <a:ln>
                      <a:noFill/>
                    </a:ln>
                  </pic:spPr>
                </pic:pic>
              </a:graphicData>
            </a:graphic>
          </wp:inline>
        </w:drawing>
      </w:r>
    </w:p>
    <w:p w:rsidR="00792337" w:rsidRPr="00694B02" w:rsidRDefault="00792337" w:rsidP="0059116A">
      <w:pPr>
        <w:spacing w:after="0" w:line="360" w:lineRule="auto"/>
        <w:jc w:val="center"/>
        <w:rPr>
          <w:rFonts w:eastAsia="Times New Roman"/>
          <w:b/>
        </w:rPr>
      </w:pPr>
      <w:r w:rsidRPr="00694B02">
        <w:rPr>
          <w:rFonts w:eastAsia="Times New Roman"/>
          <w:b/>
        </w:rPr>
        <w:t>LIETUVOS RESPUBLIKOS SEIMO KANCELIARIJOS</w:t>
      </w:r>
    </w:p>
    <w:p w:rsidR="00792337" w:rsidRPr="00694B02" w:rsidRDefault="00792337" w:rsidP="0059116A">
      <w:pPr>
        <w:spacing w:after="0" w:line="360" w:lineRule="auto"/>
        <w:jc w:val="center"/>
        <w:rPr>
          <w:rFonts w:eastAsia="Times New Roman"/>
          <w:b/>
          <w:spacing w:val="4"/>
        </w:rPr>
      </w:pPr>
      <w:r w:rsidRPr="00694B02">
        <w:rPr>
          <w:rFonts w:eastAsia="Times New Roman"/>
          <w:b/>
          <w:spacing w:val="4"/>
        </w:rPr>
        <w:t>TEISĖS DEPARTAMENTAS</w:t>
      </w:r>
    </w:p>
    <w:p w:rsidR="00792337" w:rsidRPr="00694B02" w:rsidRDefault="00792337" w:rsidP="0053676C">
      <w:pPr>
        <w:spacing w:after="0" w:line="240" w:lineRule="auto"/>
        <w:ind w:right="11"/>
        <w:jc w:val="center"/>
        <w:rPr>
          <w:rFonts w:eastAsia="Times New Roman"/>
          <w:b/>
          <w:spacing w:val="4"/>
        </w:rPr>
      </w:pPr>
    </w:p>
    <w:p w:rsidR="00792337" w:rsidRPr="00694B02" w:rsidRDefault="00792337" w:rsidP="0053676C">
      <w:pPr>
        <w:spacing w:after="0" w:line="240" w:lineRule="auto"/>
        <w:ind w:right="11"/>
        <w:jc w:val="center"/>
        <w:rPr>
          <w:rFonts w:eastAsia="Times New Roman"/>
          <w:sz w:val="18"/>
          <w:szCs w:val="18"/>
        </w:rPr>
      </w:pPr>
      <w:r w:rsidRPr="00694B02">
        <w:rPr>
          <w:rFonts w:eastAsia="Times New Roman"/>
          <w:sz w:val="18"/>
          <w:szCs w:val="18"/>
        </w:rPr>
        <w:t>Biudžetinė įstaiga  Gedimino pr. 53,</w:t>
      </w:r>
      <w:r w:rsidR="0053676C" w:rsidRPr="00694B02">
        <w:rPr>
          <w:rFonts w:eastAsia="Times New Roman"/>
          <w:sz w:val="18"/>
          <w:szCs w:val="18"/>
        </w:rPr>
        <w:t xml:space="preserve"> 01109 Vilnius </w:t>
      </w:r>
      <w:r w:rsidR="008E5B52" w:rsidRPr="00694B02">
        <w:rPr>
          <w:rFonts w:eastAsia="Times New Roman"/>
          <w:sz w:val="18"/>
          <w:szCs w:val="18"/>
        </w:rPr>
        <w:t>Tel. +3</w:t>
      </w:r>
      <w:r w:rsidR="0053676C" w:rsidRPr="00694B02">
        <w:rPr>
          <w:rFonts w:eastAsia="Times New Roman"/>
          <w:sz w:val="18"/>
          <w:szCs w:val="18"/>
        </w:rPr>
        <w:t>70 5 209 6169</w:t>
      </w:r>
      <w:r w:rsidRPr="00694B02">
        <w:rPr>
          <w:rFonts w:eastAsia="Times New Roman"/>
          <w:sz w:val="18"/>
          <w:szCs w:val="18"/>
        </w:rPr>
        <w:t xml:space="preserve"> El. p. td@lrs.lt</w:t>
      </w:r>
    </w:p>
    <w:p w:rsidR="00792337" w:rsidRPr="00694B02" w:rsidRDefault="00792337" w:rsidP="0053676C">
      <w:pPr>
        <w:spacing w:after="0" w:line="240" w:lineRule="auto"/>
        <w:jc w:val="center"/>
        <w:rPr>
          <w:rFonts w:eastAsia="Times New Roman"/>
          <w:sz w:val="18"/>
          <w:szCs w:val="18"/>
        </w:rPr>
      </w:pPr>
      <w:r w:rsidRPr="00694B02">
        <w:rPr>
          <w:rFonts w:eastAsia="Times New Roman"/>
          <w:sz w:val="18"/>
          <w:szCs w:val="18"/>
        </w:rPr>
        <w:t>Duomenys kaupiami ir saugomi  Juridinių asmenų registre  Kodas 188605295</w:t>
      </w:r>
    </w:p>
    <w:p w:rsidR="00792337" w:rsidRPr="00694B02" w:rsidRDefault="00792337" w:rsidP="0059116A">
      <w:pPr>
        <w:spacing w:after="0" w:line="360" w:lineRule="auto"/>
        <w:rPr>
          <w:rFonts w:eastAsia="Times New Roman"/>
          <w:sz w:val="18"/>
          <w:szCs w:val="18"/>
        </w:rPr>
      </w:pPr>
      <w:r w:rsidRPr="00694B02">
        <w:rPr>
          <w:rFonts w:eastAsia="Times New Roman"/>
          <w:sz w:val="18"/>
          <w:szCs w:val="18"/>
        </w:rPr>
        <w:t>________________________________________________________________________________________</w:t>
      </w:r>
      <w:r w:rsidR="00CE5CC2" w:rsidRPr="00694B02">
        <w:rPr>
          <w:rFonts w:eastAsia="Times New Roman"/>
          <w:sz w:val="18"/>
          <w:szCs w:val="18"/>
        </w:rPr>
        <w:t>___________________</w:t>
      </w:r>
    </w:p>
    <w:p w:rsidR="00792337" w:rsidRPr="00694B02" w:rsidRDefault="00792337" w:rsidP="0059116A">
      <w:pPr>
        <w:spacing w:after="0" w:line="360" w:lineRule="auto"/>
        <w:rPr>
          <w:sz w:val="24"/>
          <w:szCs w:val="24"/>
        </w:rPr>
      </w:pPr>
    </w:p>
    <w:p w:rsidR="00792337" w:rsidRPr="00694B02" w:rsidRDefault="00792337" w:rsidP="0059116A">
      <w:pPr>
        <w:spacing w:after="0" w:line="360" w:lineRule="auto"/>
        <w:rPr>
          <w:rFonts w:cs="Times New Roman"/>
          <w:sz w:val="24"/>
          <w:szCs w:val="24"/>
        </w:rPr>
      </w:pPr>
      <w:r w:rsidRPr="00694B02">
        <w:rPr>
          <w:rFonts w:cs="Times New Roman"/>
          <w:sz w:val="24"/>
          <w:szCs w:val="24"/>
        </w:rPr>
        <w:t xml:space="preserve">Lietuvos </w:t>
      </w:r>
      <w:r w:rsidR="002B7484" w:rsidRPr="00694B02">
        <w:rPr>
          <w:rFonts w:cs="Times New Roman"/>
          <w:sz w:val="24"/>
          <w:szCs w:val="24"/>
        </w:rPr>
        <w:t>Respublikos Seimo</w:t>
      </w:r>
      <w:r w:rsidR="002B7484" w:rsidRPr="00694B02">
        <w:rPr>
          <w:rFonts w:cs="Times New Roman"/>
          <w:sz w:val="24"/>
          <w:szCs w:val="24"/>
        </w:rPr>
        <w:tab/>
      </w:r>
      <w:r w:rsidR="002B7484" w:rsidRPr="00694B02">
        <w:rPr>
          <w:rFonts w:cs="Times New Roman"/>
          <w:sz w:val="24"/>
          <w:szCs w:val="24"/>
        </w:rPr>
        <w:tab/>
      </w:r>
      <w:r w:rsidR="002B7484" w:rsidRPr="00694B02">
        <w:rPr>
          <w:rFonts w:cs="Times New Roman"/>
          <w:sz w:val="24"/>
          <w:szCs w:val="24"/>
        </w:rPr>
        <w:tab/>
      </w:r>
      <w:r w:rsidR="00F9522F" w:rsidRPr="00694B02">
        <w:rPr>
          <w:rFonts w:cs="Times New Roman"/>
          <w:sz w:val="24"/>
          <w:szCs w:val="24"/>
        </w:rPr>
        <w:t xml:space="preserve">  </w:t>
      </w:r>
      <w:r w:rsidR="00214404" w:rsidRPr="00694B02">
        <w:rPr>
          <w:rFonts w:cs="Times New Roman"/>
          <w:sz w:val="24"/>
          <w:szCs w:val="24"/>
        </w:rPr>
        <w:t>2024-03</w:t>
      </w:r>
      <w:r w:rsidR="00A24306" w:rsidRPr="00694B02">
        <w:rPr>
          <w:rFonts w:cs="Times New Roman"/>
          <w:sz w:val="24"/>
          <w:szCs w:val="24"/>
        </w:rPr>
        <w:t>-</w:t>
      </w:r>
      <w:r w:rsidR="00FD3FA3" w:rsidRPr="00694B02">
        <w:rPr>
          <w:rFonts w:cs="Times New Roman"/>
          <w:sz w:val="24"/>
          <w:szCs w:val="24"/>
        </w:rPr>
        <w:t>08</w:t>
      </w:r>
      <w:r w:rsidR="000B2372" w:rsidRPr="00694B02">
        <w:rPr>
          <w:rFonts w:cs="Times New Roman"/>
          <w:sz w:val="24"/>
          <w:szCs w:val="24"/>
        </w:rPr>
        <w:t xml:space="preserve">  </w:t>
      </w:r>
      <w:r w:rsidRPr="00694B02">
        <w:rPr>
          <w:rFonts w:cs="Times New Roman"/>
          <w:sz w:val="24"/>
          <w:szCs w:val="24"/>
        </w:rPr>
        <w:t xml:space="preserve"> Nr. V-202</w:t>
      </w:r>
      <w:r w:rsidR="00F504B4" w:rsidRPr="00694B02">
        <w:rPr>
          <w:rFonts w:cs="Times New Roman"/>
          <w:sz w:val="24"/>
          <w:szCs w:val="24"/>
        </w:rPr>
        <w:t>4</w:t>
      </w:r>
      <w:r w:rsidRPr="00694B02">
        <w:rPr>
          <w:rFonts w:cs="Times New Roman"/>
          <w:sz w:val="24"/>
          <w:szCs w:val="24"/>
        </w:rPr>
        <w:t>-</w:t>
      </w:r>
    </w:p>
    <w:p w:rsidR="00792337" w:rsidRPr="00694B02" w:rsidRDefault="00792337" w:rsidP="0059116A">
      <w:pPr>
        <w:spacing w:after="0" w:line="360" w:lineRule="auto"/>
        <w:rPr>
          <w:rFonts w:cs="Times New Roman"/>
          <w:sz w:val="24"/>
          <w:szCs w:val="24"/>
        </w:rPr>
      </w:pPr>
      <w:r w:rsidRPr="00694B02">
        <w:rPr>
          <w:rFonts w:cs="Times New Roman"/>
          <w:sz w:val="24"/>
          <w:szCs w:val="24"/>
        </w:rPr>
        <w:t>Peticijų komisijai</w:t>
      </w:r>
      <w:r w:rsidRPr="00694B02">
        <w:rPr>
          <w:rFonts w:cs="Times New Roman"/>
          <w:sz w:val="24"/>
          <w:szCs w:val="24"/>
        </w:rPr>
        <w:tab/>
      </w:r>
      <w:r w:rsidR="002D21C8" w:rsidRPr="00694B02">
        <w:rPr>
          <w:rFonts w:cs="Times New Roman"/>
          <w:sz w:val="24"/>
          <w:szCs w:val="24"/>
        </w:rPr>
        <w:tab/>
      </w:r>
      <w:r w:rsidR="002D21C8" w:rsidRPr="00694B02">
        <w:rPr>
          <w:rFonts w:cs="Times New Roman"/>
          <w:sz w:val="24"/>
          <w:szCs w:val="24"/>
        </w:rPr>
        <w:tab/>
        <w:t xml:space="preserve">                     Į 2024</w:t>
      </w:r>
      <w:r w:rsidR="007A6C24" w:rsidRPr="00694B02">
        <w:rPr>
          <w:rFonts w:cs="Times New Roman"/>
          <w:sz w:val="24"/>
          <w:szCs w:val="24"/>
        </w:rPr>
        <w:t>-</w:t>
      </w:r>
      <w:r w:rsidR="0053676C" w:rsidRPr="00694B02">
        <w:rPr>
          <w:rFonts w:cs="Times New Roman"/>
          <w:sz w:val="24"/>
          <w:szCs w:val="24"/>
        </w:rPr>
        <w:t>02</w:t>
      </w:r>
      <w:r w:rsidR="00B359D8" w:rsidRPr="00694B02">
        <w:rPr>
          <w:rFonts w:cs="Times New Roman"/>
          <w:sz w:val="24"/>
          <w:szCs w:val="24"/>
        </w:rPr>
        <w:t>-</w:t>
      </w:r>
      <w:r w:rsidR="0053676C" w:rsidRPr="00694B02">
        <w:rPr>
          <w:rFonts w:cs="Times New Roman"/>
          <w:sz w:val="24"/>
          <w:szCs w:val="24"/>
        </w:rPr>
        <w:t>29</w:t>
      </w:r>
      <w:r w:rsidR="00B359D8" w:rsidRPr="00694B02">
        <w:rPr>
          <w:rFonts w:cs="Times New Roman"/>
          <w:sz w:val="24"/>
          <w:szCs w:val="24"/>
        </w:rPr>
        <w:t xml:space="preserve"> </w:t>
      </w:r>
      <w:r w:rsidR="009D24C0" w:rsidRPr="00694B02">
        <w:rPr>
          <w:rFonts w:cs="Times New Roman"/>
          <w:sz w:val="24"/>
          <w:szCs w:val="24"/>
        </w:rPr>
        <w:t xml:space="preserve"> Nr.</w:t>
      </w:r>
      <w:r w:rsidR="00F504B4" w:rsidRPr="00694B02">
        <w:rPr>
          <w:rFonts w:cs="Times New Roman"/>
          <w:sz w:val="24"/>
          <w:szCs w:val="24"/>
        </w:rPr>
        <w:t xml:space="preserve"> </w:t>
      </w:r>
      <w:r w:rsidR="0053676C" w:rsidRPr="00694B02">
        <w:rPr>
          <w:rFonts w:cs="Times New Roman"/>
          <w:bCs/>
          <w:sz w:val="24"/>
          <w:szCs w:val="24"/>
        </w:rPr>
        <w:t>V-2024-3135</w:t>
      </w:r>
      <w:r w:rsidRPr="00694B02">
        <w:rPr>
          <w:rFonts w:cs="Times New Roman"/>
          <w:sz w:val="24"/>
          <w:szCs w:val="24"/>
        </w:rPr>
        <w:tab/>
      </w:r>
      <w:r w:rsidRPr="00694B02">
        <w:rPr>
          <w:rFonts w:cs="Times New Roman"/>
          <w:sz w:val="24"/>
          <w:szCs w:val="24"/>
        </w:rPr>
        <w:tab/>
      </w:r>
      <w:r w:rsidRPr="00694B02">
        <w:rPr>
          <w:rFonts w:cs="Times New Roman"/>
          <w:sz w:val="24"/>
          <w:szCs w:val="24"/>
        </w:rPr>
        <w:tab/>
      </w:r>
      <w:r w:rsidRPr="00694B02">
        <w:rPr>
          <w:rFonts w:cs="Times New Roman"/>
          <w:sz w:val="24"/>
          <w:szCs w:val="24"/>
        </w:rPr>
        <w:tab/>
      </w:r>
      <w:r w:rsidRPr="00694B02">
        <w:rPr>
          <w:rFonts w:cs="Times New Roman"/>
          <w:sz w:val="24"/>
          <w:szCs w:val="24"/>
        </w:rPr>
        <w:tab/>
      </w:r>
      <w:r w:rsidRPr="00694B02">
        <w:rPr>
          <w:rFonts w:cs="Times New Roman"/>
          <w:sz w:val="24"/>
          <w:szCs w:val="24"/>
        </w:rPr>
        <w:tab/>
      </w:r>
    </w:p>
    <w:p w:rsidR="00792337" w:rsidRPr="001E2089" w:rsidRDefault="001E2089" w:rsidP="001E2089">
      <w:pPr>
        <w:spacing w:after="0" w:line="360" w:lineRule="auto"/>
        <w:jc w:val="both"/>
        <w:rPr>
          <w:rFonts w:cs="Times New Roman"/>
          <w:b/>
          <w:sz w:val="24"/>
          <w:szCs w:val="24"/>
        </w:rPr>
      </w:pPr>
      <w:r w:rsidRPr="001E2089">
        <w:rPr>
          <w:rFonts w:cs="Times New Roman"/>
          <w:b/>
          <w:sz w:val="24"/>
          <w:szCs w:val="24"/>
        </w:rPr>
        <w:t>D</w:t>
      </w:r>
      <w:r w:rsidRPr="001E2089">
        <w:rPr>
          <w:rStyle w:val="normaltextrun"/>
          <w:b/>
          <w:bCs/>
          <w:color w:val="000000"/>
          <w:sz w:val="24"/>
          <w:szCs w:val="24"/>
          <w:shd w:val="clear" w:color="auto" w:fill="FFFFFF"/>
        </w:rPr>
        <w:t>ĖL PETICIJOJE PATEIKTO SIŪLYMO PAKEISTI CIVILINIO KODEKSO 3.192 STRAIPSNIO 2 DALĮ</w:t>
      </w:r>
    </w:p>
    <w:p w:rsidR="00792337" w:rsidRPr="00694B02" w:rsidRDefault="00792337" w:rsidP="0059116A">
      <w:pPr>
        <w:spacing w:after="0" w:line="360" w:lineRule="auto"/>
        <w:rPr>
          <w:rFonts w:cs="Times New Roman"/>
          <w:b/>
          <w:strike/>
          <w:sz w:val="24"/>
          <w:szCs w:val="24"/>
        </w:rPr>
      </w:pPr>
    </w:p>
    <w:p w:rsidR="009D0901" w:rsidRPr="00694B02" w:rsidRDefault="005C22AB" w:rsidP="00002349">
      <w:pPr>
        <w:spacing w:line="360" w:lineRule="auto"/>
        <w:ind w:firstLine="851"/>
        <w:jc w:val="both"/>
        <w:rPr>
          <w:rFonts w:cs="Times New Roman"/>
          <w:sz w:val="24"/>
          <w:szCs w:val="24"/>
        </w:rPr>
      </w:pPr>
      <w:r w:rsidRPr="00694B02">
        <w:rPr>
          <w:rFonts w:cs="Times New Roman"/>
          <w:sz w:val="24"/>
          <w:szCs w:val="24"/>
        </w:rPr>
        <w:t xml:space="preserve">Teisės departamente gauta </w:t>
      </w:r>
      <w:r w:rsidR="00214404" w:rsidRPr="00694B02">
        <w:rPr>
          <w:rFonts w:cs="Times New Roman"/>
          <w:sz w:val="24"/>
          <w:szCs w:val="24"/>
        </w:rPr>
        <w:t>K. Siauruko</w:t>
      </w:r>
      <w:r w:rsidR="001B3E05" w:rsidRPr="00694B02">
        <w:rPr>
          <w:rFonts w:cs="Times New Roman"/>
          <w:sz w:val="24"/>
          <w:szCs w:val="24"/>
        </w:rPr>
        <w:t xml:space="preserve"> (toliau - P</w:t>
      </w:r>
      <w:r w:rsidR="007A6C24" w:rsidRPr="00694B02">
        <w:rPr>
          <w:rFonts w:cs="Times New Roman"/>
          <w:sz w:val="24"/>
          <w:szCs w:val="24"/>
        </w:rPr>
        <w:t>areiškėjas</w:t>
      </w:r>
      <w:r w:rsidR="00054808" w:rsidRPr="00694B02">
        <w:rPr>
          <w:rFonts w:cs="Times New Roman"/>
          <w:sz w:val="24"/>
          <w:szCs w:val="24"/>
        </w:rPr>
        <w:t>)</w:t>
      </w:r>
      <w:r w:rsidRPr="00694B02">
        <w:rPr>
          <w:rFonts w:cs="Times New Roman"/>
          <w:sz w:val="24"/>
          <w:szCs w:val="24"/>
        </w:rPr>
        <w:t xml:space="preserve"> peticija</w:t>
      </w:r>
      <w:r w:rsidR="000B2372" w:rsidRPr="00694B02">
        <w:rPr>
          <w:rFonts w:cs="Times New Roman"/>
          <w:sz w:val="24"/>
          <w:szCs w:val="24"/>
        </w:rPr>
        <w:t>, kuria siūloma pakeisti Civilinio kodekso (toliau</w:t>
      </w:r>
      <w:r w:rsidR="005968E8" w:rsidRPr="00694B02">
        <w:rPr>
          <w:rFonts w:cs="Times New Roman"/>
          <w:sz w:val="24"/>
          <w:szCs w:val="24"/>
        </w:rPr>
        <w:t xml:space="preserve"> -</w:t>
      </w:r>
      <w:r w:rsidR="00214404" w:rsidRPr="00694B02">
        <w:rPr>
          <w:rFonts w:cs="Times New Roman"/>
          <w:sz w:val="24"/>
          <w:szCs w:val="24"/>
        </w:rPr>
        <w:t xml:space="preserve"> CK) 3.192 straipsnio 2</w:t>
      </w:r>
      <w:r w:rsidR="000B2372" w:rsidRPr="00694B02">
        <w:rPr>
          <w:rFonts w:cs="Times New Roman"/>
          <w:sz w:val="24"/>
          <w:szCs w:val="24"/>
        </w:rPr>
        <w:t xml:space="preserve"> dalį</w:t>
      </w:r>
      <w:r w:rsidR="009D0901" w:rsidRPr="00694B02">
        <w:rPr>
          <w:rFonts w:cs="Times New Roman"/>
          <w:sz w:val="24"/>
          <w:szCs w:val="24"/>
        </w:rPr>
        <w:t>, nustatant, kad „</w:t>
      </w:r>
      <w:r w:rsidR="00214404" w:rsidRPr="00694B02">
        <w:rPr>
          <w:rFonts w:cs="Times New Roman"/>
          <w:sz w:val="24"/>
          <w:szCs w:val="24"/>
        </w:rPr>
        <w:t>Vaiko išlaikymo dydis nustatomas Vyriausybės nustatyta tvarka</w:t>
      </w:r>
      <w:r w:rsidRPr="00694B02">
        <w:rPr>
          <w:rFonts w:cs="Times New Roman"/>
          <w:sz w:val="24"/>
          <w:szCs w:val="24"/>
        </w:rPr>
        <w:t>”.</w:t>
      </w:r>
      <w:r w:rsidR="008535D8" w:rsidRPr="00694B02">
        <w:rPr>
          <w:rFonts w:cs="Times New Roman"/>
          <w:sz w:val="24"/>
          <w:szCs w:val="24"/>
        </w:rPr>
        <w:t xml:space="preserve"> </w:t>
      </w:r>
      <w:r w:rsidRPr="00694B02">
        <w:rPr>
          <w:rFonts w:cs="Times New Roman"/>
          <w:sz w:val="24"/>
          <w:szCs w:val="24"/>
        </w:rPr>
        <w:t xml:space="preserve">Įvertinę </w:t>
      </w:r>
      <w:r w:rsidR="009D0901" w:rsidRPr="00694B02">
        <w:rPr>
          <w:rFonts w:cs="Times New Roman"/>
          <w:sz w:val="24"/>
          <w:szCs w:val="24"/>
        </w:rPr>
        <w:t>Pareiškėjo peticijoje išdėstyto</w:t>
      </w:r>
      <w:r w:rsidRPr="00694B02">
        <w:rPr>
          <w:rFonts w:cs="Times New Roman"/>
          <w:sz w:val="24"/>
          <w:szCs w:val="24"/>
        </w:rPr>
        <w:t xml:space="preserve"> siūlomo CK pakeitimo </w:t>
      </w:r>
      <w:r w:rsidR="009D0901" w:rsidRPr="00694B02">
        <w:rPr>
          <w:rFonts w:cs="Times New Roman"/>
          <w:sz w:val="24"/>
          <w:szCs w:val="24"/>
        </w:rPr>
        <w:t>turinį</w:t>
      </w:r>
      <w:r w:rsidRPr="00694B02">
        <w:rPr>
          <w:rFonts w:cs="Times New Roman"/>
          <w:sz w:val="24"/>
          <w:szCs w:val="24"/>
        </w:rPr>
        <w:t xml:space="preserve">, taip pat </w:t>
      </w:r>
      <w:r w:rsidR="009D0901" w:rsidRPr="00694B02">
        <w:rPr>
          <w:rFonts w:cs="Times New Roman"/>
          <w:sz w:val="24"/>
          <w:szCs w:val="24"/>
        </w:rPr>
        <w:t>peticijoje nurodytus pakeitimo argumentus</w:t>
      </w:r>
      <w:r w:rsidRPr="00694B02">
        <w:rPr>
          <w:rFonts w:cs="Times New Roman"/>
          <w:sz w:val="24"/>
          <w:szCs w:val="24"/>
        </w:rPr>
        <w:t>, teikiame Teisės departamento nuomonę.</w:t>
      </w:r>
    </w:p>
    <w:p w:rsidR="00002349" w:rsidRPr="00694B02" w:rsidRDefault="009D0901" w:rsidP="00002349">
      <w:pPr>
        <w:spacing w:line="360" w:lineRule="auto"/>
        <w:ind w:firstLine="851"/>
        <w:jc w:val="both"/>
        <w:rPr>
          <w:rFonts w:cs="Times New Roman"/>
          <w:i/>
          <w:sz w:val="24"/>
          <w:szCs w:val="24"/>
        </w:rPr>
      </w:pPr>
      <w:r w:rsidRPr="00694B02">
        <w:rPr>
          <w:rFonts w:cs="Times New Roman"/>
          <w:i/>
          <w:sz w:val="24"/>
          <w:szCs w:val="24"/>
        </w:rPr>
        <w:t>Dėl Parei</w:t>
      </w:r>
      <w:r w:rsidR="00214404" w:rsidRPr="00694B02">
        <w:rPr>
          <w:rFonts w:cs="Times New Roman"/>
          <w:i/>
          <w:sz w:val="24"/>
          <w:szCs w:val="24"/>
        </w:rPr>
        <w:t>škėjo siūlomo CK 3.192</w:t>
      </w:r>
      <w:r w:rsidRPr="00694B02">
        <w:rPr>
          <w:rFonts w:cs="Times New Roman"/>
          <w:i/>
          <w:sz w:val="24"/>
          <w:szCs w:val="24"/>
        </w:rPr>
        <w:t xml:space="preserve"> straipsnio pakeitimo turinio</w:t>
      </w:r>
    </w:p>
    <w:p w:rsidR="00CD7FF8" w:rsidRPr="00694B02" w:rsidRDefault="00B96CD8" w:rsidP="00002349">
      <w:pPr>
        <w:spacing w:after="0" w:line="360" w:lineRule="auto"/>
        <w:ind w:firstLine="851"/>
        <w:jc w:val="both"/>
        <w:rPr>
          <w:rFonts w:cs="Times New Roman"/>
          <w:sz w:val="24"/>
          <w:szCs w:val="24"/>
        </w:rPr>
      </w:pPr>
      <w:r w:rsidRPr="00694B02">
        <w:rPr>
          <w:rFonts w:cs="Times New Roman"/>
          <w:sz w:val="24"/>
          <w:szCs w:val="24"/>
        </w:rPr>
        <w:t xml:space="preserve">CK 3.192 straipsnio 2 dalyje nustatyta, kad „Išlaikymo dydis turi būti proporcingas nepilnamečių vaikų poreikiams bei jų tėvų turtinei </w:t>
      </w:r>
      <w:r w:rsidR="005013AF" w:rsidRPr="00694B02">
        <w:rPr>
          <w:rFonts w:cs="Times New Roman"/>
          <w:sz w:val="24"/>
          <w:szCs w:val="24"/>
        </w:rPr>
        <w:t xml:space="preserve">padėčiai </w:t>
      </w:r>
      <w:r w:rsidRPr="00694B02">
        <w:rPr>
          <w:rFonts w:cs="Times New Roman"/>
          <w:sz w:val="24"/>
          <w:szCs w:val="24"/>
        </w:rPr>
        <w:t>ir užtikrinti būtinas vaikui vystytis sąlygas“. Šioje CK nuostatoje, kurioje detalizuojama tėvų pareiga materialiai išlaikyti savo nepilnamečius vaikus, įstatymo lygmenyje yra įtvirtinami kriterijai, kuriais remiantis nu</w:t>
      </w:r>
      <w:r w:rsidR="00FD3FA3" w:rsidRPr="00694B02">
        <w:rPr>
          <w:rFonts w:cs="Times New Roman"/>
          <w:sz w:val="24"/>
          <w:szCs w:val="24"/>
        </w:rPr>
        <w:t>statomas tokio išlaikymo dydis.</w:t>
      </w:r>
      <w:r w:rsidR="00A054F6" w:rsidRPr="00694B02">
        <w:rPr>
          <w:rFonts w:cs="Times New Roman"/>
          <w:sz w:val="24"/>
          <w:szCs w:val="24"/>
        </w:rPr>
        <w:t xml:space="preserve"> Pareiškėjas </w:t>
      </w:r>
      <w:r w:rsidR="00CD7FF8" w:rsidRPr="00694B02">
        <w:rPr>
          <w:rFonts w:cs="Times New Roman"/>
          <w:sz w:val="24"/>
          <w:szCs w:val="24"/>
        </w:rPr>
        <w:t xml:space="preserve">siūlomu teisiniu reguliavimu siūlo atsisakyti CK nustatytų vaiko išlaikymo dydžio nustatymo kriterijų, o </w:t>
      </w:r>
      <w:r w:rsidR="00A054F6" w:rsidRPr="00694B02">
        <w:rPr>
          <w:rFonts w:cs="Times New Roman"/>
          <w:sz w:val="24"/>
          <w:szCs w:val="24"/>
        </w:rPr>
        <w:t>vaiko išlaikymo dydži</w:t>
      </w:r>
      <w:r w:rsidR="00CD7FF8" w:rsidRPr="00694B02">
        <w:rPr>
          <w:rFonts w:cs="Times New Roman"/>
          <w:sz w:val="24"/>
          <w:szCs w:val="24"/>
        </w:rPr>
        <w:t>o nustatymo reglamentavimą deleguoti Vyriausybei.</w:t>
      </w:r>
    </w:p>
    <w:p w:rsidR="00CD7FF8" w:rsidRPr="00694B02" w:rsidRDefault="008D6F2E" w:rsidP="00751D30">
      <w:pPr>
        <w:spacing w:after="0" w:line="360" w:lineRule="auto"/>
        <w:ind w:firstLine="851"/>
        <w:jc w:val="both"/>
        <w:rPr>
          <w:rFonts w:cs="Times New Roman"/>
          <w:sz w:val="24"/>
          <w:szCs w:val="24"/>
        </w:rPr>
      </w:pPr>
      <w:r w:rsidRPr="00694B02">
        <w:rPr>
          <w:rFonts w:cs="Times New Roman"/>
          <w:sz w:val="24"/>
          <w:szCs w:val="24"/>
        </w:rPr>
        <w:t>Vertinant P</w:t>
      </w:r>
      <w:r w:rsidR="00CD7FF8" w:rsidRPr="00694B02">
        <w:rPr>
          <w:rFonts w:cs="Times New Roman"/>
          <w:sz w:val="24"/>
          <w:szCs w:val="24"/>
        </w:rPr>
        <w:t xml:space="preserve">areiškėjo siūlomą teisinį reguliavimą, atkreiptinas dėmesys, kad Konstitucinis Teismas </w:t>
      </w:r>
      <w:r w:rsidR="00837F94" w:rsidRPr="00694B02">
        <w:rPr>
          <w:rFonts w:cs="Times New Roman"/>
          <w:sz w:val="24"/>
          <w:szCs w:val="24"/>
        </w:rPr>
        <w:t>dar 1996 m. gruodžio 19 d. nutarime</w:t>
      </w:r>
      <w:r w:rsidR="00CD7FF8" w:rsidRPr="00694B02">
        <w:rPr>
          <w:rFonts w:cs="Times New Roman"/>
          <w:sz w:val="24"/>
          <w:szCs w:val="24"/>
        </w:rPr>
        <w:t xml:space="preserve"> yra pažymėjęs</w:t>
      </w:r>
      <w:r w:rsidR="00837F94" w:rsidRPr="00694B02">
        <w:rPr>
          <w:rFonts w:cs="Times New Roman"/>
          <w:sz w:val="24"/>
          <w:szCs w:val="24"/>
        </w:rPr>
        <w:t xml:space="preserve"> Konstitucijos 67 straipsnis įtvirtina išimtinę Seimo teisę leisti įstatymus. Įstatymų </w:t>
      </w:r>
      <w:r w:rsidR="00DB459B" w:rsidRPr="00694B02">
        <w:rPr>
          <w:rFonts w:cs="Times New Roman"/>
          <w:sz w:val="24"/>
          <w:szCs w:val="24"/>
        </w:rPr>
        <w:t>normomis reguliuojami svarbiausi visuomenės</w:t>
      </w:r>
      <w:r w:rsidR="00837F94" w:rsidRPr="00694B02">
        <w:rPr>
          <w:rFonts w:cs="Times New Roman"/>
          <w:sz w:val="24"/>
          <w:szCs w:val="24"/>
        </w:rPr>
        <w:t xml:space="preserve"> gyvenimo klausimai. Konstitucijos 94 straipsnio 2 </w:t>
      </w:r>
      <w:r w:rsidR="00DB459B" w:rsidRPr="00694B02">
        <w:rPr>
          <w:rFonts w:cs="Times New Roman"/>
          <w:sz w:val="24"/>
          <w:szCs w:val="24"/>
        </w:rPr>
        <w:t>punkte nustatyta, kad Vyriausybė vykdo į</w:t>
      </w:r>
      <w:r w:rsidR="00837F94" w:rsidRPr="00694B02">
        <w:rPr>
          <w:rFonts w:cs="Times New Roman"/>
          <w:sz w:val="24"/>
          <w:szCs w:val="24"/>
        </w:rPr>
        <w:t>statymus ir kitus Seimo nutarimus.</w:t>
      </w:r>
      <w:r w:rsidR="00DB459B" w:rsidRPr="00694B02">
        <w:rPr>
          <w:rFonts w:cs="Times New Roman"/>
          <w:sz w:val="24"/>
          <w:szCs w:val="24"/>
        </w:rPr>
        <w:t xml:space="preserve"> Vyriausybės priimti poįstatyminiai teisės aktai detalizuoja ir sukonkretina įstatymo normas. Taigi pagrindiniai teisės aktų hierarchijos klausimai yra įtvirtinti Konstitucijoje. </w:t>
      </w:r>
    </w:p>
    <w:p w:rsidR="00751D30" w:rsidRPr="00694B02" w:rsidRDefault="00751D30" w:rsidP="005013AF">
      <w:pPr>
        <w:spacing w:after="0" w:line="360" w:lineRule="auto"/>
        <w:ind w:firstLine="851"/>
        <w:jc w:val="both"/>
        <w:rPr>
          <w:sz w:val="24"/>
          <w:szCs w:val="24"/>
        </w:rPr>
      </w:pPr>
      <w:r w:rsidRPr="00694B02">
        <w:rPr>
          <w:sz w:val="24"/>
          <w:szCs w:val="24"/>
        </w:rPr>
        <w:lastRenderedPageBreak/>
        <w:t>Pažymėtina ir tai, kad Konstitucinis Teismas spręsdamas klausimą, ar Seimas gali pavesti Vyriausybei reguliuoti santykius</w:t>
      </w:r>
      <w:r w:rsidRPr="00694B02">
        <w:rPr>
          <w:i/>
          <w:iCs/>
          <w:sz w:val="24"/>
          <w:szCs w:val="24"/>
        </w:rPr>
        <w:t>,</w:t>
      </w:r>
      <w:r w:rsidR="00FD3FA3" w:rsidRPr="00694B02">
        <w:rPr>
          <w:sz w:val="24"/>
          <w:szCs w:val="24"/>
        </w:rPr>
        <w:t xml:space="preserve"> </w:t>
      </w:r>
      <w:r w:rsidRPr="00694B02">
        <w:rPr>
          <w:sz w:val="24"/>
          <w:szCs w:val="24"/>
        </w:rPr>
        <w:t>susijusius su žmogaus teisėmis ar laisvėmis, 1995 m. spalio 26 d. nutarime konstatavo:</w:t>
      </w:r>
    </w:p>
    <w:p w:rsidR="00751D30" w:rsidRPr="00694B02" w:rsidRDefault="00751D30" w:rsidP="00751D30">
      <w:pPr>
        <w:spacing w:after="0" w:line="360" w:lineRule="auto"/>
        <w:jc w:val="both"/>
        <w:rPr>
          <w:rFonts w:cs="Times New Roman"/>
          <w:sz w:val="24"/>
          <w:szCs w:val="24"/>
        </w:rPr>
      </w:pPr>
      <w:r w:rsidRPr="00694B02">
        <w:rPr>
          <w:rFonts w:cs="Times New Roman"/>
          <w:sz w:val="24"/>
          <w:szCs w:val="24"/>
        </w:rPr>
        <w:t>„Teisės leisti įstatymus delegavimas Vyriausybei turi būti legitiminis, tai yra pagrįstas valstybės konstitucijoje įtvirtintomis nuostatomis. Lietuvos Respublikos Konstitucijoje įstatymų leidybos delegavimas nenumatytas, todėl Vyriausybė gali priimti tik poįstatyminius teisės aktus.</w:t>
      </w:r>
    </w:p>
    <w:p w:rsidR="00751D30" w:rsidRPr="00694B02" w:rsidRDefault="00751D30" w:rsidP="005013AF">
      <w:pPr>
        <w:spacing w:after="0" w:line="360" w:lineRule="auto"/>
        <w:ind w:firstLine="851"/>
        <w:jc w:val="both"/>
        <w:rPr>
          <w:rFonts w:cs="Times New Roman"/>
          <w:sz w:val="24"/>
          <w:szCs w:val="24"/>
        </w:rPr>
      </w:pPr>
      <w:r w:rsidRPr="00694B02">
        <w:rPr>
          <w:rFonts w:cs="Times New Roman"/>
          <w:sz w:val="24"/>
          <w:szCs w:val="24"/>
        </w:rPr>
        <w:t>Įstatymų ir poįstatyminių valdymo aktų reguliavimo ribos priklauso nuo daugelio veiksnių – teisės tradicijų, visuomenės politinės ir teisinės kultūros lygio, tačiau tiek teisės teorijos, tiek įstatymų leidybos praktikos požiūriu tam tikri visuomenės prioritetiniai dalykai turi būti reguliuojami tik įstatymais. Demokratinėje visuomenėje prioritetas teikiamas žmogui, todėl viskas, kas susiję su pagrindinėmis žmogaus teisėmis ir laisvėmis, reguliuojama įstatymais. Tai ir žmogaus teisių ir laisvių patvirtinimas, ir jų turinio apibrėžimas, ir apsaugos bei gynimo teisinės garantijos, ir leistinas jų apribojimas, ir kt.“</w:t>
      </w:r>
    </w:p>
    <w:p w:rsidR="005013AF" w:rsidRPr="00694B02" w:rsidRDefault="00751D30" w:rsidP="008D6F2E">
      <w:pPr>
        <w:spacing w:after="0" w:line="360" w:lineRule="auto"/>
        <w:ind w:firstLine="851"/>
        <w:jc w:val="both"/>
        <w:rPr>
          <w:rFonts w:cs="Times New Roman"/>
          <w:sz w:val="24"/>
          <w:szCs w:val="24"/>
        </w:rPr>
      </w:pPr>
      <w:r w:rsidRPr="00694B02">
        <w:rPr>
          <w:rFonts w:cs="Times New Roman"/>
          <w:sz w:val="24"/>
          <w:szCs w:val="24"/>
        </w:rPr>
        <w:t>Konstitucinis Teismas savo nutarimuose taip pat yra konstatavęs, kad</w:t>
      </w:r>
      <w:r w:rsidR="006E43C2" w:rsidRPr="00694B02">
        <w:rPr>
          <w:rFonts w:cs="Times New Roman"/>
          <w:sz w:val="24"/>
          <w:szCs w:val="24"/>
        </w:rPr>
        <w:t xml:space="preserve"> pagal Konstituciją su žmogaus teisių ir laisvių turinio apibrėžimu ar jų įgyvendinimo garantijų įtvirtinimu susijusį teisinį reguliavimą galima nustatyti tik įstatymu; kai Konstitucija nereikalauja įstatymu reguliuoti tam tikrų su žmogaus teisėmis, jų įgyvendinimu susijusių santykių, jie gali būti reguliuojami ir poįstatyminiais aktais – aktais, reglamentuojančiais žmogaus teisių įgyvendinimo procesinius (procedūrinius) santykius, atskirų žmogaus teisių įgyvendinimo tvarką ir pan. (Konstitucinio Teismo 2004 m. gruodžio 13 d., 2007 m. gegužės 5 d., 2011 m. rugsėjo 28 d. nutarimai).</w:t>
      </w:r>
      <w:r w:rsidRPr="00694B02">
        <w:rPr>
          <w:rFonts w:cs="Times New Roman"/>
          <w:sz w:val="24"/>
          <w:szCs w:val="24"/>
        </w:rPr>
        <w:t xml:space="preserve"> </w:t>
      </w:r>
      <w:r w:rsidR="006E43C2" w:rsidRPr="00694B02">
        <w:rPr>
          <w:rFonts w:cs="Times New Roman"/>
          <w:sz w:val="24"/>
          <w:szCs w:val="24"/>
        </w:rPr>
        <w:t>Atsižvelgiant į aukščiau išdėstytą Konstitucinio Teismo oficialiąją doktriną, manytume, kad teisinis reguliavimas, kuriuo nustatom</w:t>
      </w:r>
      <w:r w:rsidR="00FD3FA3" w:rsidRPr="00694B02">
        <w:rPr>
          <w:rFonts w:cs="Times New Roman"/>
          <w:sz w:val="24"/>
          <w:szCs w:val="24"/>
        </w:rPr>
        <w:t>i</w:t>
      </w:r>
      <w:r w:rsidR="006E43C2" w:rsidRPr="00694B02">
        <w:rPr>
          <w:rFonts w:cs="Times New Roman"/>
          <w:sz w:val="24"/>
          <w:szCs w:val="24"/>
        </w:rPr>
        <w:t xml:space="preserve"> </w:t>
      </w:r>
      <w:r w:rsidR="009E2A56" w:rsidRPr="00694B02">
        <w:rPr>
          <w:rFonts w:cs="Times New Roman"/>
          <w:sz w:val="24"/>
          <w:szCs w:val="24"/>
        </w:rPr>
        <w:t>nepilnamečių vaikų teisės gauti materialinį išlaikymą pagri</w:t>
      </w:r>
      <w:r w:rsidR="00F56B5B" w:rsidRPr="00694B02">
        <w:rPr>
          <w:rFonts w:cs="Times New Roman"/>
          <w:sz w:val="24"/>
          <w:szCs w:val="24"/>
        </w:rPr>
        <w:t>n</w:t>
      </w:r>
      <w:r w:rsidR="009E2A56" w:rsidRPr="00694B02">
        <w:rPr>
          <w:rFonts w:cs="Times New Roman"/>
          <w:sz w:val="24"/>
          <w:szCs w:val="24"/>
        </w:rPr>
        <w:t>diniai turinio elementai, tame tarpe nepilnamečių vaikų išlaikymo dydžio nustatymo kriterijai, turėtų būti nustatyti įstatyme (CK),</w:t>
      </w:r>
      <w:r w:rsidR="0042383A">
        <w:rPr>
          <w:rFonts w:cs="Times New Roman"/>
          <w:sz w:val="24"/>
          <w:szCs w:val="24"/>
        </w:rPr>
        <w:t xml:space="preserve"> bet ne Vyriausybės</w:t>
      </w:r>
      <w:r w:rsidR="005F1797" w:rsidRPr="00694B02">
        <w:rPr>
          <w:rFonts w:cs="Times New Roman"/>
          <w:sz w:val="24"/>
          <w:szCs w:val="24"/>
        </w:rPr>
        <w:t xml:space="preserve"> </w:t>
      </w:r>
      <w:r w:rsidR="005F1797" w:rsidRPr="0042383A">
        <w:rPr>
          <w:rFonts w:cs="Times New Roman"/>
          <w:sz w:val="24"/>
          <w:szCs w:val="24"/>
        </w:rPr>
        <w:t>priimtame</w:t>
      </w:r>
      <w:r w:rsidR="009E2A56" w:rsidRPr="00694B02">
        <w:rPr>
          <w:rFonts w:cs="Times New Roman"/>
          <w:sz w:val="24"/>
          <w:szCs w:val="24"/>
        </w:rPr>
        <w:t xml:space="preserve"> poįstatyminiame teisės akte.</w:t>
      </w:r>
      <w:r w:rsidR="00F56B5B" w:rsidRPr="00694B02">
        <w:rPr>
          <w:rFonts w:cs="Times New Roman"/>
          <w:sz w:val="24"/>
          <w:szCs w:val="24"/>
        </w:rPr>
        <w:t xml:space="preserve"> Poįstatyminis teisės aktas galėtų detalizuoti įstatymo (CK) nuostatas, bet ne nustatyti</w:t>
      </w:r>
      <w:r w:rsidR="008D6F2E" w:rsidRPr="00694B02">
        <w:rPr>
          <w:rFonts w:cs="Times New Roman"/>
          <w:sz w:val="24"/>
          <w:szCs w:val="24"/>
        </w:rPr>
        <w:t xml:space="preserve"> nepilnamečių</w:t>
      </w:r>
      <w:r w:rsidR="00F56B5B" w:rsidRPr="00694B02">
        <w:rPr>
          <w:rFonts w:cs="Times New Roman"/>
          <w:sz w:val="24"/>
          <w:szCs w:val="24"/>
        </w:rPr>
        <w:t xml:space="preserve"> vaikų išlaikymo dydžio nustatymo taisykles.</w:t>
      </w:r>
    </w:p>
    <w:p w:rsidR="008D6F2E" w:rsidRPr="00694B02" w:rsidRDefault="008D6F2E" w:rsidP="008D6F2E">
      <w:pPr>
        <w:spacing w:after="0" w:line="360" w:lineRule="auto"/>
        <w:ind w:firstLine="851"/>
        <w:jc w:val="both"/>
        <w:rPr>
          <w:rFonts w:cs="Times New Roman"/>
          <w:sz w:val="24"/>
          <w:szCs w:val="24"/>
        </w:rPr>
      </w:pPr>
    </w:p>
    <w:p w:rsidR="005013AF" w:rsidRPr="00694B02" w:rsidRDefault="005013AF" w:rsidP="005013AF">
      <w:pPr>
        <w:pStyle w:val="motarg"/>
        <w:shd w:val="clear" w:color="auto" w:fill="FFFFFF"/>
        <w:spacing w:before="0" w:beforeAutospacing="0" w:after="0" w:afterAutospacing="0" w:line="360" w:lineRule="auto"/>
        <w:ind w:firstLine="851"/>
        <w:jc w:val="both"/>
        <w:rPr>
          <w:i/>
          <w:iCs/>
        </w:rPr>
      </w:pPr>
      <w:r w:rsidRPr="00694B02">
        <w:rPr>
          <w:i/>
          <w:iCs/>
        </w:rPr>
        <w:t>Dėl išlaikymo vaikui dydžio nustatymo kriterijų ir išlaikymo dydžio proporcingumo</w:t>
      </w:r>
    </w:p>
    <w:p w:rsidR="005013AF" w:rsidRPr="00694B02" w:rsidRDefault="005013AF" w:rsidP="005013AF">
      <w:pPr>
        <w:pStyle w:val="motarg"/>
        <w:shd w:val="clear" w:color="auto" w:fill="FFFFFF"/>
        <w:spacing w:before="0" w:beforeAutospacing="0" w:after="0" w:afterAutospacing="0" w:line="360" w:lineRule="auto"/>
        <w:jc w:val="both"/>
        <w:rPr>
          <w:iCs/>
        </w:rPr>
      </w:pPr>
    </w:p>
    <w:p w:rsidR="005013AF" w:rsidRPr="00694B02" w:rsidRDefault="005013AF" w:rsidP="005013AF">
      <w:pPr>
        <w:pStyle w:val="motarg"/>
        <w:shd w:val="clear" w:color="auto" w:fill="FFFFFF"/>
        <w:spacing w:before="0" w:beforeAutospacing="0" w:after="0" w:afterAutospacing="0" w:line="360" w:lineRule="auto"/>
        <w:ind w:firstLine="851"/>
        <w:jc w:val="both"/>
        <w:rPr>
          <w:iCs/>
        </w:rPr>
      </w:pPr>
      <w:r w:rsidRPr="00694B02">
        <w:rPr>
          <w:iCs/>
        </w:rPr>
        <w:t xml:space="preserve">Pareiškėjas peticijoje nurodo, kad vadovaujantis galiojančiu teisiniu reguliavimu, pagal susiklosčiusią teismų praktiką, teismai </w:t>
      </w:r>
      <w:r w:rsidR="00FD3FA3" w:rsidRPr="00694B02">
        <w:rPr>
          <w:iCs/>
        </w:rPr>
        <w:t xml:space="preserve">nepilnamečio </w:t>
      </w:r>
      <w:r w:rsidRPr="00694B02">
        <w:rPr>
          <w:iCs/>
        </w:rPr>
        <w:t>vaiko išlaikymui iš kartu negyvenančio vieno iš tėvų visuomet priteisia ne mažiau nei pusę minimalios mėnesinės algos, o mažesnė suma gali būti priteisiama tik išimtiniais atvejais. Atsižvelgiant į tai</w:t>
      </w:r>
      <w:r w:rsidR="008D6F2E" w:rsidRPr="00694B02">
        <w:rPr>
          <w:iCs/>
        </w:rPr>
        <w:t>,</w:t>
      </w:r>
      <w:r w:rsidRPr="00694B02">
        <w:rPr>
          <w:iCs/>
        </w:rPr>
        <w:t xml:space="preserve"> Pareiškėjas CK 3.192 straipsnio 2 dalyje siūlo įtvirtinti teisinį reguliavimą, kuriuo vaiko išlaikymo suma būtų nustatoma Vyriausybės ir neviršytų 25 procentų kartu negyvenančio tėvo minimalios mėnesinės algos, nevertinant jokių kitų aplinkybių. </w:t>
      </w:r>
    </w:p>
    <w:p w:rsidR="00FD3FA3" w:rsidRPr="00694B02" w:rsidRDefault="005013AF" w:rsidP="005013AF">
      <w:pPr>
        <w:pStyle w:val="motarg"/>
        <w:shd w:val="clear" w:color="auto" w:fill="FFFFFF"/>
        <w:spacing w:before="0" w:beforeAutospacing="0" w:after="0" w:afterAutospacing="0" w:line="360" w:lineRule="auto"/>
        <w:ind w:firstLine="851"/>
        <w:jc w:val="both"/>
        <w:rPr>
          <w:strike/>
        </w:rPr>
      </w:pPr>
      <w:r w:rsidRPr="00694B02">
        <w:lastRenderedPageBreak/>
        <w:t xml:space="preserve">Vertinant Pareiškėjo peticijoje dėstomus argumentus bei siūlymą pakeisti </w:t>
      </w:r>
      <w:r w:rsidRPr="00694B02">
        <w:rPr>
          <w:iCs/>
        </w:rPr>
        <w:t xml:space="preserve">CK 3.192 straipsnio 2 dalį, </w:t>
      </w:r>
      <w:r w:rsidRPr="00694B02">
        <w:t xml:space="preserve">atkreiptinas dėmesys, kad Pareiškėjo teikiamas siūlymas nedera su Konstitucijos 38 straipsnio 6 dalimi bei nekoreliuoja su kodifikuotame įstatyme – CK </w:t>
      </w:r>
      <w:r w:rsidRPr="0042383A">
        <w:t>išdėstyt</w:t>
      </w:r>
      <w:r w:rsidR="005F1797" w:rsidRPr="0042383A">
        <w:t>ais</w:t>
      </w:r>
      <w:r w:rsidRPr="0042383A">
        <w:t xml:space="preserve"> esmin</w:t>
      </w:r>
      <w:r w:rsidR="005F1797" w:rsidRPr="0042383A">
        <w:t>iais</w:t>
      </w:r>
      <w:r w:rsidRPr="00694B02">
        <w:t xml:space="preserve"> nepilnamečių vaikų išlaikymo principo </w:t>
      </w:r>
      <w:r w:rsidR="00FD3FA3" w:rsidRPr="00694B02">
        <w:t xml:space="preserve">turinio elementais. </w:t>
      </w:r>
    </w:p>
    <w:p w:rsidR="005013AF" w:rsidRPr="00694B02" w:rsidRDefault="005013AF" w:rsidP="005013AF">
      <w:pPr>
        <w:pStyle w:val="motarg"/>
        <w:shd w:val="clear" w:color="auto" w:fill="FFFFFF"/>
        <w:spacing w:before="0" w:beforeAutospacing="0" w:after="0" w:afterAutospacing="0" w:line="360" w:lineRule="auto"/>
        <w:ind w:firstLine="851"/>
        <w:jc w:val="both"/>
      </w:pPr>
      <w:r w:rsidRPr="00694B02">
        <w:t xml:space="preserve">Konstitucijos 38 straipsnio </w:t>
      </w:r>
      <w:r w:rsidR="00FD3FA3" w:rsidRPr="00694B02">
        <w:t xml:space="preserve">6 dalis ir </w:t>
      </w:r>
      <w:r w:rsidRPr="00694B02">
        <w:t>CK 3.192 straipsnio 1 dalis numato tėvų pareigą išlaikyti savo vaikus iki pilnamet</w:t>
      </w:r>
      <w:r w:rsidR="008D6F2E" w:rsidRPr="00694B02">
        <w:t>ystės. Lietuvos Aukščiausiasis T</w:t>
      </w:r>
      <w:r w:rsidRPr="00694B02">
        <w:t>eismas yra konstatavęs, kad pareigos rūpintis vaiku, auklėti jį ir išlaikyti, sudaryti normalias gyvenamosios aplinkos sąlygas kyla iš tėvų prigimtinės prievolės būti atsakingiems už vaikų padėtį iki j</w:t>
      </w:r>
      <w:r w:rsidR="00FD3FA3" w:rsidRPr="00694B02">
        <w:t>iems sulaukiant pilnametystės (</w:t>
      </w:r>
      <w:hyperlink r:id="rId9" w:tgtFrame="_blank" w:tooltip="Lietuvos Aukščiausiasis teismas" w:history="1">
        <w:r w:rsidRPr="00694B02">
          <w:rPr>
            <w:rStyle w:val="Hipersaitas"/>
            <w:iCs/>
            <w:color w:val="auto"/>
            <w:u w:val="none"/>
          </w:rPr>
          <w:t>Lietuvos Aukščiausiojo Teismo</w:t>
        </w:r>
      </w:hyperlink>
      <w:r w:rsidRPr="00694B02">
        <w:t xml:space="preserve"> 2004 m. balandžio 26 d. nutartis civilinėje byloje Nr. 3K–3–259/2004). Tėvų pareiga išlaikyti vaiką yra absoliuti, todėl šios turtinės asmeninės prievolės jie negali atsisakyti vykdyti arba perkelti vykdymą kitiems asmenims, taip pat ir vienam iš tėvų, su kuriuo gyvena vaikas (</w:t>
      </w:r>
      <w:hyperlink r:id="rId10" w:tgtFrame="_blank" w:tooltip="Lietuvos Aukščiausiasis teismas" w:history="1">
        <w:r w:rsidRPr="00694B02">
          <w:rPr>
            <w:rStyle w:val="Hipersaitas"/>
            <w:iCs/>
            <w:color w:val="auto"/>
            <w:u w:val="none"/>
          </w:rPr>
          <w:t>Lietuvos Aukščiausiojo Teismo</w:t>
        </w:r>
      </w:hyperlink>
      <w:r w:rsidRPr="00694B02">
        <w:t xml:space="preserve"> 2003 m. kovo 19 d. nutartis civilinėje byloje Nr. 3K–3–369/2003).</w:t>
      </w:r>
      <w:bookmarkStart w:id="1" w:name="n7f006ed1-091a-47d8-abf3-418e68158670"/>
      <w:r w:rsidRPr="00694B02">
        <w:t xml:space="preserve"> </w:t>
      </w:r>
    </w:p>
    <w:p w:rsidR="005013AF" w:rsidRPr="00694B02" w:rsidRDefault="005013AF" w:rsidP="005013AF">
      <w:pPr>
        <w:pStyle w:val="motarg"/>
        <w:shd w:val="clear" w:color="auto" w:fill="FFFFFF"/>
        <w:spacing w:before="0" w:beforeAutospacing="0" w:after="0" w:afterAutospacing="0" w:line="360" w:lineRule="auto"/>
        <w:ind w:firstLine="851"/>
        <w:jc w:val="both"/>
        <w:rPr>
          <w:iCs/>
        </w:rPr>
      </w:pPr>
      <w:r w:rsidRPr="00694B02">
        <w:t xml:space="preserve">Taigi </w:t>
      </w:r>
      <w:hyperlink r:id="rId11" w:tgtFrame="_blank" w:tooltip="Lietuvos Respublikos civilinis kodeksas. Trečioji knyga. Šeimos teisė" w:history="1">
        <w:r w:rsidRPr="00694B02">
          <w:rPr>
            <w:rStyle w:val="Hipersaitas"/>
            <w:iCs/>
            <w:color w:val="auto"/>
            <w:u w:val="none"/>
          </w:rPr>
          <w:t>CK</w:t>
        </w:r>
      </w:hyperlink>
      <w:bookmarkStart w:id="2" w:name="pn7f006ed1-091a-47d8-abf3-418e68158670"/>
      <w:bookmarkStart w:id="3" w:name="nf830353d-41e0-4a2b-a3b6-9f44d1e99ef7"/>
      <w:bookmarkEnd w:id="1"/>
      <w:bookmarkEnd w:id="2"/>
      <w:r w:rsidRPr="00694B02">
        <w:t xml:space="preserve"> </w:t>
      </w:r>
      <w:hyperlink r:id="rId12" w:tgtFrame="_blank" w:tooltip="Tėvų pareiga materialiai išlaikyti savo vaikus" w:history="1">
        <w:r w:rsidRPr="00694B02">
          <w:rPr>
            <w:rStyle w:val="Hipersaitas"/>
            <w:iCs/>
            <w:color w:val="auto"/>
            <w:u w:val="none"/>
          </w:rPr>
          <w:t>3.192</w:t>
        </w:r>
      </w:hyperlink>
      <w:bookmarkStart w:id="4" w:name="pnf830353d-41e0-4a2b-a3b6-9f44d1e99ef7"/>
      <w:bookmarkEnd w:id="3"/>
      <w:bookmarkEnd w:id="4"/>
      <w:r w:rsidRPr="00694B02">
        <w:t xml:space="preserve"> straipsnyje yra įtvirtinta tėvų pareiga materialiai išlaikyti savo vaikus. Dėl vaikams teikiamo išlaikymo formos ir dydžio tėvai gali susitarti (</w:t>
      </w:r>
      <w:bookmarkStart w:id="5" w:name="n9b92bb13-ef4a-44a2-a1bc-662f63e5615b"/>
      <w:r w:rsidRPr="00694B02">
        <w:fldChar w:fldCharType="begin"/>
      </w:r>
      <w:r w:rsidRPr="00694B02">
        <w:instrText xml:space="preserve"> HYPERLINK "https://www.infolex.lt/ta/60696" \o "Lietuvos Respublikos civilinis kodeksas. Trečioji knyga. Šeimos teisė" \t "_blank" </w:instrText>
      </w:r>
      <w:r w:rsidRPr="00694B02">
        <w:fldChar w:fldCharType="separate"/>
      </w:r>
      <w:r w:rsidRPr="00694B02">
        <w:rPr>
          <w:rStyle w:val="Hipersaitas"/>
          <w:iCs/>
          <w:color w:val="auto"/>
          <w:u w:val="none"/>
        </w:rPr>
        <w:t>CK</w:t>
      </w:r>
      <w:r w:rsidRPr="00694B02">
        <w:fldChar w:fldCharType="end"/>
      </w:r>
      <w:bookmarkStart w:id="6" w:name="pn9b92bb13-ef4a-44a2-a1bc-662f63e5615b"/>
      <w:bookmarkStart w:id="7" w:name="nc3f79086-47b0-4fc9-92bf-93b36cd46da4"/>
      <w:bookmarkEnd w:id="5"/>
      <w:bookmarkEnd w:id="6"/>
      <w:r w:rsidRPr="00694B02">
        <w:t xml:space="preserve"> </w:t>
      </w:r>
      <w:hyperlink r:id="rId13" w:tgtFrame="_blank" w:tooltip="Tėvų pareiga materialiai išlaikyti savo vaikus" w:history="1">
        <w:r w:rsidRPr="00694B02">
          <w:rPr>
            <w:rStyle w:val="Hipersaitas"/>
            <w:iCs/>
            <w:color w:val="auto"/>
            <w:u w:val="none"/>
          </w:rPr>
          <w:t>3.192</w:t>
        </w:r>
      </w:hyperlink>
      <w:bookmarkStart w:id="8" w:name="pnc3f79086-47b0-4fc9-92bf-93b36cd46da4"/>
      <w:bookmarkEnd w:id="7"/>
      <w:bookmarkEnd w:id="8"/>
      <w:r w:rsidRPr="00694B02">
        <w:t xml:space="preserve"> straipsnio 1 dalis), o tuo atveju, jeigu tėvai nesusitaria ir vienas iš jų nevykdo pareigos išlaikyti savo vaikus, išlaikymo formą ir dydį nustato teismas sprendimu (</w:t>
      </w:r>
      <w:bookmarkStart w:id="9" w:name="n07d4e4bf-33e9-4390-994a-70d2dfe35add"/>
      <w:r w:rsidRPr="00694B02">
        <w:fldChar w:fldCharType="begin"/>
      </w:r>
      <w:r w:rsidRPr="00694B02">
        <w:instrText xml:space="preserve"> HYPERLINK "https://www.infolex.lt/ta/60696" \o "Lietuvos Respublikos civilinis kodeksas. Trečioji knyga. Šeimos teisė" \t "_blank" </w:instrText>
      </w:r>
      <w:r w:rsidRPr="00694B02">
        <w:fldChar w:fldCharType="separate"/>
      </w:r>
      <w:r w:rsidRPr="00694B02">
        <w:rPr>
          <w:rStyle w:val="Hipersaitas"/>
          <w:iCs/>
          <w:color w:val="auto"/>
          <w:u w:val="none"/>
        </w:rPr>
        <w:t>CK</w:t>
      </w:r>
      <w:r w:rsidRPr="00694B02">
        <w:fldChar w:fldCharType="end"/>
      </w:r>
      <w:bookmarkStart w:id="10" w:name="pn07d4e4bf-33e9-4390-994a-70d2dfe35add"/>
      <w:bookmarkStart w:id="11" w:name="naf592026-e67d-4fcc-b93d-db5abc58eb00"/>
      <w:bookmarkEnd w:id="9"/>
      <w:bookmarkEnd w:id="10"/>
      <w:r w:rsidRPr="00694B02">
        <w:t xml:space="preserve"> </w:t>
      </w:r>
      <w:hyperlink r:id="rId14" w:tgtFrame="_blank" w:tooltip="Išlaikymo priteisimas" w:history="1">
        <w:r w:rsidRPr="00694B02">
          <w:rPr>
            <w:rStyle w:val="Hipersaitas"/>
            <w:iCs/>
            <w:color w:val="auto"/>
            <w:u w:val="none"/>
          </w:rPr>
          <w:t>3.194</w:t>
        </w:r>
      </w:hyperlink>
      <w:bookmarkStart w:id="12" w:name="pnaf592026-e67d-4fcc-b93d-db5abc58eb00"/>
      <w:bookmarkEnd w:id="11"/>
      <w:bookmarkEnd w:id="12"/>
      <w:r w:rsidRPr="00694B02">
        <w:t>,</w:t>
      </w:r>
      <w:bookmarkStart w:id="13" w:name="ndc11e5db-c6d2-47a1-92a7-c59761892147"/>
      <w:r w:rsidRPr="00694B02">
        <w:t xml:space="preserve"> </w:t>
      </w:r>
      <w:hyperlink r:id="rId15" w:tgtFrame="_blank" w:tooltip="Išlaikymo forma ir dydis" w:history="1">
        <w:r w:rsidRPr="00694B02">
          <w:rPr>
            <w:rStyle w:val="Hipersaitas"/>
            <w:iCs/>
            <w:color w:val="auto"/>
            <w:u w:val="none"/>
          </w:rPr>
          <w:t>3.196</w:t>
        </w:r>
      </w:hyperlink>
      <w:bookmarkStart w:id="14" w:name="pndc11e5db-c6d2-47a1-92a7-c59761892147"/>
      <w:bookmarkEnd w:id="13"/>
      <w:bookmarkEnd w:id="14"/>
      <w:r w:rsidRPr="00694B02">
        <w:t xml:space="preserve"> straipsniai). Atkreiptinas dėmesys, kad CK nėra reglamentuojama, kokio</w:t>
      </w:r>
      <w:r w:rsidR="008D6F2E" w:rsidRPr="00694B02">
        <w:t xml:space="preserve"> konkrečiai</w:t>
      </w:r>
      <w:r w:rsidRPr="00694B02">
        <w:t xml:space="preserve"> dydžio išlaikymą turi teikti kiekvienas iš tėvų, todėl, sprendžiant dėl priteistino išlaikymo dydžio, turi būti vadovaujamasi</w:t>
      </w:r>
      <w:bookmarkStart w:id="15" w:name="ne362fdcf-7e30-4354-a810-d6c222437ab8"/>
      <w:r w:rsidRPr="00694B02">
        <w:t xml:space="preserve"> </w:t>
      </w:r>
      <w:hyperlink r:id="rId16" w:tgtFrame="_blank" w:tooltip="Lietuvos Respublikos civilinis kodeksas. Trečioji knyga. Šeimos teisė" w:history="1">
        <w:r w:rsidRPr="00694B02">
          <w:rPr>
            <w:rStyle w:val="Hipersaitas"/>
            <w:iCs/>
            <w:color w:val="auto"/>
            <w:u w:val="none"/>
          </w:rPr>
          <w:t>CK</w:t>
        </w:r>
      </w:hyperlink>
      <w:bookmarkStart w:id="16" w:name="pne362fdcf-7e30-4354-a810-d6c222437ab8"/>
      <w:bookmarkStart w:id="17" w:name="n31aedac1-93a1-44c5-b695-41952b95f85a"/>
      <w:bookmarkEnd w:id="15"/>
      <w:bookmarkEnd w:id="16"/>
      <w:r w:rsidRPr="00694B02">
        <w:t xml:space="preserve"> </w:t>
      </w:r>
      <w:hyperlink r:id="rId17" w:tgtFrame="_blank" w:tooltip="Tėvų pareiga materialiai išlaikyti savo vaikus" w:history="1">
        <w:r w:rsidRPr="00694B02">
          <w:rPr>
            <w:rStyle w:val="Hipersaitas"/>
            <w:iCs/>
            <w:color w:val="auto"/>
            <w:u w:val="none"/>
          </w:rPr>
          <w:t>3.192</w:t>
        </w:r>
      </w:hyperlink>
      <w:bookmarkStart w:id="18" w:name="pn31aedac1-93a1-44c5-b695-41952b95f85a"/>
      <w:bookmarkEnd w:id="17"/>
      <w:bookmarkEnd w:id="18"/>
      <w:r w:rsidRPr="00694B02">
        <w:t xml:space="preserve"> straipsnio 2 dalyje įtvirtintais kriterijais: išlaikymo dydis turi būti proporcingas vaiko poreikiams ir tėvų turtinei padėčiai bei užtikrinti būtinas vaikui vystytis sąlygas. Pastebėtina ir tai, kad materialinį išlaikymą savo vaikams abu tėvai privalo teikti proporcingai savo turtinei padėčiai (</w:t>
      </w:r>
      <w:bookmarkStart w:id="19" w:name="n9915a143-8d17-43d2-a878-c4cb51186915"/>
      <w:r w:rsidRPr="00694B02">
        <w:fldChar w:fldCharType="begin"/>
      </w:r>
      <w:r w:rsidRPr="00694B02">
        <w:instrText xml:space="preserve"> HYPERLINK "https://www.infolex.lt/ta/60696" \o "Lietuvos Respublikos civilinis kodeksas. Trečioji knyga. Šeimos teisė" \t "_blank" </w:instrText>
      </w:r>
      <w:r w:rsidRPr="00694B02">
        <w:fldChar w:fldCharType="separate"/>
      </w:r>
      <w:r w:rsidRPr="00694B02">
        <w:rPr>
          <w:rStyle w:val="Hipersaitas"/>
          <w:iCs/>
          <w:color w:val="auto"/>
          <w:u w:val="none"/>
        </w:rPr>
        <w:t>CK</w:t>
      </w:r>
      <w:r w:rsidRPr="00694B02">
        <w:fldChar w:fldCharType="end"/>
      </w:r>
      <w:bookmarkStart w:id="20" w:name="pn9915a143-8d17-43d2-a878-c4cb51186915"/>
      <w:bookmarkStart w:id="21" w:name="ndef7e5a3-f57d-4e5e-bf4b-898f28d4eef1"/>
      <w:bookmarkEnd w:id="19"/>
      <w:bookmarkEnd w:id="20"/>
      <w:r w:rsidRPr="00694B02">
        <w:t xml:space="preserve"> </w:t>
      </w:r>
      <w:hyperlink r:id="rId18" w:tgtFrame="_blank" w:tooltip="Tėvų pareiga materialiai išlaikyti savo vaikus" w:history="1">
        <w:r w:rsidRPr="00694B02">
          <w:rPr>
            <w:rStyle w:val="Hipersaitas"/>
            <w:iCs/>
            <w:color w:val="auto"/>
            <w:u w:val="none"/>
          </w:rPr>
          <w:t>3.192</w:t>
        </w:r>
      </w:hyperlink>
      <w:bookmarkStart w:id="22" w:name="pndef7e5a3-f57d-4e5e-bf4b-898f28d4eef1"/>
      <w:bookmarkEnd w:id="21"/>
      <w:bookmarkEnd w:id="22"/>
      <w:r w:rsidRPr="00694B02">
        <w:t xml:space="preserve"> straipsnio 3 dalis). Pagrindas apskaičiuoti vaikui reikalingą išlaikymą yra jo poreikiai, kurių kriterijai CK nėra detalizuoti, tačiau yra nuosekliai išplėtoti kasacinio teismo praktikoje. Nustatydamas konkretaus vaiko poreikių turinį, teismas turi įvertinti, ar išlaikymas bus pakankamas vaiko būtinoms vystymosi sąlygoms tenkinti, t. y. ar bus patenkinti vaiko poreikiai maistui, aprangai, būstui, sveikatai, mokslui, poilsiui, laisvalaikiui, kultūriniam ir kitokiam ugdymui (žr., pvz.,</w:t>
      </w:r>
      <w:bookmarkStart w:id="23" w:name="n63b25915-3b5e-4e09-9bc2-1fb27233ced7"/>
      <w:r w:rsidRPr="00694B02">
        <w:t xml:space="preserve"> </w:t>
      </w:r>
      <w:hyperlink r:id="rId19" w:tgtFrame="_blank" w:tooltip="Lietuvos Aukščiausiasis teismas" w:history="1">
        <w:r w:rsidRPr="00694B02">
          <w:rPr>
            <w:rStyle w:val="Hipersaitas"/>
            <w:iCs/>
            <w:color w:val="auto"/>
            <w:u w:val="none"/>
          </w:rPr>
          <w:t>Lietuvos Aukščiausiojo Teismo</w:t>
        </w:r>
      </w:hyperlink>
      <w:bookmarkStart w:id="24" w:name="pn63b25915-3b5e-4e09-9bc2-1fb27233ced7"/>
      <w:bookmarkEnd w:id="23"/>
      <w:bookmarkEnd w:id="24"/>
      <w:r w:rsidRPr="00694B02">
        <w:t xml:space="preserve"> 2013 m. kovo 28 d. nutartį civilinėje byloje Nr.</w:t>
      </w:r>
      <w:bookmarkStart w:id="25" w:name="n6ac31627-2cee-4fa3-8688-f4dcf032d10a"/>
      <w:r w:rsidRPr="00694B02">
        <w:t xml:space="preserve"> </w:t>
      </w:r>
      <w:hyperlink r:id="rId20" w:tgtFrame="_blank" w:tooltip="3K-3-209/2013 Dėl abiejų sutuoktinių kaltės, nepilnamečio vaiko gyvenamosios vietos nustatymo, išlaikymo jam priteisimo, turto padalijimo" w:history="1">
        <w:r w:rsidRPr="00694B02">
          <w:rPr>
            <w:rStyle w:val="Hipersaitas"/>
            <w:iCs/>
            <w:color w:val="auto"/>
            <w:u w:val="none"/>
          </w:rPr>
          <w:t>3K-3-209/2013</w:t>
        </w:r>
      </w:hyperlink>
      <w:bookmarkStart w:id="26" w:name="pn6ac31627-2cee-4fa3-8688-f4dcf032d10a"/>
      <w:bookmarkEnd w:id="25"/>
      <w:bookmarkEnd w:id="26"/>
      <w:r w:rsidRPr="00694B02">
        <w:t>). Pažymėtina ir tai, kad visapusiškam vaiko vystymuisi turi būti tenkinami ne tik jo būtinieji poreikiai (maistas, apranga, higiena ir pan.), bet skiriamas dėmesys vaiko laisvalaikio, bendravimo, saviraiškos pomėgiams, lavinami gabumai (žr., pvz.,</w:t>
      </w:r>
      <w:bookmarkStart w:id="27" w:name="nc9eff680-9bfb-4224-b496-dbffbba5ee2b"/>
      <w:r w:rsidRPr="00694B02">
        <w:t xml:space="preserve"> </w:t>
      </w:r>
      <w:hyperlink r:id="rId21" w:tgtFrame="_blank" w:tooltip="Lietuvos Aukščiausiasis teismas" w:history="1">
        <w:r w:rsidRPr="00694B02">
          <w:rPr>
            <w:rStyle w:val="Hipersaitas"/>
            <w:iCs/>
            <w:color w:val="auto"/>
            <w:u w:val="none"/>
          </w:rPr>
          <w:t>Lietuvos Aukščiausiojo Teismo</w:t>
        </w:r>
      </w:hyperlink>
      <w:bookmarkStart w:id="28" w:name="pnc9eff680-9bfb-4224-b496-dbffbba5ee2b"/>
      <w:bookmarkEnd w:id="27"/>
      <w:bookmarkEnd w:id="28"/>
      <w:r w:rsidRPr="00694B02">
        <w:t xml:space="preserve"> 2013 m. spalio 21 d. nutartį civilinėje byloje Nr.</w:t>
      </w:r>
      <w:bookmarkStart w:id="29" w:name="n7cf7429a-4744-40aa-ba0c-d2c9693961a0"/>
      <w:r w:rsidRPr="00694B02">
        <w:t xml:space="preserve"> </w:t>
      </w:r>
      <w:hyperlink r:id="rId22" w:tgtFrame="_blank" w:tooltip="3K-3-491/2013 Dėl sutuoktinio kaltės ir santuokinio turto padalijimo" w:history="1">
        <w:r w:rsidRPr="00694B02">
          <w:rPr>
            <w:rStyle w:val="Hipersaitas"/>
            <w:iCs/>
            <w:color w:val="auto"/>
            <w:u w:val="none"/>
          </w:rPr>
          <w:t>3K-3-491/2013</w:t>
        </w:r>
      </w:hyperlink>
      <w:bookmarkStart w:id="30" w:name="pn7cf7429a-4744-40aa-ba0c-d2c9693961a0"/>
      <w:bookmarkEnd w:id="29"/>
      <w:bookmarkEnd w:id="30"/>
      <w:r w:rsidRPr="00694B02">
        <w:t>).</w:t>
      </w:r>
    </w:p>
    <w:p w:rsidR="005013AF" w:rsidRPr="00694B02" w:rsidRDefault="005013AF" w:rsidP="005013AF">
      <w:pPr>
        <w:pStyle w:val="prastasiniatinklio"/>
        <w:shd w:val="clear" w:color="auto" w:fill="FFFFFF"/>
        <w:spacing w:after="0" w:line="360" w:lineRule="auto"/>
        <w:ind w:firstLine="851"/>
        <w:jc w:val="both"/>
      </w:pPr>
      <w:r w:rsidRPr="00694B02">
        <w:t>Atkreiptinas dėmesys, kad vaikų poreikių ir tėvų turtinės padėties proporcingumo principas reiškia, kad vaiko išlaikymo dydis tiesiogiai priklauso nuo vaiko poreikių ir tėvų galimybių šiuos poreikius patenkinti (</w:t>
      </w:r>
      <w:bookmarkStart w:id="31" w:name="nacad9db8-e510-493d-aaf6-e283f357e29e"/>
      <w:r w:rsidRPr="00694B02">
        <w:fldChar w:fldCharType="begin"/>
      </w:r>
      <w:r w:rsidRPr="00694B02">
        <w:instrText xml:space="preserve"> HYPERLINK "https://www.infolex.lt/ta/563172" \o "Lietuvos Aukščiausiasis teismas" \t "_blank" </w:instrText>
      </w:r>
      <w:r w:rsidRPr="00694B02">
        <w:fldChar w:fldCharType="separate"/>
      </w:r>
      <w:r w:rsidRPr="00694B02">
        <w:rPr>
          <w:rStyle w:val="Hipersaitas"/>
          <w:iCs/>
          <w:color w:val="auto"/>
          <w:u w:val="none"/>
        </w:rPr>
        <w:t>Lietuvos Aukščiausiojo Teismo</w:t>
      </w:r>
      <w:r w:rsidRPr="00694B02">
        <w:fldChar w:fldCharType="end"/>
      </w:r>
      <w:bookmarkStart w:id="32" w:name="pnacad9db8-e510-493d-aaf6-e283f357e29e"/>
      <w:bookmarkEnd w:id="31"/>
      <w:bookmarkEnd w:id="32"/>
      <w:r w:rsidRPr="00694B02">
        <w:t xml:space="preserve"> 2008 m. gegužės 26 d. nutartis civilinėje byloje </w:t>
      </w:r>
      <w:r w:rsidRPr="00694B02">
        <w:lastRenderedPageBreak/>
        <w:t>Nr.</w:t>
      </w:r>
      <w:bookmarkStart w:id="33" w:name="n8b596e02-e7d2-40bc-80ea-6cc35b600423"/>
      <w:r w:rsidRPr="00694B02">
        <w:t xml:space="preserve"> </w:t>
      </w:r>
      <w:hyperlink r:id="rId23" w:tgtFrame="_blank" w:tooltip="3K-3-303/2008 Dėl priteisto išlaikymo dydžio ir formos pakeitimo." w:history="1">
        <w:r w:rsidRPr="00694B02">
          <w:rPr>
            <w:rStyle w:val="Hipersaitas"/>
            <w:iCs/>
            <w:color w:val="auto"/>
            <w:u w:val="none"/>
          </w:rPr>
          <w:t>3K-3-303/2008</w:t>
        </w:r>
      </w:hyperlink>
      <w:bookmarkStart w:id="34" w:name="pn8b596e02-e7d2-40bc-80ea-6cc35b600423"/>
      <w:bookmarkEnd w:id="33"/>
      <w:bookmarkEnd w:id="34"/>
      <w:r w:rsidRPr="00694B02">
        <w:t>). Pagal kasacinio teismo išaiškinimus, įstatyme įtvirtintas proporcingumo principas tarp vaikų poreikių ir tėvų turtinės padėties reiškia tai, kad vaiko išlaikymo dydis tiesiogiai priklauso nuo jo tėvų turtinės padėties. Tačiau pažymėtina tai, kad sunki tėvų padėtis turi reikšmės tik išlaikymo dydžiui, o ne išlaikymo prievolės egzistavimui (</w:t>
      </w:r>
      <w:bookmarkStart w:id="35" w:name="n2e173a40-a0cd-4b2f-92ba-e37f7f3aa7eb"/>
      <w:r w:rsidRPr="00694B02">
        <w:fldChar w:fldCharType="begin"/>
      </w:r>
      <w:r w:rsidRPr="00694B02">
        <w:instrText xml:space="preserve"> HYPERLINK "https://www.infolex.lt/ta/563172" \o "Lietuvos Aukščiausiasis teismas" \t "_blank" </w:instrText>
      </w:r>
      <w:r w:rsidRPr="00694B02">
        <w:fldChar w:fldCharType="separate"/>
      </w:r>
      <w:r w:rsidRPr="00694B02">
        <w:rPr>
          <w:rStyle w:val="Hipersaitas"/>
          <w:iCs/>
          <w:color w:val="auto"/>
          <w:u w:val="none"/>
        </w:rPr>
        <w:t>Lietuvos Aukščiausiojo Teismo</w:t>
      </w:r>
      <w:r w:rsidRPr="00694B02">
        <w:fldChar w:fldCharType="end"/>
      </w:r>
      <w:bookmarkStart w:id="36" w:name="pn2e173a40-a0cd-4b2f-92ba-e37f7f3aa7eb"/>
      <w:bookmarkEnd w:id="35"/>
      <w:bookmarkEnd w:id="36"/>
      <w:r w:rsidRPr="00694B02">
        <w:t xml:space="preserve"> 2006 m. rugsėjo 13 d. nutartis civilinėje byloje Nr.</w:t>
      </w:r>
      <w:bookmarkStart w:id="37" w:name="naf90fdcd-998f-41b4-ae2d-280c0ac7915d"/>
      <w:r w:rsidRPr="00694B02">
        <w:t xml:space="preserve"> </w:t>
      </w:r>
      <w:hyperlink r:id="rId24" w:tgtFrame="_blank" w:tooltip="3K-3-469/2006 Dėl santuokos nutraukimo dėl ieškovo kaltės." w:history="1">
        <w:r w:rsidRPr="00694B02">
          <w:rPr>
            <w:rStyle w:val="Hipersaitas"/>
            <w:iCs/>
            <w:color w:val="auto"/>
            <w:u w:val="none"/>
          </w:rPr>
          <w:t>3K-3-469/2006</w:t>
        </w:r>
      </w:hyperlink>
      <w:bookmarkStart w:id="38" w:name="pnaf90fdcd-998f-41b4-ae2d-280c0ac7915d"/>
      <w:bookmarkEnd w:id="37"/>
      <w:bookmarkEnd w:id="38"/>
      <w:r w:rsidRPr="00694B02">
        <w:t>), todėl Pareiškėjo teiginys, kad vadovaujantis esamu teisiniu reguliavimu „motinos gali išvis neprisidėti prie vaikų išlaikymo, nors pagal teisę abu tėvai privalo vaikus išlaikyti vienodai“ yra nepagrįstas. Vadovaujantis kasacinio teismo praktika, tėvų turtinė padėtis turi būti vertinama, atsižvelgiant į faktinių aplinkybių visumą: tėvų gaunamas pajamas, turimą kilnojamąjį ir nekilnojamąjį turtą, investicijas, sveikatą, išlaikytinių skaičių, taip pat į tėvų elgesį, siekiant uždirbti, gauti pajamų vaikams išlaikyti (</w:t>
      </w:r>
      <w:bookmarkStart w:id="39" w:name="n48a4be8f-8050-462b-a8ef-1ff26465d391"/>
      <w:r w:rsidRPr="00694B02">
        <w:fldChar w:fldCharType="begin"/>
      </w:r>
      <w:r w:rsidRPr="00694B02">
        <w:instrText xml:space="preserve"> HYPERLINK "https://www.infolex.lt/ta/563172" \o "Lietuvos Aukščiausiasis teismas" \t "_blank" </w:instrText>
      </w:r>
      <w:r w:rsidRPr="00694B02">
        <w:fldChar w:fldCharType="separate"/>
      </w:r>
      <w:r w:rsidRPr="00694B02">
        <w:rPr>
          <w:rStyle w:val="Hipersaitas"/>
          <w:iCs/>
          <w:color w:val="auto"/>
          <w:u w:val="none"/>
        </w:rPr>
        <w:t>Lietuvos Aukščiausiojo Teismo</w:t>
      </w:r>
      <w:r w:rsidRPr="00694B02">
        <w:fldChar w:fldCharType="end"/>
      </w:r>
      <w:bookmarkStart w:id="40" w:name="pn48a4be8f-8050-462b-a8ef-1ff26465d391"/>
      <w:bookmarkEnd w:id="39"/>
      <w:bookmarkEnd w:id="40"/>
      <w:r w:rsidRPr="00694B02">
        <w:t xml:space="preserve"> 2021 m. rugsėjo 30 d. nutartis civilinėje byloje Nr.</w:t>
      </w:r>
      <w:bookmarkStart w:id="41" w:name="ne29da36b-d73a-48f6-a2fa-627ccdcdd5b7"/>
      <w:r w:rsidRPr="00694B02">
        <w:t xml:space="preserve"> </w:t>
      </w:r>
      <w:hyperlink r:id="rId25" w:tgtFrame="_blank" w:tooltip="e3K-3-379-916/2021 Dėl teisės normų, reglamentuojančių nepilnamečio vaiko gyvenamosios vietos pakeitimą, išvykstant su vienu iš tėvų nuolat gyventi į užsienio valstybę, be kito tėvo sutikimo, taip pat" w:history="1">
        <w:r w:rsidRPr="00694B02">
          <w:rPr>
            <w:rStyle w:val="Hipersaitas"/>
            <w:iCs/>
            <w:color w:val="auto"/>
            <w:u w:val="none"/>
          </w:rPr>
          <w:t>e3K-3-379-916/2021</w:t>
        </w:r>
      </w:hyperlink>
      <w:bookmarkStart w:id="42" w:name="pne29da36b-d73a-48f6-a2fa-627ccdcdd5b7"/>
      <w:bookmarkEnd w:id="41"/>
      <w:bookmarkEnd w:id="42"/>
      <w:r w:rsidRPr="00694B02">
        <w:t>, 60 punktas).</w:t>
      </w:r>
    </w:p>
    <w:p w:rsidR="005013AF" w:rsidRPr="00694B02" w:rsidRDefault="005013AF" w:rsidP="005013AF">
      <w:pPr>
        <w:pStyle w:val="prastasiniatinklio"/>
        <w:shd w:val="clear" w:color="auto" w:fill="FFFFFF"/>
        <w:spacing w:after="0" w:line="360" w:lineRule="auto"/>
        <w:ind w:firstLine="851"/>
        <w:jc w:val="both"/>
      </w:pPr>
      <w:r w:rsidRPr="00694B02">
        <w:t>Kasacinio teismo praktikoje pažymima, kad tėvų pareiga teikti vaikui išlaikymą yra imperatyvi ir jos nevykdymas negali būti pateisinamas gaunamomis minimaliomis pajamomis ar išlaikymo teikėjo nerūpestingu, nesąžiningu elgesiu. Dėl to nustatant vieno iš tėvų turtinę padėtį, vertintinas ne tik jo turimas turtas ir gaunamos pajamos, bet ir tai, kokių priemonių jis ėmėsi, kad gautų atitinkančias savo amžių bei profesines galimybes pajamas, iš kurių būtų teikiamas išlaikymas vaikams (žr., pvz.,</w:t>
      </w:r>
      <w:bookmarkStart w:id="43" w:name="n466584a3-5c8f-48c6-827b-c4a936928caf"/>
      <w:r w:rsidRPr="00694B02">
        <w:t xml:space="preserve"> </w:t>
      </w:r>
      <w:hyperlink r:id="rId26" w:tgtFrame="_blank" w:tooltip="Lietuvos Aukščiausiasis teismas" w:history="1">
        <w:r w:rsidRPr="00694B02">
          <w:rPr>
            <w:rStyle w:val="Hipersaitas"/>
            <w:iCs/>
            <w:color w:val="auto"/>
            <w:u w:val="none"/>
          </w:rPr>
          <w:t>Lietuvos Aukščiausiojo Teismo</w:t>
        </w:r>
      </w:hyperlink>
      <w:bookmarkStart w:id="44" w:name="pn466584a3-5c8f-48c6-827b-c4a936928caf"/>
      <w:bookmarkEnd w:id="43"/>
      <w:bookmarkEnd w:id="44"/>
      <w:r w:rsidRPr="00694B02">
        <w:t xml:space="preserve"> 2013 m. spalio 21 d. nutartį civilinėje byloje Nr.</w:t>
      </w:r>
      <w:bookmarkStart w:id="45" w:name="n86416a5b-c14c-4d29-9b25-678146275125"/>
      <w:r w:rsidRPr="00694B02">
        <w:t xml:space="preserve"> </w:t>
      </w:r>
      <w:hyperlink r:id="rId27" w:tgtFrame="_blank" w:tooltip="3K-3-491/2013 Dėl sutuoktinio kaltės ir santuokinio turto padalijimo" w:history="1">
        <w:r w:rsidRPr="00694B02">
          <w:rPr>
            <w:rStyle w:val="Hipersaitas"/>
            <w:iCs/>
            <w:color w:val="auto"/>
            <w:u w:val="none"/>
          </w:rPr>
          <w:t>3K-3-491/2013</w:t>
        </w:r>
      </w:hyperlink>
      <w:bookmarkStart w:id="46" w:name="pn86416a5b-c14c-4d29-9b25-678146275125"/>
      <w:bookmarkEnd w:id="45"/>
      <w:bookmarkEnd w:id="46"/>
      <w:r w:rsidRPr="00694B02">
        <w:t>; 2016 m. vasario 3 d. nutarties civilinėje byloje Nr.</w:t>
      </w:r>
      <w:bookmarkStart w:id="47" w:name="n8f0b6943-a713-4b92-8614-bf70683af9e1"/>
      <w:r w:rsidRPr="00694B02">
        <w:t xml:space="preserve"> </w:t>
      </w:r>
      <w:hyperlink r:id="rId28" w:tgtFrame="_blank" w:tooltip="3K-3-16-706/2016 Dėl santuokos nutraukimo, esant kito sutuoktinio kaltei, nepilnamečių vaikų gyvenamosios vietos nustatymo, išlaikymo nepilnamečiams vaikams ir išlaikymo įsiskolinimo priteisimo, priev" w:history="1">
        <w:r w:rsidRPr="00694B02">
          <w:rPr>
            <w:rStyle w:val="Hipersaitas"/>
            <w:iCs/>
            <w:color w:val="auto"/>
            <w:u w:val="none"/>
          </w:rPr>
          <w:t>3K-3-16-706/2016</w:t>
        </w:r>
      </w:hyperlink>
      <w:bookmarkStart w:id="48" w:name="pn8f0b6943-a713-4b92-8614-bf70683af9e1"/>
      <w:bookmarkEnd w:id="47"/>
      <w:bookmarkEnd w:id="48"/>
      <w:r w:rsidRPr="00694B02">
        <w:t xml:space="preserve"> 29 punktą; 2018 m. vasario 22 d. nutarties civilinėje byloje Nr.</w:t>
      </w:r>
      <w:bookmarkStart w:id="49" w:name="n29945899-686f-4834-8e36-dfa73d4d506f"/>
      <w:r w:rsidRPr="00694B02">
        <w:t xml:space="preserve"> </w:t>
      </w:r>
      <w:hyperlink r:id="rId29" w:tgtFrame="_blank" w:tooltip="e3K-3-70-969/2018 Dėl periodinių išmokų nepilnamečio vaiko išlaikymui dydžio pakeitimo ir bendravimo tvarkos nustatymo" w:history="1">
        <w:r w:rsidRPr="00694B02">
          <w:rPr>
            <w:rStyle w:val="Hipersaitas"/>
            <w:iCs/>
            <w:color w:val="auto"/>
            <w:u w:val="none"/>
          </w:rPr>
          <w:t>e3K-3-70-969/2018</w:t>
        </w:r>
      </w:hyperlink>
      <w:bookmarkStart w:id="50" w:name="pn29945899-686f-4834-8e36-dfa73d4d506f"/>
      <w:bookmarkEnd w:id="49"/>
      <w:bookmarkEnd w:id="50"/>
      <w:r w:rsidRPr="00694B02">
        <w:t xml:space="preserve"> 21 punktą). Asmens galėjimas ar negalėjimas pagerinti savo turtinę padėtį turi būti vertinamas tiek pagal objektyvius, tiek pagal subjektyvius veiksnius. Subjektyvūs veiksniai – tai paties asmens pastangos, noras, požiūris ir jo vertinamos galimybės gauti pajamas; objektyvūs – amžius, sveikata, šalies ekonominė situacija ir kt., aplinkybės, kurių asmuo negali valdyti ir negali būti laikomas už jas atsakingu (</w:t>
      </w:r>
      <w:bookmarkStart w:id="51" w:name="nca03189f-9879-4fc1-a149-10c159881654"/>
      <w:r w:rsidRPr="00694B02">
        <w:fldChar w:fldCharType="begin"/>
      </w:r>
      <w:r w:rsidRPr="00694B02">
        <w:instrText xml:space="preserve"> HYPERLINK "https://www.infolex.lt/ta/563172" \o "Lietuvos Aukščiausiasis teismas" \t "_blank" </w:instrText>
      </w:r>
      <w:r w:rsidRPr="00694B02">
        <w:fldChar w:fldCharType="separate"/>
      </w:r>
      <w:r w:rsidRPr="00694B02">
        <w:rPr>
          <w:rStyle w:val="Hipersaitas"/>
          <w:iCs/>
          <w:color w:val="auto"/>
          <w:u w:val="none"/>
        </w:rPr>
        <w:t>Lietuvos Aukščiausiojo Teismo</w:t>
      </w:r>
      <w:r w:rsidRPr="00694B02">
        <w:fldChar w:fldCharType="end"/>
      </w:r>
      <w:bookmarkStart w:id="52" w:name="pnca03189f-9879-4fc1-a149-10c159881654"/>
      <w:bookmarkEnd w:id="51"/>
      <w:bookmarkEnd w:id="52"/>
      <w:r w:rsidRPr="00694B02">
        <w:t xml:space="preserve"> 2010 m. sausio 11 d. nutartis civilinėje byloje Nr.</w:t>
      </w:r>
      <w:bookmarkStart w:id="53" w:name="nbe3cca4f-8582-4fa2-976e-a6b5d1592504"/>
      <w:r w:rsidRPr="00694B02">
        <w:t xml:space="preserve"> </w:t>
      </w:r>
      <w:hyperlink r:id="rId30" w:tgtFrame="_blank" w:tooltip="3K-3-32/2010 Dėl išlaikymo dydžio pakeitimo" w:history="1">
        <w:r w:rsidRPr="00694B02">
          <w:rPr>
            <w:rStyle w:val="Hipersaitas"/>
            <w:iCs/>
            <w:color w:val="auto"/>
            <w:u w:val="none"/>
          </w:rPr>
          <w:t>3K-3-32/2010</w:t>
        </w:r>
      </w:hyperlink>
      <w:bookmarkStart w:id="54" w:name="pnbe3cca4f-8582-4fa2-976e-a6b5d1592504"/>
      <w:bookmarkEnd w:id="53"/>
      <w:bookmarkEnd w:id="54"/>
      <w:r w:rsidRPr="00694B02">
        <w:t>).</w:t>
      </w:r>
    </w:p>
    <w:p w:rsidR="005013AF" w:rsidRPr="00694B02" w:rsidRDefault="005013AF" w:rsidP="005013AF">
      <w:pPr>
        <w:pStyle w:val="prastasiniatinklio"/>
        <w:shd w:val="clear" w:color="auto" w:fill="FFFFFF"/>
        <w:spacing w:after="0" w:line="360" w:lineRule="auto"/>
        <w:ind w:firstLine="851"/>
        <w:jc w:val="both"/>
      </w:pPr>
      <w:r w:rsidRPr="00694B02">
        <w:t>Pažymėtina, kad teismų praktikoje nurodyta ir tai, kad teismas negali priteisti vaikui išlaikyti daugiau, negu objektyviai leidžia tėvų turtinė padėtis, todėl kiekvienu konkrečiu atveju nagrinėdamas bylą dėl išlaikymo priteisimo ar jo dydžio pakeitimo teismas privalo nustatyti tėvų turtinę padėtį, t. y. visas jų gaunamas pajamas, turtą, būtinas išlaidas ir vaiko poreikius (žr., pvz.,</w:t>
      </w:r>
      <w:bookmarkStart w:id="55" w:name="na5431967-cae0-4ce8-904f-f7da499ee291"/>
      <w:r w:rsidRPr="00694B02">
        <w:t xml:space="preserve"> </w:t>
      </w:r>
      <w:hyperlink r:id="rId31" w:tgtFrame="_blank" w:tooltip="Lietuvos Aukščiausiasis teismas" w:history="1">
        <w:r w:rsidRPr="00694B02">
          <w:rPr>
            <w:rStyle w:val="Hipersaitas"/>
            <w:iCs/>
            <w:color w:val="auto"/>
            <w:u w:val="none"/>
          </w:rPr>
          <w:t>Lietuvos Aukščiausiojo Teismo</w:t>
        </w:r>
      </w:hyperlink>
      <w:bookmarkStart w:id="56" w:name="pna5431967-cae0-4ce8-904f-f7da499ee291"/>
      <w:bookmarkEnd w:id="55"/>
      <w:bookmarkEnd w:id="56"/>
      <w:r w:rsidRPr="00694B02">
        <w:t xml:space="preserve"> 2010 m. birželio 28 d. nutartį civilinėje byloje Nr.</w:t>
      </w:r>
      <w:bookmarkStart w:id="57" w:name="n014a7d79-c36e-487c-9eee-10b5da2938e1"/>
      <w:r w:rsidRPr="00694B02">
        <w:t xml:space="preserve"> </w:t>
      </w:r>
      <w:hyperlink r:id="rId32" w:tgtFrame="_blank" w:tooltip="3K-3-294/2010 Dėl išlaikymo dydžio pakeitimo" w:history="1">
        <w:r w:rsidRPr="00694B02">
          <w:rPr>
            <w:rStyle w:val="Hipersaitas"/>
            <w:iCs/>
            <w:color w:val="auto"/>
            <w:u w:val="none"/>
          </w:rPr>
          <w:t>3K-3-294/2010</w:t>
        </w:r>
      </w:hyperlink>
      <w:bookmarkStart w:id="58" w:name="pn014a7d79-c36e-487c-9eee-10b5da2938e1"/>
      <w:bookmarkEnd w:id="57"/>
      <w:bookmarkEnd w:id="58"/>
      <w:r w:rsidRPr="00694B02">
        <w:t>). Kasacinio teismo praktikoje pabrėžiama, kad tėvų turtinės padėties kriterijus yra reikšmingas, bet ne lemiantis, sprendžiant dėl priteistino išlaikymo dydžio, dėl kurio spręstina kiekvienu atveju individualiai įvertinant reikšmingas aplinkybes (</w:t>
      </w:r>
      <w:bookmarkStart w:id="59" w:name="ne1f2ae10-3e1d-4df6-8d5c-c5cbbac7d99f"/>
      <w:r w:rsidRPr="00694B02">
        <w:fldChar w:fldCharType="begin"/>
      </w:r>
      <w:r w:rsidRPr="00694B02">
        <w:instrText xml:space="preserve"> HYPERLINK "https://www.infolex.lt/ta/563172" \o "Lietuvos Aukščiausiasis teismas" \t "_blank" </w:instrText>
      </w:r>
      <w:r w:rsidRPr="00694B02">
        <w:fldChar w:fldCharType="separate"/>
      </w:r>
      <w:r w:rsidRPr="00694B02">
        <w:rPr>
          <w:rStyle w:val="Hipersaitas"/>
          <w:iCs/>
          <w:color w:val="auto"/>
          <w:u w:val="none"/>
        </w:rPr>
        <w:t>Lietuvos Aukščiausiojo Teismo</w:t>
      </w:r>
      <w:r w:rsidRPr="00694B02">
        <w:fldChar w:fldCharType="end"/>
      </w:r>
      <w:bookmarkStart w:id="60" w:name="pne1f2ae10-3e1d-4df6-8d5c-c5cbbac7d99f"/>
      <w:bookmarkEnd w:id="59"/>
      <w:bookmarkEnd w:id="60"/>
      <w:r w:rsidR="00FD3FA3" w:rsidRPr="00694B02">
        <w:t xml:space="preserve"> </w:t>
      </w:r>
      <w:r w:rsidRPr="00694B02">
        <w:t>2013 m. kovo 28 d. nutartis civilinėje byloje Nr.</w:t>
      </w:r>
      <w:bookmarkStart w:id="61" w:name="n5e21e022-9f76-4211-a7e0-6675e8bd2b4e"/>
      <w:r w:rsidRPr="00694B02">
        <w:t xml:space="preserve"> </w:t>
      </w:r>
      <w:hyperlink r:id="rId33" w:tgtFrame="_blank" w:tooltip="3K-3-209/2013 Dėl abiejų sutuoktinių kaltės, nepilnamečio vaiko gyvenamosios vietos nustatymo, išlaikymo jam priteisimo, turto padalijimo" w:history="1">
        <w:r w:rsidRPr="00694B02">
          <w:rPr>
            <w:rStyle w:val="Hipersaitas"/>
            <w:iCs/>
            <w:color w:val="auto"/>
            <w:u w:val="none"/>
          </w:rPr>
          <w:t>3K-3-209/2013</w:t>
        </w:r>
      </w:hyperlink>
      <w:bookmarkStart w:id="62" w:name="pn5e21e022-9f76-4211-a7e0-6675e8bd2b4e"/>
      <w:bookmarkEnd w:id="61"/>
      <w:bookmarkEnd w:id="62"/>
      <w:r w:rsidRPr="00694B02">
        <w:t xml:space="preserve">). Vadovaujantis kasacinio teismo praktika taip pat pažymėtina, kad siekiant įvertinti tėvų turtinę padėtį, turi būti surinkti tai pagrindžiantys įrodymai. Kiekviena šalis </w:t>
      </w:r>
      <w:r w:rsidRPr="00694B02">
        <w:lastRenderedPageBreak/>
        <w:t xml:space="preserve">turi pateikti savo </w:t>
      </w:r>
      <w:r w:rsidR="00694B02">
        <w:t>turtinę padėtį pagrindžiančius į</w:t>
      </w:r>
      <w:r w:rsidRPr="00694B02">
        <w:t>rodymus. Tuo atveju, jei viena iš šalių vengia atskleisti duomenis apie savo finansinę padėtį, teismas, atsižvelgdamas į tai, kad šiuo atveju yra sprendžiamas vaiko poreikių tenkinimo klausimas ir turi būti tinkamai apginti vaiko interesai, turi būti aktyvus ir savo iniciatyva rinkti</w:t>
      </w:r>
      <w:r w:rsidR="00694B02">
        <w:t xml:space="preserve"> į</w:t>
      </w:r>
      <w:r w:rsidRPr="00694B02">
        <w:t>rodymus (</w:t>
      </w:r>
      <w:bookmarkStart w:id="63" w:name="pn0e9430a2-a4fe-4f2d-9ab1-ef85ed79f3d4"/>
      <w:bookmarkStart w:id="64" w:name="n47ee2cde-0803-4995-8f20-82a9240e7876"/>
      <w:bookmarkEnd w:id="63"/>
      <w:r w:rsidRPr="00694B02">
        <w:t xml:space="preserve">Civilinio proceso kodekso </w:t>
      </w:r>
      <w:hyperlink r:id="rId34" w:tgtFrame="_blank" w:tooltip="Teismo vaidmuo" w:history="1">
        <w:r w:rsidRPr="00694B02">
          <w:rPr>
            <w:rStyle w:val="Hipersaitas"/>
            <w:iCs/>
            <w:color w:val="auto"/>
            <w:u w:val="none"/>
          </w:rPr>
          <w:t>376</w:t>
        </w:r>
      </w:hyperlink>
      <w:bookmarkStart w:id="65" w:name="pn47ee2cde-0803-4995-8f20-82a9240e7876"/>
      <w:bookmarkEnd w:id="64"/>
      <w:bookmarkEnd w:id="65"/>
      <w:r w:rsidRPr="00694B02">
        <w:t xml:space="preserve"> straipsnio 1 dalis). Atsakovas turi sąžiningai naudotis savo procesinėmis teisėmis ir pateikti duomenis apie savo turtinę padėtį, o teismas, matydamas, kad tai yra būtina siekiant teisingai išspręsti bylą, turi </w:t>
      </w:r>
      <w:proofErr w:type="spellStart"/>
      <w:r w:rsidRPr="00694B02">
        <w:t>ex</w:t>
      </w:r>
      <w:proofErr w:type="spellEnd"/>
      <w:r w:rsidRPr="00694B02">
        <w:t xml:space="preserve"> </w:t>
      </w:r>
      <w:proofErr w:type="spellStart"/>
      <w:r w:rsidRPr="00694B02">
        <w:t>officio</w:t>
      </w:r>
      <w:proofErr w:type="spellEnd"/>
      <w:r w:rsidRPr="00694B02">
        <w:t xml:space="preserve"> (pagal pareigas) surinkti duomenis apie šalių turtinę padėtį (</w:t>
      </w:r>
      <w:bookmarkStart w:id="66" w:name="nc706a642-a7ab-4e87-8a66-5d8b9966bf3f"/>
      <w:r w:rsidRPr="00694B02">
        <w:fldChar w:fldCharType="begin"/>
      </w:r>
      <w:r w:rsidRPr="00694B02">
        <w:instrText xml:space="preserve"> HYPERLINK "https://www.infolex.lt/ta/563172" \o "Lietuvos Aukščiausiasis teismas" \t "_blank" </w:instrText>
      </w:r>
      <w:r w:rsidRPr="00694B02">
        <w:fldChar w:fldCharType="separate"/>
      </w:r>
      <w:r w:rsidRPr="00694B02">
        <w:rPr>
          <w:rStyle w:val="Hipersaitas"/>
          <w:iCs/>
          <w:color w:val="auto"/>
          <w:u w:val="none"/>
        </w:rPr>
        <w:t>Lietuvos Aukščiausiojo Teismo</w:t>
      </w:r>
      <w:r w:rsidRPr="00694B02">
        <w:fldChar w:fldCharType="end"/>
      </w:r>
      <w:bookmarkStart w:id="67" w:name="pnc706a642-a7ab-4e87-8a66-5d8b9966bf3f"/>
      <w:bookmarkEnd w:id="66"/>
      <w:bookmarkEnd w:id="67"/>
      <w:r w:rsidRPr="00694B02">
        <w:t xml:space="preserve"> 2020 m. spalio 28 d. nutartis civilinėje byloje Nr. e3K-3-273-969/2022, 33 punktas).</w:t>
      </w:r>
    </w:p>
    <w:p w:rsidR="005013AF" w:rsidRPr="00694B02" w:rsidRDefault="005013AF" w:rsidP="005013AF">
      <w:pPr>
        <w:pStyle w:val="prastasiniatinklio"/>
        <w:shd w:val="clear" w:color="auto" w:fill="FFFFFF"/>
        <w:spacing w:after="0" w:line="360" w:lineRule="auto"/>
        <w:ind w:firstLine="851"/>
        <w:jc w:val="both"/>
      </w:pPr>
      <w:r w:rsidRPr="00694B02">
        <w:t>Atsižvelgiant į išdėstytus argumentus, negalima sutikti su Pareiškėjo teiginiais, kad CK nustatytas teisinis reguliavimas nepilnamečių vaikų materialinio išlaikymo srityje suponuoja tai, kad teismai, spręsdami dėl nepilnamečių vaikų išlaikymo dydžio nustatymo, nustato konkrečią, tik su minimalia mėnesine alga susietą išlaikymo sumą, nevertinant vaiko poreikių bei tėvų turtinės padėties. Juo labiau negalima pritarti Pareiškėjo teiginiui,</w:t>
      </w:r>
      <w:r w:rsidR="005F1797" w:rsidRPr="00694B02">
        <w:t xml:space="preserve"> </w:t>
      </w:r>
      <w:r w:rsidR="005F1797" w:rsidRPr="0042383A">
        <w:t>kad</w:t>
      </w:r>
      <w:r w:rsidRPr="00694B02">
        <w:t xml:space="preserve"> galiojantis teisinis reguliavimas suteikia galimybę vienam iš vaiko tėvų išvis neprisidėti prie vaiko išlaikymo. Atvirkščiai, manytina, kad būtent Pareiškėjo siūlymas „fiksuoti“ nepilnamečių vaikų išlaikymo sumą siejant ją su tam tikru minimalios mėnesinės algos procentu, nevertinant vaiko poreikių ir tėvų finansinės situacijos, sistemiškai nedera su CK </w:t>
      </w:r>
      <w:r w:rsidR="00FD3FA3" w:rsidRPr="00694B02">
        <w:t>3.192 straipsnyje įtvirtintu tėvų pareigos materialiai išlaikyti</w:t>
      </w:r>
      <w:r w:rsidR="007468A1" w:rsidRPr="00694B02">
        <w:t xml:space="preserve"> savo vaikus principu.</w:t>
      </w:r>
      <w:r w:rsidR="00FD3FA3" w:rsidRPr="00694B02">
        <w:t xml:space="preserve"> </w:t>
      </w:r>
    </w:p>
    <w:p w:rsidR="00B3124A" w:rsidRPr="00694B02" w:rsidRDefault="00FD71C7" w:rsidP="005013AF">
      <w:pPr>
        <w:spacing w:after="0" w:line="360" w:lineRule="auto"/>
        <w:ind w:firstLine="851"/>
        <w:jc w:val="both"/>
        <w:rPr>
          <w:rFonts w:cs="Times New Roman"/>
          <w:sz w:val="24"/>
          <w:szCs w:val="24"/>
        </w:rPr>
      </w:pPr>
      <w:r w:rsidRPr="00694B02">
        <w:rPr>
          <w:rFonts w:cs="Times New Roman"/>
          <w:sz w:val="24"/>
          <w:szCs w:val="24"/>
        </w:rPr>
        <w:t>Įvertinus Pareiškėjo</w:t>
      </w:r>
      <w:r w:rsidR="0042383A">
        <w:rPr>
          <w:rFonts w:cs="Times New Roman"/>
          <w:sz w:val="24"/>
          <w:szCs w:val="24"/>
        </w:rPr>
        <w:t xml:space="preserve"> siūlomo CK pakeitimo</w:t>
      </w:r>
      <w:r w:rsidRPr="00694B02">
        <w:rPr>
          <w:rFonts w:cs="Times New Roman"/>
          <w:sz w:val="24"/>
          <w:szCs w:val="24"/>
        </w:rPr>
        <w:t xml:space="preserve"> turinį ir argumentus, kuriais Pareiškėjas grindžia savo siūlymą, Teisės departamento nuomone, pakeitimas</w:t>
      </w:r>
      <w:r w:rsidR="00803734" w:rsidRPr="00694B02">
        <w:rPr>
          <w:rFonts w:cs="Times New Roman"/>
          <w:sz w:val="24"/>
          <w:szCs w:val="24"/>
        </w:rPr>
        <w:t xml:space="preserve"> </w:t>
      </w:r>
      <w:r w:rsidR="00F56B5B" w:rsidRPr="00694B02">
        <w:rPr>
          <w:rFonts w:cs="Times New Roman"/>
          <w:sz w:val="24"/>
          <w:szCs w:val="24"/>
        </w:rPr>
        <w:t xml:space="preserve">neatitinka Konstitucinio Teismo oficialiosios konstitucinės doktrinos, o </w:t>
      </w:r>
      <w:r w:rsidR="00803734" w:rsidRPr="00694B02">
        <w:rPr>
          <w:rFonts w:cs="Times New Roman"/>
          <w:sz w:val="24"/>
          <w:szCs w:val="24"/>
        </w:rPr>
        <w:t xml:space="preserve">CK pakeitimo </w:t>
      </w:r>
      <w:r w:rsidR="00B3124A" w:rsidRPr="00694B02">
        <w:rPr>
          <w:rFonts w:cs="Times New Roman"/>
          <w:sz w:val="24"/>
          <w:szCs w:val="24"/>
        </w:rPr>
        <w:t>argumentacija vertintina kritiškai, nes nepagrindžia tokio pakeitimo būtinumo.</w:t>
      </w:r>
    </w:p>
    <w:p w:rsidR="00F504B4" w:rsidRPr="00694B02" w:rsidRDefault="00F504B4" w:rsidP="00F504B4">
      <w:pPr>
        <w:spacing w:after="0" w:line="360" w:lineRule="auto"/>
        <w:ind w:firstLine="851"/>
        <w:jc w:val="both"/>
        <w:rPr>
          <w:rFonts w:cs="Times New Roman"/>
          <w:sz w:val="24"/>
          <w:szCs w:val="24"/>
        </w:rPr>
      </w:pPr>
    </w:p>
    <w:p w:rsidR="005C7435" w:rsidRPr="00694B02" w:rsidRDefault="005C7435" w:rsidP="009F3524">
      <w:pPr>
        <w:spacing w:line="360" w:lineRule="auto"/>
        <w:ind w:firstLine="851"/>
        <w:jc w:val="both"/>
        <w:rPr>
          <w:rFonts w:cs="Times New Roman"/>
          <w:sz w:val="24"/>
          <w:szCs w:val="24"/>
        </w:rPr>
      </w:pPr>
    </w:p>
    <w:p w:rsidR="004C22AA" w:rsidRPr="00694B02" w:rsidRDefault="004C22AA" w:rsidP="00977905">
      <w:pPr>
        <w:spacing w:line="360" w:lineRule="auto"/>
        <w:jc w:val="both"/>
        <w:rPr>
          <w:rFonts w:cs="Times New Roman"/>
          <w:sz w:val="24"/>
          <w:szCs w:val="24"/>
        </w:rPr>
      </w:pPr>
    </w:p>
    <w:p w:rsidR="00BD5430" w:rsidRPr="00694B02" w:rsidRDefault="00BD5430" w:rsidP="005F357C">
      <w:pPr>
        <w:spacing w:after="0" w:line="360" w:lineRule="auto"/>
        <w:jc w:val="both"/>
        <w:rPr>
          <w:rFonts w:cs="Times New Roman"/>
          <w:sz w:val="24"/>
          <w:szCs w:val="24"/>
        </w:rPr>
      </w:pPr>
    </w:p>
    <w:p w:rsidR="004F2738" w:rsidRPr="00694B02" w:rsidRDefault="004F2738" w:rsidP="004F2738">
      <w:pPr>
        <w:pStyle w:val="prastasiniatinklio"/>
        <w:spacing w:after="0" w:line="360" w:lineRule="auto"/>
        <w:jc w:val="both"/>
      </w:pPr>
      <w:r w:rsidRPr="00694B02">
        <w:t xml:space="preserve">Privatinės teisės skyriaus vedėja, </w:t>
      </w:r>
    </w:p>
    <w:p w:rsidR="004F2738" w:rsidRPr="00694B02" w:rsidRDefault="004F2738" w:rsidP="004F2738">
      <w:pPr>
        <w:pStyle w:val="prastasiniatinklio"/>
        <w:spacing w:after="0" w:line="360" w:lineRule="auto"/>
        <w:jc w:val="both"/>
      </w:pPr>
      <w:r w:rsidRPr="00694B02">
        <w:t>pavaduojanti departamento direktorių</w:t>
      </w:r>
      <w:r w:rsidRPr="00694B02">
        <w:tab/>
      </w:r>
      <w:r w:rsidRPr="00694B02">
        <w:tab/>
        <w:t xml:space="preserve">                  </w:t>
      </w:r>
      <w:r w:rsidR="007468A1" w:rsidRPr="00694B02">
        <w:t xml:space="preserve">                             Jurgita </w:t>
      </w:r>
      <w:proofErr w:type="spellStart"/>
      <w:r w:rsidR="007468A1" w:rsidRPr="00694B02">
        <w:t>Meškienė</w:t>
      </w:r>
      <w:proofErr w:type="spellEnd"/>
    </w:p>
    <w:p w:rsidR="00BD5430" w:rsidRPr="00694B02" w:rsidRDefault="00BD5430" w:rsidP="00BD5430">
      <w:pPr>
        <w:spacing w:line="360" w:lineRule="auto"/>
        <w:jc w:val="both"/>
        <w:rPr>
          <w:sz w:val="24"/>
          <w:szCs w:val="24"/>
          <w:lang w:eastAsia="lt-LT"/>
        </w:rPr>
      </w:pPr>
    </w:p>
    <w:p w:rsidR="00BD5430" w:rsidRPr="00694B02" w:rsidRDefault="00BD5430" w:rsidP="00BD5430">
      <w:pPr>
        <w:spacing w:line="360" w:lineRule="auto"/>
        <w:jc w:val="both"/>
        <w:rPr>
          <w:sz w:val="24"/>
          <w:szCs w:val="24"/>
        </w:rPr>
      </w:pPr>
    </w:p>
    <w:p w:rsidR="00BD5430" w:rsidRPr="00694B02" w:rsidRDefault="00BD5430" w:rsidP="00BD5430">
      <w:pPr>
        <w:pStyle w:val="Betarp"/>
        <w:spacing w:line="360" w:lineRule="auto"/>
        <w:rPr>
          <w:sz w:val="24"/>
          <w:szCs w:val="24"/>
        </w:rPr>
      </w:pPr>
    </w:p>
    <w:p w:rsidR="004C22AA" w:rsidRPr="00694B02" w:rsidRDefault="004C22AA" w:rsidP="004C22AA">
      <w:pPr>
        <w:pStyle w:val="Betarp"/>
        <w:spacing w:line="360" w:lineRule="auto"/>
        <w:rPr>
          <w:sz w:val="24"/>
          <w:szCs w:val="24"/>
          <w:lang w:eastAsia="lt-LT"/>
        </w:rPr>
      </w:pPr>
      <w:r w:rsidRPr="00694B02">
        <w:rPr>
          <w:sz w:val="24"/>
          <w:szCs w:val="24"/>
        </w:rPr>
        <w:t>M. Masteikienė, tel. +370 5 20</w:t>
      </w:r>
      <w:r w:rsidR="00BD5430" w:rsidRPr="00694B02">
        <w:rPr>
          <w:sz w:val="24"/>
          <w:szCs w:val="24"/>
        </w:rPr>
        <w:t>9 6843, el. p. milda.masteikiene@lrs.lt</w:t>
      </w:r>
      <w:r w:rsidRPr="00694B02">
        <w:rPr>
          <w:sz w:val="24"/>
          <w:szCs w:val="24"/>
          <w:lang w:eastAsia="lt-LT"/>
        </w:rPr>
        <w:t xml:space="preserve"> </w:t>
      </w:r>
    </w:p>
    <w:p w:rsidR="004C22AA" w:rsidRPr="00694B02" w:rsidRDefault="004C22AA" w:rsidP="004C22AA">
      <w:pPr>
        <w:pStyle w:val="Betarp"/>
        <w:spacing w:line="360" w:lineRule="auto"/>
        <w:rPr>
          <w:sz w:val="24"/>
          <w:szCs w:val="24"/>
          <w:lang w:eastAsia="lt-LT"/>
        </w:rPr>
      </w:pPr>
      <w:r w:rsidRPr="00694B02">
        <w:rPr>
          <w:sz w:val="24"/>
          <w:szCs w:val="24"/>
          <w:lang w:eastAsia="lt-LT"/>
        </w:rPr>
        <w:t>S. Švedas, tel. +370 5 209 6165, el. p. saulius.svedas</w:t>
      </w:r>
      <w:hyperlink r:id="rId35" w:history="1">
        <w:r w:rsidRPr="00694B02">
          <w:rPr>
            <w:rStyle w:val="Hipersaitas"/>
            <w:sz w:val="24"/>
            <w:szCs w:val="24"/>
            <w:u w:val="none"/>
            <w:lang w:eastAsia="lt-LT"/>
          </w:rPr>
          <w:t>@lrs.lt</w:t>
        </w:r>
      </w:hyperlink>
    </w:p>
    <w:p w:rsidR="001B79CF" w:rsidRPr="00694B02" w:rsidRDefault="001B79CF" w:rsidP="00BD5430">
      <w:pPr>
        <w:pStyle w:val="Betarp"/>
        <w:spacing w:line="360" w:lineRule="auto"/>
        <w:rPr>
          <w:sz w:val="24"/>
          <w:szCs w:val="24"/>
        </w:rPr>
      </w:pPr>
    </w:p>
    <w:sectPr w:rsidR="001B79CF" w:rsidRPr="00694B02" w:rsidSect="00053077">
      <w:headerReference w:type="default" r:id="rId36"/>
      <w:headerReference w:type="first" r:id="rId37"/>
      <w:pgSz w:w="11906" w:h="16838"/>
      <w:pgMar w:top="142"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999" w:rsidRDefault="00AF0999" w:rsidP="00EA0A26">
      <w:pPr>
        <w:spacing w:after="0" w:line="240" w:lineRule="auto"/>
      </w:pPr>
      <w:r>
        <w:separator/>
      </w:r>
    </w:p>
  </w:endnote>
  <w:endnote w:type="continuationSeparator" w:id="0">
    <w:p w:rsidR="00AF0999" w:rsidRDefault="00AF0999" w:rsidP="00EA0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jaVu Sans">
    <w:panose1 w:val="020B0603030804020204"/>
    <w:charset w:val="BA"/>
    <w:family w:val="swiss"/>
    <w:pitch w:val="variable"/>
    <w:sig w:usb0="E7002EFF" w:usb1="D200FDFF" w:usb2="0A24602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999" w:rsidRDefault="00AF0999" w:rsidP="00EA0A26">
      <w:pPr>
        <w:spacing w:after="0" w:line="240" w:lineRule="auto"/>
      </w:pPr>
      <w:r>
        <w:separator/>
      </w:r>
    </w:p>
  </w:footnote>
  <w:footnote w:type="continuationSeparator" w:id="0">
    <w:p w:rsidR="00AF0999" w:rsidRDefault="00AF0999" w:rsidP="00EA0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771929"/>
      <w:docPartObj>
        <w:docPartGallery w:val="Page Numbers (Top of Page)"/>
        <w:docPartUnique/>
      </w:docPartObj>
    </w:sdtPr>
    <w:sdtEndPr/>
    <w:sdtContent>
      <w:p w:rsidR="00AF0999" w:rsidRDefault="00AF0999">
        <w:pPr>
          <w:pStyle w:val="Antrats"/>
          <w:jc w:val="center"/>
        </w:pPr>
        <w:r>
          <w:fldChar w:fldCharType="begin"/>
        </w:r>
        <w:r>
          <w:instrText>PAGE   \* MERGEFORMAT</w:instrText>
        </w:r>
        <w:r>
          <w:fldChar w:fldCharType="separate"/>
        </w:r>
        <w:r w:rsidR="006B15C7">
          <w:rPr>
            <w:noProof/>
          </w:rPr>
          <w:t>5</w:t>
        </w:r>
        <w:r>
          <w:fldChar w:fldCharType="end"/>
        </w:r>
      </w:p>
    </w:sdtContent>
  </w:sdt>
  <w:p w:rsidR="00AF0999" w:rsidRDefault="00AF09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999" w:rsidRDefault="00AF0999" w:rsidP="00AF0999">
    <w:pPr>
      <w:pStyle w:val="Antrats"/>
      <w:tabs>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A65B7"/>
    <w:multiLevelType w:val="hybridMultilevel"/>
    <w:tmpl w:val="1F98875A"/>
    <w:lvl w:ilvl="0" w:tplc="5C64C24A">
      <w:start w:val="1"/>
      <w:numFmt w:val="decimal"/>
      <w:suff w:val="space"/>
      <w:lvlText w:val="%1)"/>
      <w:lvlJc w:val="left"/>
      <w:pPr>
        <w:ind w:left="0" w:firstLine="1134"/>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52A"/>
    <w:rsid w:val="00002349"/>
    <w:rsid w:val="00003A47"/>
    <w:rsid w:val="00035F39"/>
    <w:rsid w:val="00045403"/>
    <w:rsid w:val="00053077"/>
    <w:rsid w:val="00054808"/>
    <w:rsid w:val="00057E75"/>
    <w:rsid w:val="000603AB"/>
    <w:rsid w:val="0006188B"/>
    <w:rsid w:val="00094FC6"/>
    <w:rsid w:val="0009587B"/>
    <w:rsid w:val="000958B3"/>
    <w:rsid w:val="0009650C"/>
    <w:rsid w:val="000A093B"/>
    <w:rsid w:val="000B2372"/>
    <w:rsid w:val="000B790D"/>
    <w:rsid w:val="000C4164"/>
    <w:rsid w:val="000C4176"/>
    <w:rsid w:val="000E26B2"/>
    <w:rsid w:val="000E39B2"/>
    <w:rsid w:val="00100958"/>
    <w:rsid w:val="001033F0"/>
    <w:rsid w:val="001113AB"/>
    <w:rsid w:val="00116B89"/>
    <w:rsid w:val="001204E6"/>
    <w:rsid w:val="001578D0"/>
    <w:rsid w:val="0016638E"/>
    <w:rsid w:val="00173597"/>
    <w:rsid w:val="00173D51"/>
    <w:rsid w:val="00174E81"/>
    <w:rsid w:val="00175570"/>
    <w:rsid w:val="001A3288"/>
    <w:rsid w:val="001A47EA"/>
    <w:rsid w:val="001A63B4"/>
    <w:rsid w:val="001A7B81"/>
    <w:rsid w:val="001B3E05"/>
    <w:rsid w:val="001B790F"/>
    <w:rsid w:val="001B79CF"/>
    <w:rsid w:val="001C083F"/>
    <w:rsid w:val="001D112E"/>
    <w:rsid w:val="001D6BE8"/>
    <w:rsid w:val="001E2089"/>
    <w:rsid w:val="001E3623"/>
    <w:rsid w:val="00214404"/>
    <w:rsid w:val="00215D80"/>
    <w:rsid w:val="00223223"/>
    <w:rsid w:val="00224E4F"/>
    <w:rsid w:val="002312B7"/>
    <w:rsid w:val="002531D1"/>
    <w:rsid w:val="002550D7"/>
    <w:rsid w:val="0027070D"/>
    <w:rsid w:val="00280679"/>
    <w:rsid w:val="002851FC"/>
    <w:rsid w:val="002B26A1"/>
    <w:rsid w:val="002B6312"/>
    <w:rsid w:val="002B7484"/>
    <w:rsid w:val="002C708A"/>
    <w:rsid w:val="002D21C8"/>
    <w:rsid w:val="002F2607"/>
    <w:rsid w:val="00341B94"/>
    <w:rsid w:val="0035060D"/>
    <w:rsid w:val="0038555A"/>
    <w:rsid w:val="00394404"/>
    <w:rsid w:val="003D4768"/>
    <w:rsid w:val="003E7D62"/>
    <w:rsid w:val="003F104A"/>
    <w:rsid w:val="003F388A"/>
    <w:rsid w:val="00407A7D"/>
    <w:rsid w:val="00413B4F"/>
    <w:rsid w:val="0042293E"/>
    <w:rsid w:val="0042383A"/>
    <w:rsid w:val="004310A0"/>
    <w:rsid w:val="0045306E"/>
    <w:rsid w:val="004670A7"/>
    <w:rsid w:val="0047187B"/>
    <w:rsid w:val="004909B6"/>
    <w:rsid w:val="0049755F"/>
    <w:rsid w:val="004A1B0B"/>
    <w:rsid w:val="004C22AA"/>
    <w:rsid w:val="004D4C8A"/>
    <w:rsid w:val="004E1175"/>
    <w:rsid w:val="004F2738"/>
    <w:rsid w:val="004F654C"/>
    <w:rsid w:val="005013AF"/>
    <w:rsid w:val="005333A1"/>
    <w:rsid w:val="0053676C"/>
    <w:rsid w:val="00582576"/>
    <w:rsid w:val="0059116A"/>
    <w:rsid w:val="005968E8"/>
    <w:rsid w:val="005B1D2C"/>
    <w:rsid w:val="005C22AB"/>
    <w:rsid w:val="005C24BA"/>
    <w:rsid w:val="005C7435"/>
    <w:rsid w:val="005F1797"/>
    <w:rsid w:val="005F357C"/>
    <w:rsid w:val="00606604"/>
    <w:rsid w:val="006165CF"/>
    <w:rsid w:val="006263E2"/>
    <w:rsid w:val="00626AE0"/>
    <w:rsid w:val="006555D0"/>
    <w:rsid w:val="00694B02"/>
    <w:rsid w:val="006A3314"/>
    <w:rsid w:val="006A6A3E"/>
    <w:rsid w:val="006B1375"/>
    <w:rsid w:val="006B15C7"/>
    <w:rsid w:val="006B2769"/>
    <w:rsid w:val="006E43C2"/>
    <w:rsid w:val="006E563B"/>
    <w:rsid w:val="0070549D"/>
    <w:rsid w:val="00727CDB"/>
    <w:rsid w:val="00727FD6"/>
    <w:rsid w:val="00737D53"/>
    <w:rsid w:val="007459F8"/>
    <w:rsid w:val="007468A1"/>
    <w:rsid w:val="00751D30"/>
    <w:rsid w:val="00752BA2"/>
    <w:rsid w:val="0075338C"/>
    <w:rsid w:val="00772E8D"/>
    <w:rsid w:val="00780C19"/>
    <w:rsid w:val="007913B5"/>
    <w:rsid w:val="00792337"/>
    <w:rsid w:val="007A6C24"/>
    <w:rsid w:val="007D67A2"/>
    <w:rsid w:val="007E5055"/>
    <w:rsid w:val="00803734"/>
    <w:rsid w:val="00815E20"/>
    <w:rsid w:val="0082190E"/>
    <w:rsid w:val="00830D2E"/>
    <w:rsid w:val="00837F94"/>
    <w:rsid w:val="008535D8"/>
    <w:rsid w:val="00864A6A"/>
    <w:rsid w:val="00871AD3"/>
    <w:rsid w:val="00882C98"/>
    <w:rsid w:val="008833A0"/>
    <w:rsid w:val="00893A32"/>
    <w:rsid w:val="008B0412"/>
    <w:rsid w:val="008D6F2E"/>
    <w:rsid w:val="008D712C"/>
    <w:rsid w:val="008E5B52"/>
    <w:rsid w:val="008F0197"/>
    <w:rsid w:val="00904102"/>
    <w:rsid w:val="00907465"/>
    <w:rsid w:val="00941ECB"/>
    <w:rsid w:val="00947C19"/>
    <w:rsid w:val="00963C82"/>
    <w:rsid w:val="00976579"/>
    <w:rsid w:val="00977905"/>
    <w:rsid w:val="009909F8"/>
    <w:rsid w:val="00995B91"/>
    <w:rsid w:val="009B30ED"/>
    <w:rsid w:val="009D0901"/>
    <w:rsid w:val="009D24C0"/>
    <w:rsid w:val="009E2A56"/>
    <w:rsid w:val="009E2A7F"/>
    <w:rsid w:val="009F3524"/>
    <w:rsid w:val="00A054F6"/>
    <w:rsid w:val="00A11FAD"/>
    <w:rsid w:val="00A21C04"/>
    <w:rsid w:val="00A24306"/>
    <w:rsid w:val="00A33102"/>
    <w:rsid w:val="00A44C2E"/>
    <w:rsid w:val="00A45D9F"/>
    <w:rsid w:val="00A566EB"/>
    <w:rsid w:val="00A57D0F"/>
    <w:rsid w:val="00A62B2C"/>
    <w:rsid w:val="00A76E3C"/>
    <w:rsid w:val="00A91317"/>
    <w:rsid w:val="00AA17AF"/>
    <w:rsid w:val="00AB32F2"/>
    <w:rsid w:val="00AB58B5"/>
    <w:rsid w:val="00AC01F7"/>
    <w:rsid w:val="00AE11CF"/>
    <w:rsid w:val="00AE4416"/>
    <w:rsid w:val="00AE4F0A"/>
    <w:rsid w:val="00AF0999"/>
    <w:rsid w:val="00AF1832"/>
    <w:rsid w:val="00B24611"/>
    <w:rsid w:val="00B3124A"/>
    <w:rsid w:val="00B3177E"/>
    <w:rsid w:val="00B359D8"/>
    <w:rsid w:val="00B40711"/>
    <w:rsid w:val="00B47492"/>
    <w:rsid w:val="00B86BFD"/>
    <w:rsid w:val="00B95B74"/>
    <w:rsid w:val="00B96CD8"/>
    <w:rsid w:val="00BA09D4"/>
    <w:rsid w:val="00BA5464"/>
    <w:rsid w:val="00BB152A"/>
    <w:rsid w:val="00BB74F9"/>
    <w:rsid w:val="00BC1462"/>
    <w:rsid w:val="00BC4280"/>
    <w:rsid w:val="00BD1FDC"/>
    <w:rsid w:val="00BD5430"/>
    <w:rsid w:val="00BD7505"/>
    <w:rsid w:val="00BD7FBA"/>
    <w:rsid w:val="00BF4DB2"/>
    <w:rsid w:val="00C148EA"/>
    <w:rsid w:val="00C20ACF"/>
    <w:rsid w:val="00C25CC2"/>
    <w:rsid w:val="00C8293C"/>
    <w:rsid w:val="00C975F1"/>
    <w:rsid w:val="00CA5803"/>
    <w:rsid w:val="00CA7500"/>
    <w:rsid w:val="00CB0BA0"/>
    <w:rsid w:val="00CC5289"/>
    <w:rsid w:val="00CD69F5"/>
    <w:rsid w:val="00CD7FF8"/>
    <w:rsid w:val="00CE2885"/>
    <w:rsid w:val="00CE54A9"/>
    <w:rsid w:val="00CE5CC2"/>
    <w:rsid w:val="00CE6D53"/>
    <w:rsid w:val="00CF036A"/>
    <w:rsid w:val="00D25C8D"/>
    <w:rsid w:val="00D304E5"/>
    <w:rsid w:val="00D3119D"/>
    <w:rsid w:val="00D3135C"/>
    <w:rsid w:val="00D31746"/>
    <w:rsid w:val="00D35BD7"/>
    <w:rsid w:val="00D42C56"/>
    <w:rsid w:val="00D43CE6"/>
    <w:rsid w:val="00D5709E"/>
    <w:rsid w:val="00D70D2E"/>
    <w:rsid w:val="00D77263"/>
    <w:rsid w:val="00D77DA7"/>
    <w:rsid w:val="00D87691"/>
    <w:rsid w:val="00DA496D"/>
    <w:rsid w:val="00DB2BFF"/>
    <w:rsid w:val="00DB459B"/>
    <w:rsid w:val="00DB5EAA"/>
    <w:rsid w:val="00DB6FED"/>
    <w:rsid w:val="00E07D92"/>
    <w:rsid w:val="00E21793"/>
    <w:rsid w:val="00E325A1"/>
    <w:rsid w:val="00E35BC3"/>
    <w:rsid w:val="00E47F7E"/>
    <w:rsid w:val="00E70980"/>
    <w:rsid w:val="00E766E9"/>
    <w:rsid w:val="00E87B00"/>
    <w:rsid w:val="00EA0A26"/>
    <w:rsid w:val="00EA0F5E"/>
    <w:rsid w:val="00EC43C7"/>
    <w:rsid w:val="00ED4A90"/>
    <w:rsid w:val="00F000E7"/>
    <w:rsid w:val="00F0287D"/>
    <w:rsid w:val="00F1645C"/>
    <w:rsid w:val="00F214CE"/>
    <w:rsid w:val="00F35D22"/>
    <w:rsid w:val="00F504B4"/>
    <w:rsid w:val="00F5189C"/>
    <w:rsid w:val="00F5659A"/>
    <w:rsid w:val="00F56B5B"/>
    <w:rsid w:val="00F82C76"/>
    <w:rsid w:val="00F8583D"/>
    <w:rsid w:val="00F9522F"/>
    <w:rsid w:val="00F97AC6"/>
    <w:rsid w:val="00FA2B63"/>
    <w:rsid w:val="00FA446F"/>
    <w:rsid w:val="00FA50BF"/>
    <w:rsid w:val="00FB6FF3"/>
    <w:rsid w:val="00FD26CE"/>
    <w:rsid w:val="00FD3FA3"/>
    <w:rsid w:val="00FD71C7"/>
    <w:rsid w:val="00FF5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AB77"/>
  <w15:chartTrackingRefBased/>
  <w15:docId w15:val="{26B9DF9D-2CEB-42F3-B588-A330874F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EA0A2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A0A26"/>
    <w:rPr>
      <w:sz w:val="20"/>
      <w:szCs w:val="20"/>
    </w:rPr>
  </w:style>
  <w:style w:type="character" w:styleId="Puslapioinaosnuoroda">
    <w:name w:val="footnote reference"/>
    <w:basedOn w:val="Numatytasispastraiposriftas"/>
    <w:uiPriority w:val="99"/>
    <w:semiHidden/>
    <w:unhideWhenUsed/>
    <w:rsid w:val="00EA0A26"/>
    <w:rPr>
      <w:vertAlign w:val="superscript"/>
    </w:rPr>
  </w:style>
  <w:style w:type="paragraph" w:styleId="Antrats">
    <w:name w:val="header"/>
    <w:basedOn w:val="prastasis"/>
    <w:link w:val="AntratsDiagrama"/>
    <w:uiPriority w:val="99"/>
    <w:unhideWhenUsed/>
    <w:rsid w:val="00792337"/>
    <w:pPr>
      <w:tabs>
        <w:tab w:val="center" w:pos="4819"/>
        <w:tab w:val="right" w:pos="9638"/>
      </w:tabs>
      <w:spacing w:after="0" w:line="240" w:lineRule="auto"/>
      <w:jc w:val="both"/>
    </w:pPr>
    <w:rPr>
      <w:rFonts w:eastAsia="Calibri" w:cs="Times New Roman"/>
      <w:sz w:val="24"/>
    </w:rPr>
  </w:style>
  <w:style w:type="character" w:customStyle="1" w:styleId="AntratsDiagrama">
    <w:name w:val="Antraštės Diagrama"/>
    <w:basedOn w:val="Numatytasispastraiposriftas"/>
    <w:link w:val="Antrats"/>
    <w:uiPriority w:val="99"/>
    <w:rsid w:val="00792337"/>
    <w:rPr>
      <w:rFonts w:eastAsia="Calibri" w:cs="Times New Roman"/>
      <w:sz w:val="24"/>
    </w:rPr>
  </w:style>
  <w:style w:type="paragraph" w:styleId="Pagrindinistekstas">
    <w:name w:val="Body Text"/>
    <w:basedOn w:val="prastasis"/>
    <w:link w:val="PagrindinistekstasDiagrama"/>
    <w:uiPriority w:val="99"/>
    <w:unhideWhenUsed/>
    <w:rsid w:val="009D24C0"/>
    <w:pPr>
      <w:spacing w:after="120" w:line="360" w:lineRule="auto"/>
      <w:jc w:val="both"/>
    </w:pPr>
    <w:rPr>
      <w:rFonts w:eastAsia="Calibri" w:cs="Times New Roman"/>
      <w:sz w:val="24"/>
    </w:rPr>
  </w:style>
  <w:style w:type="character" w:customStyle="1" w:styleId="PagrindinistekstasDiagrama">
    <w:name w:val="Pagrindinis tekstas Diagrama"/>
    <w:basedOn w:val="Numatytasispastraiposriftas"/>
    <w:link w:val="Pagrindinistekstas"/>
    <w:uiPriority w:val="99"/>
    <w:rsid w:val="009D24C0"/>
    <w:rPr>
      <w:rFonts w:eastAsia="Calibri" w:cs="Times New Roman"/>
      <w:sz w:val="24"/>
    </w:rPr>
  </w:style>
  <w:style w:type="character" w:styleId="Hipersaitas">
    <w:name w:val="Hyperlink"/>
    <w:semiHidden/>
    <w:rsid w:val="009D24C0"/>
    <w:rPr>
      <w:color w:val="000000"/>
      <w:u w:val="single"/>
    </w:rPr>
  </w:style>
  <w:style w:type="paragraph" w:styleId="Porat">
    <w:name w:val="footer"/>
    <w:basedOn w:val="prastasis"/>
    <w:link w:val="PoratDiagrama"/>
    <w:uiPriority w:val="99"/>
    <w:unhideWhenUsed/>
    <w:rsid w:val="0059116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116A"/>
  </w:style>
  <w:style w:type="paragraph" w:styleId="Debesliotekstas">
    <w:name w:val="Balloon Text"/>
    <w:basedOn w:val="prastasis"/>
    <w:link w:val="DebesliotekstasDiagrama"/>
    <w:uiPriority w:val="99"/>
    <w:semiHidden/>
    <w:unhideWhenUsed/>
    <w:rsid w:val="00D7726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7263"/>
    <w:rPr>
      <w:rFonts w:ascii="Segoe UI" w:hAnsi="Segoe UI" w:cs="Segoe UI"/>
      <w:sz w:val="18"/>
      <w:szCs w:val="18"/>
    </w:rPr>
  </w:style>
  <w:style w:type="paragraph" w:styleId="Betarp">
    <w:name w:val="No Spacing"/>
    <w:uiPriority w:val="1"/>
    <w:qFormat/>
    <w:rsid w:val="00BD5430"/>
    <w:pPr>
      <w:spacing w:after="0" w:line="240" w:lineRule="auto"/>
    </w:pPr>
  </w:style>
  <w:style w:type="paragraph" w:styleId="Sraopastraipa">
    <w:name w:val="List Paragraph"/>
    <w:basedOn w:val="prastasis"/>
    <w:qFormat/>
    <w:rsid w:val="0070549D"/>
    <w:pPr>
      <w:suppressAutoHyphens/>
      <w:overflowPunct w:val="0"/>
      <w:spacing w:after="0" w:line="240" w:lineRule="auto"/>
      <w:ind w:left="720" w:firstLine="1134"/>
      <w:contextualSpacing/>
      <w:jc w:val="both"/>
    </w:pPr>
    <w:rPr>
      <w:rFonts w:ascii="Calibri" w:eastAsia="Calibri" w:hAnsi="Calibri" w:cs="DejaVu Sans"/>
      <w:sz w:val="24"/>
    </w:rPr>
  </w:style>
  <w:style w:type="paragraph" w:styleId="prastasiniatinklio">
    <w:name w:val="Normal (Web)"/>
    <w:basedOn w:val="prastasis"/>
    <w:uiPriority w:val="99"/>
    <w:unhideWhenUsed/>
    <w:rsid w:val="004F2738"/>
    <w:pPr>
      <w:spacing w:after="300" w:line="300" w:lineRule="atLeast"/>
    </w:pPr>
    <w:rPr>
      <w:rFonts w:eastAsia="Times New Roman" w:cs="Times New Roman"/>
      <w:sz w:val="24"/>
      <w:szCs w:val="24"/>
      <w:lang w:eastAsia="lt-LT"/>
    </w:rPr>
  </w:style>
  <w:style w:type="paragraph" w:customStyle="1" w:styleId="motarg">
    <w:name w:val="motarg"/>
    <w:basedOn w:val="prastasis"/>
    <w:rsid w:val="005013AF"/>
    <w:pPr>
      <w:spacing w:before="100" w:beforeAutospacing="1" w:after="100" w:afterAutospacing="1" w:line="240" w:lineRule="auto"/>
    </w:pPr>
    <w:rPr>
      <w:rFonts w:eastAsia="Times New Roman" w:cs="Times New Roman"/>
      <w:sz w:val="24"/>
      <w:szCs w:val="24"/>
      <w:lang w:eastAsia="lt-LT"/>
    </w:rPr>
  </w:style>
  <w:style w:type="character" w:customStyle="1" w:styleId="normaltextrun">
    <w:name w:val="normaltextrun"/>
    <w:basedOn w:val="Numatytasispastraiposriftas"/>
    <w:rsid w:val="001E2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05327">
      <w:bodyDiv w:val="1"/>
      <w:marLeft w:val="0"/>
      <w:marRight w:val="0"/>
      <w:marTop w:val="0"/>
      <w:marBottom w:val="0"/>
      <w:divBdr>
        <w:top w:val="none" w:sz="0" w:space="0" w:color="auto"/>
        <w:left w:val="none" w:sz="0" w:space="0" w:color="auto"/>
        <w:bottom w:val="none" w:sz="0" w:space="0" w:color="auto"/>
        <w:right w:val="none" w:sz="0" w:space="0" w:color="auto"/>
      </w:divBdr>
    </w:div>
    <w:div w:id="1679119827">
      <w:bodyDiv w:val="1"/>
      <w:marLeft w:val="0"/>
      <w:marRight w:val="0"/>
      <w:marTop w:val="0"/>
      <w:marBottom w:val="0"/>
      <w:divBdr>
        <w:top w:val="none" w:sz="0" w:space="0" w:color="auto"/>
        <w:left w:val="none" w:sz="0" w:space="0" w:color="auto"/>
        <w:bottom w:val="none" w:sz="0" w:space="0" w:color="auto"/>
        <w:right w:val="none" w:sz="0" w:space="0" w:color="auto"/>
      </w:divBdr>
      <w:divsChild>
        <w:div w:id="1526751581">
          <w:marLeft w:val="0"/>
          <w:marRight w:val="0"/>
          <w:marTop w:val="0"/>
          <w:marBottom w:val="0"/>
          <w:divBdr>
            <w:top w:val="none" w:sz="0" w:space="0" w:color="auto"/>
            <w:left w:val="none" w:sz="0" w:space="0" w:color="auto"/>
            <w:bottom w:val="none" w:sz="0" w:space="0" w:color="auto"/>
            <w:right w:val="none" w:sz="0" w:space="0" w:color="auto"/>
          </w:divBdr>
        </w:div>
        <w:div w:id="1299651031">
          <w:marLeft w:val="0"/>
          <w:marRight w:val="0"/>
          <w:marTop w:val="0"/>
          <w:marBottom w:val="0"/>
          <w:divBdr>
            <w:top w:val="none" w:sz="0" w:space="0" w:color="auto"/>
            <w:left w:val="none" w:sz="0" w:space="0" w:color="auto"/>
            <w:bottom w:val="none" w:sz="0" w:space="0" w:color="auto"/>
            <w:right w:val="none" w:sz="0" w:space="0" w:color="auto"/>
          </w:divBdr>
        </w:div>
      </w:divsChild>
    </w:div>
    <w:div w:id="187657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folex.lt/tp/2131955" TargetMode="External"/><Relationship Id="rId18" Type="http://schemas.openxmlformats.org/officeDocument/2006/relationships/hyperlink" Target="https://www.infolex.lt/tp/2131955" TargetMode="External"/><Relationship Id="rId26" Type="http://schemas.openxmlformats.org/officeDocument/2006/relationships/hyperlink" Target="https://www.infolex.lt/ta/563172" TargetMode="External"/><Relationship Id="rId39" Type="http://schemas.openxmlformats.org/officeDocument/2006/relationships/theme" Target="theme/theme1.xml"/><Relationship Id="rId21" Type="http://schemas.openxmlformats.org/officeDocument/2006/relationships/hyperlink" Target="https://www.infolex.lt/ta/563172" TargetMode="External"/><Relationship Id="rId34" Type="http://schemas.openxmlformats.org/officeDocument/2006/relationships/hyperlink" Target="https://www.infolex.lt/tp/2131955" TargetMode="Externa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nfolex.lt/ta/60696" TargetMode="External"/><Relationship Id="rId20" Type="http://schemas.openxmlformats.org/officeDocument/2006/relationships/hyperlink" Target="https://www.infolex.lt/tp/652784" TargetMode="External"/><Relationship Id="rId29" Type="http://schemas.openxmlformats.org/officeDocument/2006/relationships/hyperlink" Target="https://www.infolex.lt/tp/1571973"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lex.lt/ta/60696" TargetMode="External"/><Relationship Id="rId24" Type="http://schemas.openxmlformats.org/officeDocument/2006/relationships/hyperlink" Target="https://www.infolex.lt/tp/65534" TargetMode="External"/><Relationship Id="rId32" Type="http://schemas.openxmlformats.org/officeDocument/2006/relationships/hyperlink" Target="https://www.infolex.lt/tp/165471" TargetMode="External"/><Relationship Id="rId37" Type="http://schemas.openxmlformats.org/officeDocument/2006/relationships/header" Target="header2.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infolex.lt/tp/2131955" TargetMode="External"/><Relationship Id="rId23" Type="http://schemas.openxmlformats.org/officeDocument/2006/relationships/hyperlink" Target="https://www.infolex.lt/tp/86952" TargetMode="External"/><Relationship Id="rId28" Type="http://schemas.openxmlformats.org/officeDocument/2006/relationships/hyperlink" Target="https://www.infolex.lt/tp/1206488" TargetMode="External"/><Relationship Id="rId36" Type="http://schemas.openxmlformats.org/officeDocument/2006/relationships/header" Target="header1.xml"/><Relationship Id="rId10" Type="http://schemas.openxmlformats.org/officeDocument/2006/relationships/hyperlink" Target="https://www.infolex.lt/ta/563172" TargetMode="External"/><Relationship Id="rId19" Type="http://schemas.openxmlformats.org/officeDocument/2006/relationships/hyperlink" Target="https://www.infolex.lt/ta/563172" TargetMode="External"/><Relationship Id="rId31" Type="http://schemas.openxmlformats.org/officeDocument/2006/relationships/hyperlink" Target="https://www.infolex.lt/ta/563172" TargetMode="External"/><Relationship Id="rId4" Type="http://schemas.openxmlformats.org/officeDocument/2006/relationships/settings" Target="settings.xml"/><Relationship Id="rId9" Type="http://schemas.openxmlformats.org/officeDocument/2006/relationships/hyperlink" Target="https://www.infolex.lt/ta/563172" TargetMode="External"/><Relationship Id="rId14" Type="http://schemas.openxmlformats.org/officeDocument/2006/relationships/hyperlink" Target="https://www.infolex.lt/tp/2131955" TargetMode="External"/><Relationship Id="rId22" Type="http://schemas.openxmlformats.org/officeDocument/2006/relationships/hyperlink" Target="https://www.infolex.lt/tp/731965" TargetMode="External"/><Relationship Id="rId27" Type="http://schemas.openxmlformats.org/officeDocument/2006/relationships/hyperlink" Target="https://www.infolex.lt/tp/731965" TargetMode="External"/><Relationship Id="rId30" Type="http://schemas.openxmlformats.org/officeDocument/2006/relationships/hyperlink" Target="https://www.infolex.lt/tp/147383" TargetMode="External"/><Relationship Id="rId35" Type="http://schemas.openxmlformats.org/officeDocument/2006/relationships/hyperlink" Target="mailto:egle.dregvaite@lrs.lt" TargetMode="External"/><Relationship Id="rId43" Type="http://schemas.openxmlformats.org/officeDocument/2006/relationships/customXml" Target="../customXml/item5.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infolex.lt/tp/2131955" TargetMode="External"/><Relationship Id="rId17" Type="http://schemas.openxmlformats.org/officeDocument/2006/relationships/hyperlink" Target="https://www.infolex.lt/tp/2131955" TargetMode="External"/><Relationship Id="rId25" Type="http://schemas.openxmlformats.org/officeDocument/2006/relationships/hyperlink" Target="https://www.infolex.lt/tp/2026831" TargetMode="External"/><Relationship Id="rId33" Type="http://schemas.openxmlformats.org/officeDocument/2006/relationships/hyperlink" Target="https://www.infolex.lt/tp/652784" TargetMode="External"/><Relationship Id="rId38"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Z6YWEJNPDQQR-896559167-425</_dlc_DocId>
    <_dlc_DocIdUrl xmlns="28130d43-1b56-4a10-ad88-2cd38123f4c1">
      <Url>https://intranetas.lrs.lt/29/_layouts/15/DocIdRedir.aspx?ID=Z6YWEJNPDQQR-896559167-425</Url>
      <Description>Z6YWEJNPDQQR-896559167-425</Description>
    </_dlc_DocIdUrl>
  </documentManagement>
</p:properties>
</file>

<file path=customXml/itemProps1.xml><?xml version="1.0" encoding="utf-8"?>
<ds:datastoreItem xmlns:ds="http://schemas.openxmlformats.org/officeDocument/2006/customXml" ds:itemID="{0157D903-2C55-4EB2-9B68-5DDAFEC44E59}">
  <ds:schemaRefs>
    <ds:schemaRef ds:uri="http://schemas.openxmlformats.org/officeDocument/2006/bibliography"/>
  </ds:schemaRefs>
</ds:datastoreItem>
</file>

<file path=customXml/itemProps2.xml><?xml version="1.0" encoding="utf-8"?>
<ds:datastoreItem xmlns:ds="http://schemas.openxmlformats.org/officeDocument/2006/customXml" ds:itemID="{1582968F-4A0F-4780-9D3A-BFDD453A28E4}"/>
</file>

<file path=customXml/itemProps3.xml><?xml version="1.0" encoding="utf-8"?>
<ds:datastoreItem xmlns:ds="http://schemas.openxmlformats.org/officeDocument/2006/customXml" ds:itemID="{DC5E4B02-2E5C-4D1A-B299-CD2BBD5EF848}"/>
</file>

<file path=customXml/itemProps4.xml><?xml version="1.0" encoding="utf-8"?>
<ds:datastoreItem xmlns:ds="http://schemas.openxmlformats.org/officeDocument/2006/customXml" ds:itemID="{43AF3DAA-FB2A-425E-B170-BA9BCFE5125F}"/>
</file>

<file path=customXml/itemProps5.xml><?xml version="1.0" encoding="utf-8"?>
<ds:datastoreItem xmlns:ds="http://schemas.openxmlformats.org/officeDocument/2006/customXml" ds:itemID="{CF315BD6-22BE-47A3-BF88-2C2C7D131C4E}"/>
</file>

<file path=docProps/app.xml><?xml version="1.0" encoding="utf-8"?>
<Properties xmlns="http://schemas.openxmlformats.org/officeDocument/2006/extended-properties" xmlns:vt="http://schemas.openxmlformats.org/officeDocument/2006/docPropsVTypes">
  <Template>Normal.dotm</Template>
  <TotalTime>1</TotalTime>
  <Pages>5</Pages>
  <Words>11753</Words>
  <Characters>6700</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Seimas</dc:creator>
  <cp:keywords/>
  <dc:description/>
  <cp:lastModifiedBy>KNIUKŠTIENĖ Rimantė</cp:lastModifiedBy>
  <cp:revision>2</cp:revision>
  <cp:lastPrinted>2022-11-27T08:10:00Z</cp:lastPrinted>
  <dcterms:created xsi:type="dcterms:W3CDTF">2024-03-08T12:54:00Z</dcterms:created>
  <dcterms:modified xsi:type="dcterms:W3CDTF">2024-03-08T12:54:00Z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1e25f7f6-d9dd-4bab-b4fe-f21599858641</vt:lpwstr>
  </property>
</Properties>
</file>