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3CB8" w14:textId="35A7F433" w:rsidR="00675A68" w:rsidRPr="00CF026A" w:rsidRDefault="00CB438D" w:rsidP="00282963">
      <w:pPr>
        <w:spacing w:before="160"/>
        <w:ind w:left="-851"/>
        <w:jc w:val="center"/>
        <w:rPr>
          <w:b/>
          <w:caps/>
        </w:rPr>
      </w:pPr>
      <w:bookmarkStart w:id="0" w:name="_GoBack"/>
      <w:bookmarkEnd w:id="0"/>
      <w:r w:rsidRPr="00CF026A">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DE129E" w:rsidRPr="00CF026A">
        <w:rPr>
          <w:b/>
          <w:caps/>
        </w:rPr>
        <w:t xml:space="preserve"> </w:t>
      </w:r>
      <w:r w:rsidR="00675A68" w:rsidRPr="00CF026A">
        <w:rPr>
          <w:b/>
          <w:caps/>
        </w:rPr>
        <w:t xml:space="preserve">LIETUVOS RESPUBLIKOS </w:t>
      </w:r>
      <w:r w:rsidR="0055629A" w:rsidRPr="00CF026A">
        <w:rPr>
          <w:b/>
          <w:caps/>
        </w:rPr>
        <w:t xml:space="preserve">Ekonomikos ir inovacijų </w:t>
      </w:r>
      <w:r w:rsidR="00675A68" w:rsidRPr="00CF026A">
        <w:rPr>
          <w:b/>
          <w:caps/>
        </w:rPr>
        <w:t>MINISTERIJA</w:t>
      </w:r>
    </w:p>
    <w:p w14:paraId="18CA3CB9" w14:textId="77777777" w:rsidR="00675A68" w:rsidRPr="00CF026A" w:rsidRDefault="00675A68" w:rsidP="00282963">
      <w:pPr>
        <w:ind w:left="-851"/>
        <w:jc w:val="center"/>
        <w:rPr>
          <w:b/>
          <w:caps/>
          <w:sz w:val="10"/>
        </w:rPr>
      </w:pPr>
    </w:p>
    <w:p w14:paraId="18CA3CBA" w14:textId="3896A0CE" w:rsidR="00B86C4D" w:rsidRPr="00CF026A" w:rsidRDefault="00B86C4D" w:rsidP="00314211">
      <w:pPr>
        <w:spacing w:before="40"/>
        <w:ind w:left="-851"/>
        <w:jc w:val="center"/>
        <w:rPr>
          <w:sz w:val="17"/>
        </w:rPr>
      </w:pPr>
      <w:r w:rsidRPr="00CF026A">
        <w:rPr>
          <w:sz w:val="17"/>
        </w:rPr>
        <w:t xml:space="preserve">Biudžetinė įstaiga, </w:t>
      </w:r>
      <w:r w:rsidR="00874F53" w:rsidRPr="00CF026A">
        <w:rPr>
          <w:sz w:val="17"/>
        </w:rPr>
        <w:t xml:space="preserve">Šeimyniškių g. 19, LT-09236 </w:t>
      </w:r>
      <w:r w:rsidRPr="00CF026A">
        <w:rPr>
          <w:sz w:val="17"/>
        </w:rPr>
        <w:t>Vilnius, tel.</w:t>
      </w:r>
      <w:r w:rsidR="00F14AF2" w:rsidRPr="00CF026A">
        <w:rPr>
          <w:sz w:val="17"/>
        </w:rPr>
        <w:t>:</w:t>
      </w:r>
      <w:r w:rsidRPr="00CF026A">
        <w:rPr>
          <w:sz w:val="17"/>
        </w:rPr>
        <w:t xml:space="preserve"> </w:t>
      </w:r>
      <w:r w:rsidR="007479BC" w:rsidRPr="00CF026A">
        <w:rPr>
          <w:sz w:val="17"/>
        </w:rPr>
        <w:t>+370</w:t>
      </w:r>
      <w:r w:rsidRPr="00CF026A">
        <w:rPr>
          <w:sz w:val="17"/>
        </w:rPr>
        <w:t xml:space="preserve"> 706 64 845</w:t>
      </w:r>
      <w:r w:rsidRPr="00CF026A">
        <w:rPr>
          <w:sz w:val="17"/>
        </w:rPr>
        <w:br/>
        <w:t>el. p. kanc@</w:t>
      </w:r>
      <w:r w:rsidR="0055629A" w:rsidRPr="00CF026A">
        <w:rPr>
          <w:sz w:val="17"/>
        </w:rPr>
        <w:t>eimin</w:t>
      </w:r>
      <w:r w:rsidRPr="00CF026A">
        <w:rPr>
          <w:sz w:val="17"/>
        </w:rPr>
        <w:t xml:space="preserve">.lt, </w:t>
      </w:r>
      <w:r w:rsidR="00CB438D" w:rsidRPr="00CF026A">
        <w:rPr>
          <w:sz w:val="17"/>
        </w:rPr>
        <w:t>http://</w:t>
      </w:r>
      <w:r w:rsidR="0055629A" w:rsidRPr="00CF026A">
        <w:rPr>
          <w:sz w:val="17"/>
        </w:rPr>
        <w:t>eimin</w:t>
      </w:r>
      <w:r w:rsidRPr="00CF026A">
        <w:rPr>
          <w:sz w:val="17"/>
        </w:rPr>
        <w:t>.</w:t>
      </w:r>
      <w:r w:rsidR="00CB438D" w:rsidRPr="00CF026A">
        <w:rPr>
          <w:sz w:val="17"/>
        </w:rPr>
        <w:t>lrv.</w:t>
      </w:r>
      <w:r w:rsidRPr="00CF026A">
        <w:rPr>
          <w:sz w:val="17"/>
        </w:rPr>
        <w:t>lt.</w:t>
      </w:r>
    </w:p>
    <w:p w14:paraId="18CA3CBB" w14:textId="77777777" w:rsidR="00B86C4D" w:rsidRPr="00CF026A" w:rsidRDefault="00B86C4D" w:rsidP="00314211">
      <w:pPr>
        <w:widowControl w:val="0"/>
        <w:spacing w:after="40"/>
        <w:ind w:left="-851"/>
        <w:jc w:val="center"/>
        <w:rPr>
          <w:sz w:val="17"/>
        </w:rPr>
      </w:pPr>
      <w:r w:rsidRPr="00CF026A">
        <w:rPr>
          <w:sz w:val="17"/>
        </w:rPr>
        <w:t>Duomenys kaupiami ir saugomi Juridinių asmenų registre, kodas 188621919</w:t>
      </w:r>
    </w:p>
    <w:p w14:paraId="18CA3CBC" w14:textId="77777777" w:rsidR="00675A68" w:rsidRPr="00CF026A" w:rsidRDefault="00CB438D">
      <w:r w:rsidRPr="00CF026A">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2554A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cdyugEAAGQDAAAOAAAAZHJzL2Uyb0RvYy54bWysU8Fu2zAMvQ/YPwi6L06ypdiMOD2k6y7d FqDdBzCSbAuTRYFU4uTvJ6lxNnS3oj4Qoig+Pj7S69vT4MTREFv0jVzM5lIYr1Bb3zXy19P9h89S cASvwaE3jTwblreb9+/WY6jNEnt02pBIIJ7rMTSyjzHUVcWqNwPwDIPxKdgiDRCTS12lCcaEPrhq OZ/fVCOSDoTKMKfbu+eg3BT8tjUq/mxbNlG4RiZusVgqdp9ttVlD3RGE3qoLDXgFiwGsT0WvUHcQ QRzI/gc1WEXI2MaZwqHCtrXKlB5SN4v5i24eewim9JLE4XCVid8OVv04bv2OMnV18o/hAdVvFh63 PfjOFAJP55AGt8hSVWPg+pqSHQ47EvvxO+r0Bg4RiwqnloYMmfoTpyL2+Sq2OUWh0uXqy/LTapVm oqZYBfWUGIjjN4ODyIdGciSwXR+36H0aKdKilIHjA8dMC+opIVf1eG+dK5N1XoyNvPmY6uQIo7M6 B4tD3X7rSBwh70b5So8vnhEevC5gvQH99XKOYN3zORV3PuOZsm4XRpM2eRG53qM+72gSMI2ycL6s Xd6Vf/0i89+fY/MHAAD//wMAUEsDBBQABgAIAAAAIQBQGPAa2QAAAAYBAAAPAAAAZHJzL2Rvd25y ZXYueG1sTI4xT8MwFIR3JP6D9SqxtU4rsEqIUyEQExNph4xO/JpEjZ+j2E3Sf8+DBabT6U53X3ZY XC8mHEPnScN2k4BAqr3tqNFwOn6s9yBCNGRN7wk13DDAIb+/y0xq/UxfOBWxETxCITUa2hiHVMpQ t+hM2PgBibOzH52JbMdG2tHMPO56uUsSJZ3piB9aM+Bbi/WluDoNR/9+7p7KotqXvlRTgvPnrZi1 flgtry8gIi7xrww/+IwOOTNV/ko2iF7DWilusm5BcPy8U48gql8v80z+x8+/AQAA//8DAFBLAQIt ABQABgAIAAAAIQC2gziS/gAAAOEBAAATAAAAAAAAAAAAAAAAAAAAAABbQ29udGVudF9UeXBlc10u eG1sUEsBAi0AFAAGAAgAAAAhADj9If/WAAAAlAEAAAsAAAAAAAAAAAAAAAAALwEAAF9yZWxzLy5y ZWxzUEsBAi0AFAAGAAgAAAAhACWpx3K6AQAAZAMAAA4AAAAAAAAAAAAAAAAALgIAAGRycy9lMm9E b2MueG1sUEsBAi0AFAAGAAgAAAAhAFAY8BrZAAAABgEAAA8AAAAAAAAAAAAAAAAAFAQAAGRycy9k b3ducmV2LnhtbFBLBQYAAAAABAAEAPMAAAAaBQAAAAA= " strokeweight=".5pt">
                <v:shadow color="#7f7f7f" opacity=".5" offset="1pt"/>
              </v:shape>
            </w:pict>
          </mc:Fallback>
        </mc:AlternateContent>
      </w:r>
    </w:p>
    <w:p w14:paraId="18CA3CBD" w14:textId="77777777" w:rsidR="00675A68" w:rsidRPr="00CF026A" w:rsidRDefault="00675A68"/>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rsidRPr="00CF026A" w14:paraId="1C61B0F3" w14:textId="77777777">
        <w:trPr>
          <w:cantSplit/>
        </w:trPr>
        <w:tc>
          <w:tcPr>
            <w:tcW w:w="4678" w:type="dxa"/>
            <w:vMerge w:val="restart"/>
            <w:hideMark/>
          </w:tcPr>
          <w:p w14:paraId="3A30E677" w14:textId="77777777" w:rsidR="00EA534D" w:rsidRPr="00CF026A" w:rsidRDefault="00FF44A4" w:rsidP="00EF2DEE">
            <w:pPr>
              <w:rPr>
                <w:szCs w:val="24"/>
              </w:rPr>
            </w:pPr>
            <w:r w:rsidRPr="00CF026A">
              <w:rPr>
                <w:szCs w:val="24"/>
              </w:rPr>
              <w:t xml:space="preserve">Lietuvos Respublikos </w:t>
            </w:r>
            <w:r w:rsidR="00EF2DEE" w:rsidRPr="00CF026A">
              <w:rPr>
                <w:szCs w:val="24"/>
              </w:rPr>
              <w:t xml:space="preserve">Seimo </w:t>
            </w:r>
          </w:p>
          <w:p w14:paraId="30875387" w14:textId="77777777" w:rsidR="00EF2DEE" w:rsidRPr="00CF026A" w:rsidRDefault="00EF2DEE" w:rsidP="00EF2DEE">
            <w:pPr>
              <w:rPr>
                <w:szCs w:val="24"/>
              </w:rPr>
            </w:pPr>
            <w:r w:rsidRPr="00CF026A">
              <w:rPr>
                <w:szCs w:val="24"/>
              </w:rPr>
              <w:t>Peticijų komisijai</w:t>
            </w:r>
          </w:p>
          <w:p w14:paraId="2B8007E7" w14:textId="6C6D0CCA" w:rsidR="006878ED" w:rsidRPr="00CF026A" w:rsidRDefault="006878ED" w:rsidP="00EF2DEE"/>
        </w:tc>
        <w:tc>
          <w:tcPr>
            <w:tcW w:w="709" w:type="dxa"/>
          </w:tcPr>
          <w:p w14:paraId="69BBFF9C" w14:textId="77777777" w:rsidR="00EA534D" w:rsidRPr="00CF026A" w:rsidRDefault="00EA534D">
            <w:pPr>
              <w:ind w:firstLine="720"/>
              <w:jc w:val="left"/>
            </w:pPr>
          </w:p>
        </w:tc>
        <w:tc>
          <w:tcPr>
            <w:tcW w:w="1526" w:type="dxa"/>
            <w:hideMark/>
          </w:tcPr>
          <w:p w14:paraId="6C49E394" w14:textId="59A82ACB" w:rsidR="00EA534D" w:rsidRPr="00CF026A" w:rsidRDefault="00DB654F">
            <w:pPr>
              <w:jc w:val="left"/>
            </w:pPr>
            <w:r w:rsidRPr="00CF026A">
              <w:t xml:space="preserve">  </w:t>
            </w:r>
            <w:r w:rsidR="00EA534D" w:rsidRPr="00CF026A">
              <w:t>20</w:t>
            </w:r>
            <w:r w:rsidR="00301ECD" w:rsidRPr="00CF026A">
              <w:t>2</w:t>
            </w:r>
            <w:r w:rsidR="00FF44A4" w:rsidRPr="00CF026A">
              <w:t>6</w:t>
            </w:r>
            <w:r w:rsidR="00EA534D" w:rsidRPr="00CF026A">
              <w:t>-</w:t>
            </w:r>
            <w:r w:rsidR="009D12D9" w:rsidRPr="00CF026A">
              <w:t xml:space="preserve">  </w:t>
            </w:r>
            <w:r w:rsidR="00973469" w:rsidRPr="00CF026A">
              <w:t>-</w:t>
            </w:r>
          </w:p>
        </w:tc>
        <w:tc>
          <w:tcPr>
            <w:tcW w:w="2727" w:type="dxa"/>
            <w:hideMark/>
          </w:tcPr>
          <w:p w14:paraId="69AC91C9" w14:textId="733244CA" w:rsidR="00EA534D" w:rsidRPr="00CF026A" w:rsidRDefault="00EA534D">
            <w:pPr>
              <w:tabs>
                <w:tab w:val="center" w:pos="1349"/>
              </w:tabs>
            </w:pPr>
            <w:r w:rsidRPr="00CF026A">
              <w:t xml:space="preserve">Nr. </w:t>
            </w:r>
            <w:r w:rsidR="00EA0144" w:rsidRPr="00CF026A">
              <w:t>(34.</w:t>
            </w:r>
            <w:r w:rsidR="008D39F9" w:rsidRPr="00CF026A">
              <w:t>2 Mr</w:t>
            </w:r>
            <w:r w:rsidR="00EA0144" w:rsidRPr="00CF026A">
              <w:t>) -</w:t>
            </w:r>
            <w:r w:rsidRPr="00CF026A">
              <w:tab/>
            </w:r>
          </w:p>
        </w:tc>
      </w:tr>
      <w:tr w:rsidR="00EA534D" w:rsidRPr="00CF026A" w14:paraId="3A7D40B9" w14:textId="77777777">
        <w:trPr>
          <w:cantSplit/>
        </w:trPr>
        <w:tc>
          <w:tcPr>
            <w:tcW w:w="9640" w:type="dxa"/>
            <w:vMerge/>
            <w:vAlign w:val="center"/>
            <w:hideMark/>
          </w:tcPr>
          <w:p w14:paraId="6ACE2774" w14:textId="77777777" w:rsidR="00EA534D" w:rsidRPr="00CF026A" w:rsidRDefault="00EA534D">
            <w:pPr>
              <w:jc w:val="left"/>
            </w:pPr>
          </w:p>
        </w:tc>
        <w:tc>
          <w:tcPr>
            <w:tcW w:w="709" w:type="dxa"/>
          </w:tcPr>
          <w:p w14:paraId="01CC6A6E" w14:textId="238E4EA3" w:rsidR="00EA534D" w:rsidRPr="00CF026A" w:rsidRDefault="0010313C">
            <w:pPr>
              <w:ind w:firstLine="720"/>
              <w:jc w:val="left"/>
            </w:pPr>
            <w:r w:rsidRPr="00CF026A">
              <w:t>i</w:t>
            </w:r>
          </w:p>
        </w:tc>
        <w:tc>
          <w:tcPr>
            <w:tcW w:w="1526" w:type="dxa"/>
            <w:hideMark/>
          </w:tcPr>
          <w:p w14:paraId="1A1BB6FC" w14:textId="4A7C6AE6" w:rsidR="00EA534D" w:rsidRPr="00CF026A" w:rsidRDefault="00EA534D">
            <w:pPr>
              <w:jc w:val="left"/>
            </w:pPr>
            <w:r w:rsidRPr="00CF026A">
              <w:t xml:space="preserve">Į </w:t>
            </w:r>
          </w:p>
        </w:tc>
        <w:tc>
          <w:tcPr>
            <w:tcW w:w="2727" w:type="dxa"/>
            <w:hideMark/>
          </w:tcPr>
          <w:p w14:paraId="34479DCB" w14:textId="206038BE" w:rsidR="00EA534D" w:rsidRPr="00CF026A" w:rsidRDefault="00EA534D">
            <w:r w:rsidRPr="00CF026A">
              <w:t>Nr.</w:t>
            </w:r>
          </w:p>
        </w:tc>
      </w:tr>
      <w:tr w:rsidR="00EA534D" w:rsidRPr="00CF026A" w14:paraId="3721842E" w14:textId="77777777">
        <w:trPr>
          <w:cantSplit/>
        </w:trPr>
        <w:tc>
          <w:tcPr>
            <w:tcW w:w="4678" w:type="dxa"/>
          </w:tcPr>
          <w:p w14:paraId="7228DA16" w14:textId="77777777" w:rsidR="00EA534D" w:rsidRPr="00CF026A" w:rsidRDefault="00EA534D">
            <w:pPr>
              <w:jc w:val="left"/>
            </w:pPr>
          </w:p>
        </w:tc>
        <w:tc>
          <w:tcPr>
            <w:tcW w:w="709" w:type="dxa"/>
          </w:tcPr>
          <w:p w14:paraId="244378E0" w14:textId="77777777" w:rsidR="00EA534D" w:rsidRPr="00CF026A" w:rsidRDefault="00EA534D">
            <w:pPr>
              <w:ind w:firstLine="720"/>
              <w:jc w:val="left"/>
            </w:pPr>
          </w:p>
        </w:tc>
        <w:tc>
          <w:tcPr>
            <w:tcW w:w="1526" w:type="dxa"/>
          </w:tcPr>
          <w:p w14:paraId="4B80FF05" w14:textId="77777777" w:rsidR="00EA534D" w:rsidRPr="00CF026A" w:rsidRDefault="00EA534D">
            <w:pPr>
              <w:jc w:val="left"/>
            </w:pPr>
          </w:p>
        </w:tc>
        <w:tc>
          <w:tcPr>
            <w:tcW w:w="2727" w:type="dxa"/>
          </w:tcPr>
          <w:p w14:paraId="2EC42DE5" w14:textId="77777777" w:rsidR="00EA534D" w:rsidRPr="00CF026A" w:rsidRDefault="00EA534D"/>
        </w:tc>
      </w:tr>
      <w:tr w:rsidR="00EA534D" w:rsidRPr="00CF026A" w14:paraId="5A959639" w14:textId="77777777">
        <w:trPr>
          <w:cantSplit/>
        </w:trPr>
        <w:tc>
          <w:tcPr>
            <w:tcW w:w="4678" w:type="dxa"/>
          </w:tcPr>
          <w:p w14:paraId="1BD8B852" w14:textId="77777777" w:rsidR="00EA534D" w:rsidRPr="00CF026A" w:rsidRDefault="00EA534D">
            <w:pPr>
              <w:jc w:val="left"/>
            </w:pPr>
          </w:p>
        </w:tc>
        <w:tc>
          <w:tcPr>
            <w:tcW w:w="709" w:type="dxa"/>
          </w:tcPr>
          <w:p w14:paraId="6423F2EF" w14:textId="77777777" w:rsidR="00EA534D" w:rsidRPr="00CF026A" w:rsidRDefault="00EA534D">
            <w:pPr>
              <w:ind w:firstLine="720"/>
              <w:jc w:val="left"/>
            </w:pPr>
          </w:p>
        </w:tc>
        <w:tc>
          <w:tcPr>
            <w:tcW w:w="1526" w:type="dxa"/>
          </w:tcPr>
          <w:p w14:paraId="522BB029" w14:textId="77777777" w:rsidR="00EA534D" w:rsidRPr="00CF026A" w:rsidRDefault="00EA534D">
            <w:pPr>
              <w:jc w:val="left"/>
            </w:pPr>
          </w:p>
        </w:tc>
        <w:tc>
          <w:tcPr>
            <w:tcW w:w="2727" w:type="dxa"/>
          </w:tcPr>
          <w:p w14:paraId="7111FFF7" w14:textId="77777777" w:rsidR="00EA534D" w:rsidRPr="00CF026A" w:rsidRDefault="00EA534D"/>
        </w:tc>
      </w:tr>
      <w:tr w:rsidR="00EA534D" w:rsidRPr="00CF026A" w14:paraId="34DCBC22" w14:textId="77777777">
        <w:trPr>
          <w:cantSplit/>
        </w:trPr>
        <w:tc>
          <w:tcPr>
            <w:tcW w:w="4678" w:type="dxa"/>
          </w:tcPr>
          <w:p w14:paraId="37B0ED56" w14:textId="77777777" w:rsidR="00EA534D" w:rsidRPr="00CF026A" w:rsidRDefault="00EA534D">
            <w:pPr>
              <w:jc w:val="left"/>
            </w:pPr>
          </w:p>
        </w:tc>
        <w:tc>
          <w:tcPr>
            <w:tcW w:w="709" w:type="dxa"/>
          </w:tcPr>
          <w:p w14:paraId="198DD3E9" w14:textId="77777777" w:rsidR="00EA534D" w:rsidRPr="00CF026A" w:rsidRDefault="00EA534D">
            <w:pPr>
              <w:ind w:firstLine="720"/>
              <w:jc w:val="left"/>
            </w:pPr>
          </w:p>
        </w:tc>
        <w:tc>
          <w:tcPr>
            <w:tcW w:w="1526" w:type="dxa"/>
          </w:tcPr>
          <w:p w14:paraId="7107590C" w14:textId="77777777" w:rsidR="00EA534D" w:rsidRPr="00CF026A" w:rsidRDefault="00EA534D">
            <w:pPr>
              <w:jc w:val="left"/>
            </w:pPr>
          </w:p>
        </w:tc>
        <w:tc>
          <w:tcPr>
            <w:tcW w:w="2727" w:type="dxa"/>
          </w:tcPr>
          <w:p w14:paraId="41F02588" w14:textId="77777777" w:rsidR="00EA534D" w:rsidRPr="00CF026A" w:rsidRDefault="00EA534D"/>
        </w:tc>
      </w:tr>
      <w:tr w:rsidR="00EA534D" w:rsidRPr="00CF026A" w14:paraId="5292FE29" w14:textId="77777777">
        <w:trPr>
          <w:cantSplit/>
        </w:trPr>
        <w:tc>
          <w:tcPr>
            <w:tcW w:w="9640" w:type="dxa"/>
            <w:gridSpan w:val="4"/>
            <w:hideMark/>
          </w:tcPr>
          <w:p w14:paraId="7C5DC670" w14:textId="1058D1C6" w:rsidR="00FF44A4" w:rsidRPr="00CF026A" w:rsidRDefault="00FF44A4" w:rsidP="00FF44A4">
            <w:pPr>
              <w:rPr>
                <w:b/>
                <w:bCs/>
                <w:caps/>
              </w:rPr>
            </w:pPr>
            <w:r w:rsidRPr="00CF026A">
              <w:rPr>
                <w:b/>
                <w:bCs/>
                <w:caps/>
              </w:rPr>
              <w:t xml:space="preserve">DĖL </w:t>
            </w:r>
            <w:bookmarkStart w:id="1" w:name="_Hlk219278927"/>
            <w:r w:rsidR="00EF2DEE" w:rsidRPr="00CF026A">
              <w:rPr>
                <w:b/>
                <w:bCs/>
                <w:caps/>
              </w:rPr>
              <w:t>nuomonės pateikimo</w:t>
            </w:r>
          </w:p>
          <w:bookmarkEnd w:id="1"/>
          <w:p w14:paraId="132A2325" w14:textId="325FF78C" w:rsidR="00884087" w:rsidRPr="00CF026A" w:rsidRDefault="00884087" w:rsidP="005433C7">
            <w:pPr>
              <w:rPr>
                <w:b/>
                <w:bCs/>
              </w:rPr>
            </w:pPr>
          </w:p>
        </w:tc>
      </w:tr>
    </w:tbl>
    <w:p w14:paraId="64388E5F" w14:textId="77777777" w:rsidR="002C195F" w:rsidRDefault="002C195F" w:rsidP="00EA534D">
      <w:pPr>
        <w:rPr>
          <w:szCs w:val="24"/>
        </w:rPr>
      </w:pPr>
    </w:p>
    <w:p w14:paraId="39A6279E" w14:textId="53562635" w:rsidR="00A533BB" w:rsidRPr="00CF026A" w:rsidRDefault="002C195F" w:rsidP="008052E2">
      <w:pPr>
        <w:spacing w:line="276" w:lineRule="auto"/>
        <w:ind w:firstLine="720"/>
        <w:rPr>
          <w:rFonts w:eastAsia="MS Mincho"/>
          <w:szCs w:val="24"/>
          <w:lang w:eastAsia="ja-JP"/>
        </w:rPr>
      </w:pPr>
      <w:r>
        <w:rPr>
          <w:szCs w:val="24"/>
        </w:rPr>
        <w:t xml:space="preserve">Ekonomikos ir inovacijų ministerija </w:t>
      </w:r>
      <w:r w:rsidR="0080219F">
        <w:rPr>
          <w:szCs w:val="24"/>
        </w:rPr>
        <w:t xml:space="preserve">išnagrinėjo </w:t>
      </w:r>
      <w:r w:rsidRPr="00CF026A">
        <w:rPr>
          <w:rFonts w:eastAsia="MS Mincho"/>
          <w:szCs w:val="24"/>
          <w:lang w:eastAsia="ja-JP"/>
        </w:rPr>
        <w:t>Lietuvos Respublikos Seimo Peticijų komisijos 2026 m. kovo 10 d. rašt</w:t>
      </w:r>
      <w:r w:rsidR="00F27047">
        <w:rPr>
          <w:rFonts w:eastAsia="MS Mincho"/>
          <w:szCs w:val="24"/>
          <w:lang w:eastAsia="ja-JP"/>
        </w:rPr>
        <w:t>ą</w:t>
      </w:r>
      <w:r w:rsidRPr="00CF026A">
        <w:rPr>
          <w:rFonts w:eastAsia="MS Mincho"/>
          <w:szCs w:val="24"/>
          <w:lang w:eastAsia="ja-JP"/>
        </w:rPr>
        <w:t xml:space="preserve"> Nr. S-2026-904 </w:t>
      </w:r>
      <w:r>
        <w:rPr>
          <w:rFonts w:eastAsia="MS Mincho"/>
          <w:szCs w:val="24"/>
          <w:lang w:eastAsia="ja-JP"/>
        </w:rPr>
        <w:t>„</w:t>
      </w:r>
      <w:r w:rsidRPr="00CF026A">
        <w:rPr>
          <w:rFonts w:eastAsia="MS Mincho"/>
          <w:szCs w:val="24"/>
          <w:lang w:eastAsia="ja-JP"/>
        </w:rPr>
        <w:t>Dėl nuomonės pateikimo</w:t>
      </w:r>
      <w:r w:rsidR="0021602F">
        <w:rPr>
          <w:rFonts w:eastAsia="MS Mincho"/>
          <w:szCs w:val="24"/>
          <w:lang w:eastAsia="ja-JP"/>
        </w:rPr>
        <w:t xml:space="preserve">“ </w:t>
      </w:r>
      <w:r w:rsidR="00F27047">
        <w:rPr>
          <w:rFonts w:eastAsia="MS Mincho"/>
          <w:szCs w:val="24"/>
          <w:lang w:eastAsia="ja-JP"/>
        </w:rPr>
        <w:t xml:space="preserve">ir pridėtą </w:t>
      </w:r>
      <w:r w:rsidR="008052E2">
        <w:rPr>
          <w:rFonts w:eastAsia="MS Mincho"/>
          <w:szCs w:val="24"/>
          <w:lang w:eastAsia="ja-JP"/>
        </w:rPr>
        <w:t xml:space="preserve">Erikos Spilos </w:t>
      </w:r>
      <w:r w:rsidRPr="00CF026A">
        <w:rPr>
          <w:rFonts w:eastAsia="MS Mincho"/>
          <w:szCs w:val="24"/>
          <w:lang w:eastAsia="ja-JP"/>
        </w:rPr>
        <w:t>prašym</w:t>
      </w:r>
      <w:r w:rsidR="00F27047">
        <w:rPr>
          <w:rFonts w:eastAsia="MS Mincho"/>
          <w:szCs w:val="24"/>
          <w:lang w:eastAsia="ja-JP"/>
        </w:rPr>
        <w:t>ą bei jame išdėstytą</w:t>
      </w:r>
      <w:r w:rsidRPr="00CF026A">
        <w:rPr>
          <w:rFonts w:eastAsia="MS Mincho"/>
          <w:szCs w:val="24"/>
          <w:lang w:eastAsia="ja-JP"/>
        </w:rPr>
        <w:t xml:space="preserve"> pasiūlym</w:t>
      </w:r>
      <w:r w:rsidR="0021602F">
        <w:rPr>
          <w:rFonts w:eastAsia="MS Mincho"/>
          <w:szCs w:val="24"/>
          <w:lang w:eastAsia="ja-JP"/>
        </w:rPr>
        <w:t xml:space="preserve">ą. Įvertinę Užimtumo įstatymo </w:t>
      </w:r>
      <w:r w:rsidR="0021602F" w:rsidRPr="0021602F">
        <w:rPr>
          <w:rFonts w:eastAsia="MS Mincho"/>
          <w:szCs w:val="24"/>
          <w:lang w:eastAsia="ja-JP"/>
        </w:rPr>
        <w:t>48</w:t>
      </w:r>
      <w:r w:rsidR="0021602F" w:rsidRPr="0021602F">
        <w:rPr>
          <w:rFonts w:eastAsia="MS Mincho"/>
          <w:szCs w:val="24"/>
          <w:vertAlign w:val="superscript"/>
          <w:lang w:eastAsia="ja-JP"/>
        </w:rPr>
        <w:t>1</w:t>
      </w:r>
      <w:r w:rsidR="0021602F" w:rsidRPr="0021602F">
        <w:rPr>
          <w:rFonts w:eastAsia="MS Mincho"/>
          <w:szCs w:val="24"/>
          <w:lang w:eastAsia="ja-JP"/>
        </w:rPr>
        <w:t xml:space="preserve"> ir 48</w:t>
      </w:r>
      <w:r w:rsidR="0021602F" w:rsidRPr="0021602F">
        <w:rPr>
          <w:rFonts w:eastAsia="MS Mincho"/>
          <w:szCs w:val="24"/>
          <w:vertAlign w:val="superscript"/>
          <w:lang w:eastAsia="ja-JP"/>
        </w:rPr>
        <w:t>2</w:t>
      </w:r>
      <w:r w:rsidR="0021602F">
        <w:rPr>
          <w:rFonts w:eastAsia="MS Mincho"/>
          <w:szCs w:val="24"/>
          <w:vertAlign w:val="superscript"/>
          <w:lang w:eastAsia="ja-JP"/>
        </w:rPr>
        <w:t xml:space="preserve"> </w:t>
      </w:r>
      <w:r w:rsidR="0021602F">
        <w:rPr>
          <w:rFonts w:eastAsia="MS Mincho"/>
          <w:szCs w:val="24"/>
          <w:lang w:eastAsia="ja-JP"/>
        </w:rPr>
        <w:t xml:space="preserve">straipsnių priėmimo </w:t>
      </w:r>
      <w:r w:rsidR="00F27047">
        <w:rPr>
          <w:rFonts w:eastAsia="MS Mincho"/>
          <w:szCs w:val="24"/>
          <w:lang w:eastAsia="ja-JP"/>
        </w:rPr>
        <w:t xml:space="preserve">tikslus </w:t>
      </w:r>
      <w:r w:rsidR="00DE7780">
        <w:rPr>
          <w:rFonts w:eastAsia="MS Mincho"/>
          <w:szCs w:val="24"/>
          <w:lang w:eastAsia="ja-JP"/>
        </w:rPr>
        <w:t>ir</w:t>
      </w:r>
      <w:r w:rsidR="00F27047">
        <w:rPr>
          <w:rFonts w:eastAsia="MS Mincho"/>
          <w:szCs w:val="24"/>
          <w:lang w:eastAsia="ja-JP"/>
        </w:rPr>
        <w:t xml:space="preserve"> uždavinius, </w:t>
      </w:r>
      <w:r w:rsidR="008052E2">
        <w:rPr>
          <w:rFonts w:eastAsia="MS Mincho"/>
          <w:szCs w:val="24"/>
          <w:lang w:eastAsia="ja-JP"/>
        </w:rPr>
        <w:t xml:space="preserve">teikiame šią nuomonę: </w:t>
      </w:r>
    </w:p>
    <w:p w14:paraId="4457169C" w14:textId="168F9911" w:rsidR="00712F0D" w:rsidRPr="00CF026A" w:rsidRDefault="00110A6E" w:rsidP="002118C8">
      <w:pPr>
        <w:spacing w:line="276" w:lineRule="auto"/>
        <w:ind w:firstLine="720"/>
        <w:rPr>
          <w:rFonts w:eastAsia="MS Mincho"/>
          <w:szCs w:val="24"/>
          <w:lang w:eastAsia="ja-JP"/>
        </w:rPr>
      </w:pPr>
      <w:r w:rsidRPr="00CF026A">
        <w:rPr>
          <w:rFonts w:eastAsia="MS Mincho"/>
          <w:szCs w:val="24"/>
          <w:lang w:eastAsia="ja-JP"/>
        </w:rPr>
        <w:t>2022 m.</w:t>
      </w:r>
      <w:r w:rsidRPr="00CF026A">
        <w:t xml:space="preserve"> </w:t>
      </w:r>
      <w:r w:rsidR="0092781D" w:rsidRPr="00CF026A">
        <w:t xml:space="preserve">priimto </w:t>
      </w:r>
      <w:r w:rsidRPr="00CF026A">
        <w:rPr>
          <w:rFonts w:eastAsia="MS Mincho"/>
          <w:szCs w:val="24"/>
          <w:lang w:eastAsia="ja-JP"/>
        </w:rPr>
        <w:t xml:space="preserve">Lietuvos Respublikos užimtumo įstatymo </w:t>
      </w:r>
      <w:r w:rsidR="00C718B9" w:rsidRPr="00CF026A">
        <w:rPr>
          <w:rFonts w:eastAsia="MS Mincho"/>
          <w:szCs w:val="24"/>
          <w:lang w:eastAsia="ja-JP"/>
        </w:rPr>
        <w:t>N</w:t>
      </w:r>
      <w:r w:rsidRPr="00CF026A">
        <w:rPr>
          <w:rFonts w:eastAsia="MS Mincho"/>
          <w:szCs w:val="24"/>
          <w:lang w:eastAsia="ja-JP"/>
        </w:rPr>
        <w:t>r. XII-2470 1, 12, 16, 20, 22, 24, 28, 29, 30, 31, 36, 37, 38, 39</w:t>
      </w:r>
      <w:r w:rsidRPr="00CF026A">
        <w:rPr>
          <w:rFonts w:eastAsia="MS Mincho"/>
          <w:szCs w:val="24"/>
          <w:vertAlign w:val="superscript"/>
          <w:lang w:eastAsia="ja-JP"/>
        </w:rPr>
        <w:t>1</w:t>
      </w:r>
      <w:r w:rsidRPr="00CF026A">
        <w:rPr>
          <w:rFonts w:eastAsia="MS Mincho"/>
          <w:szCs w:val="24"/>
          <w:lang w:eastAsia="ja-JP"/>
        </w:rPr>
        <w:t>, 40, 44, 46, 47, 48, 48</w:t>
      </w:r>
      <w:r w:rsidRPr="00CF026A">
        <w:rPr>
          <w:rFonts w:eastAsia="MS Mincho"/>
          <w:szCs w:val="24"/>
          <w:vertAlign w:val="superscript"/>
          <w:lang w:eastAsia="ja-JP"/>
        </w:rPr>
        <w:t>1</w:t>
      </w:r>
      <w:r w:rsidRPr="00CF026A">
        <w:rPr>
          <w:rFonts w:eastAsia="MS Mincho"/>
          <w:szCs w:val="24"/>
          <w:lang w:eastAsia="ja-JP"/>
        </w:rPr>
        <w:t xml:space="preserve"> straipsnių, priedo pakeitimo ir įstatymo papildymo 39</w:t>
      </w:r>
      <w:r w:rsidRPr="00CF026A">
        <w:rPr>
          <w:rFonts w:eastAsia="MS Mincho"/>
          <w:szCs w:val="24"/>
          <w:vertAlign w:val="superscript"/>
          <w:lang w:eastAsia="ja-JP"/>
        </w:rPr>
        <w:t>2</w:t>
      </w:r>
      <w:r w:rsidRPr="00CF026A">
        <w:rPr>
          <w:rFonts w:eastAsia="MS Mincho"/>
          <w:szCs w:val="24"/>
          <w:lang w:eastAsia="ja-JP"/>
        </w:rPr>
        <w:t>, 39</w:t>
      </w:r>
      <w:r w:rsidRPr="00CF026A">
        <w:rPr>
          <w:rFonts w:eastAsia="MS Mincho"/>
          <w:szCs w:val="24"/>
          <w:vertAlign w:val="superscript"/>
          <w:lang w:eastAsia="ja-JP"/>
        </w:rPr>
        <w:t>3</w:t>
      </w:r>
      <w:r w:rsidRPr="00CF026A">
        <w:rPr>
          <w:rFonts w:eastAsia="MS Mincho"/>
          <w:szCs w:val="24"/>
          <w:lang w:eastAsia="ja-JP"/>
        </w:rPr>
        <w:t xml:space="preserve"> ir 48</w:t>
      </w:r>
      <w:r w:rsidRPr="00CF026A">
        <w:rPr>
          <w:rFonts w:eastAsia="MS Mincho"/>
          <w:szCs w:val="24"/>
          <w:vertAlign w:val="superscript"/>
          <w:lang w:eastAsia="ja-JP"/>
        </w:rPr>
        <w:t>2</w:t>
      </w:r>
      <w:r w:rsidRPr="00CF026A">
        <w:rPr>
          <w:rFonts w:eastAsia="MS Mincho"/>
          <w:szCs w:val="24"/>
          <w:lang w:eastAsia="ja-JP"/>
        </w:rPr>
        <w:t xml:space="preserve"> straipsniais</w:t>
      </w:r>
      <w:r w:rsidR="00C718B9" w:rsidRPr="00CF026A">
        <w:rPr>
          <w:rFonts w:eastAsia="MS Mincho"/>
          <w:szCs w:val="24"/>
          <w:lang w:eastAsia="ja-JP"/>
        </w:rPr>
        <w:t xml:space="preserve"> </w:t>
      </w:r>
      <w:r w:rsidR="0092781D" w:rsidRPr="00CF026A">
        <w:rPr>
          <w:rFonts w:eastAsia="MS Mincho"/>
          <w:szCs w:val="24"/>
          <w:lang w:eastAsia="ja-JP"/>
        </w:rPr>
        <w:t xml:space="preserve">projekto </w:t>
      </w:r>
      <w:r w:rsidR="00385E1E" w:rsidRPr="00CF026A">
        <w:rPr>
          <w:rFonts w:eastAsia="MS Mincho"/>
          <w:szCs w:val="24"/>
          <w:lang w:eastAsia="ja-JP"/>
        </w:rPr>
        <w:t>(toliau – įstatymo projektas)</w:t>
      </w:r>
      <w:r w:rsidR="00C718B9" w:rsidRPr="00CF026A">
        <w:rPr>
          <w:rFonts w:eastAsia="MS Mincho"/>
          <w:szCs w:val="24"/>
          <w:lang w:eastAsia="ja-JP"/>
        </w:rPr>
        <w:t xml:space="preserve"> </w:t>
      </w:r>
      <w:hyperlink r:id="rId12" w:history="1">
        <w:r w:rsidR="00712F0D" w:rsidRPr="00CF026A">
          <w:rPr>
            <w:rStyle w:val="Hipersaitas"/>
            <w:rFonts w:eastAsia="MS Mincho"/>
            <w:szCs w:val="24"/>
            <w:lang w:eastAsia="ja-JP"/>
          </w:rPr>
          <w:t>aiškinamajame rašte</w:t>
        </w:r>
      </w:hyperlink>
      <w:r w:rsidR="00712F0D" w:rsidRPr="00CF026A">
        <w:rPr>
          <w:rFonts w:eastAsia="MS Mincho"/>
          <w:szCs w:val="24"/>
          <w:lang w:eastAsia="ja-JP"/>
        </w:rPr>
        <w:t xml:space="preserve"> </w:t>
      </w:r>
      <w:r w:rsidR="002D10DC" w:rsidRPr="00CF026A">
        <w:rPr>
          <w:rFonts w:eastAsia="MS Mincho"/>
          <w:szCs w:val="24"/>
          <w:lang w:eastAsia="ja-JP"/>
        </w:rPr>
        <w:t xml:space="preserve">(toliau – aiškinamasis raštas) </w:t>
      </w:r>
      <w:r w:rsidR="006432A4" w:rsidRPr="00CF026A">
        <w:rPr>
          <w:rFonts w:eastAsia="MS Mincho"/>
          <w:szCs w:val="24"/>
          <w:lang w:eastAsia="ja-JP"/>
        </w:rPr>
        <w:t>nurodoma</w:t>
      </w:r>
      <w:r w:rsidR="00712F0D" w:rsidRPr="00CF026A">
        <w:rPr>
          <w:rFonts w:eastAsia="MS Mincho"/>
          <w:szCs w:val="24"/>
          <w:lang w:eastAsia="ja-JP"/>
        </w:rPr>
        <w:t>, kad Lietuva yra viena iš daugiausiai dėl emigracijos nukentėjusių Europos Sąjungos valstybių narių, emigrantų ir šalies populiacijos santykis Lietuvoje 2020 m. duomenimis siekė 24 proc., kai tuo tarpu visos Europos Sąjungos vidurkis buvo tik 7 proc. 2019 m. pirmą kartą į Lietuvą atvykstančių asmenų skaičius viršijo iš Lietuvos emigruojančių asmenų skaičių – iš Lietuvos išvyko 4 tūkst. Lietuvos Respublikos piliečių, į Lietuvą atvyko 15 tūkst. kitos pilietybės asmenų. Šį teigiamą pokytį lėmė ne sugrįžtantys Lietuvos Respublikos piliečiai, bet į Lietuvą atvykstantys užsieniečiai.</w:t>
      </w:r>
    </w:p>
    <w:p w14:paraId="5C0B3CC8" w14:textId="09AF5849" w:rsidR="00712F0D" w:rsidRPr="00CF026A" w:rsidRDefault="00712F0D" w:rsidP="002118C8">
      <w:pPr>
        <w:spacing w:line="276" w:lineRule="auto"/>
        <w:ind w:firstLine="720"/>
        <w:rPr>
          <w:rFonts w:eastAsia="MS Mincho"/>
          <w:szCs w:val="24"/>
          <w:lang w:eastAsia="ja-JP"/>
        </w:rPr>
      </w:pPr>
      <w:r w:rsidRPr="00CF026A">
        <w:rPr>
          <w:rFonts w:eastAsia="MS Mincho"/>
          <w:szCs w:val="24"/>
          <w:lang w:eastAsia="ja-JP"/>
        </w:rPr>
        <w:t xml:space="preserve">Taip pat aiškinamajame </w:t>
      </w:r>
      <w:r w:rsidR="001772B5" w:rsidRPr="00CF026A">
        <w:rPr>
          <w:rFonts w:eastAsia="MS Mincho"/>
          <w:szCs w:val="24"/>
          <w:lang w:eastAsia="ja-JP"/>
        </w:rPr>
        <w:t xml:space="preserve">rašte </w:t>
      </w:r>
      <w:r w:rsidRPr="00CF026A">
        <w:rPr>
          <w:rFonts w:eastAsia="MS Mincho"/>
          <w:szCs w:val="24"/>
          <w:lang w:eastAsia="ja-JP"/>
        </w:rPr>
        <w:t xml:space="preserve">pateikta informacija, kad nepaisant augančio į Lietuvą atvykstančių užsieniečių skaičiaus, tokių užsienio talentų potencialas vis dar nėra tinkamai išnaudojamas. 2020 m. duomenimis iš visų atvykusių į Lietuvą asmenų atvyko tik 5 proc. užsieniečių, kai tuo tarpu Europos Sąjungos vidurkis siekia 13 proc. Tokią statistiką lėmė ir tai, kad Lietuvoje nebuvo priemonių, kurios būtų skirtos pritraukti aukštos kvalifikacijos užsienio talentus. Pažymėtina, kad didžioji dalis į Lietuvą atvykstančių imigrantų neturi aukštos kvalifikacijos profesijos. Atitinkamai 2021–2030 m. nacionaliniame pažangos plane, patvirtintame Lietuvos Respublikos Vyriausybės 2020 m. rugsėjo 9 d. nutarimu Nr. 998 „Dėl 2021–2030 metų nacionalinio pažangos plano patvirtinimo“ (toliau – 2021–2030 metų nacionalinio pažangos planas), nustatytiems prioritetiniams sektoriams vystyti talentų pritraukimas iš užsienio – būtina sąlyga. 2030 m. sukuriamos pridėtinės vertės dalis gyvybės mokslų sektoriuje turės padidėti nuo 2,3 proc. (2019 m.) iki 5 proc., inžinerinės pramonės sektoriuje nuo 5,93 proc. (2019 m.) iki 7,69 proc. ir informacinių ir komunikacinių technologijų (ICT) sektoriuje nuo 4,1 proc. (2020 m.) iki 5,1 proc. Šių sektorių spartesniam vystymuisi yra būtinos pažangios investicijos, kurias pritraukti be instrumentų nišinių talentų medžioklei yra sunku. 79 proc. Lietuvą pasirinkusių užsienio investuotojų teigia, kad talentų pasiūla yra esminė atėjimo į šalį sąlyga, o 2016–2020 m. dėl talentų stokos Lietuvos nepasirinkę </w:t>
      </w:r>
      <w:r w:rsidRPr="00CF026A">
        <w:rPr>
          <w:rFonts w:eastAsia="MS Mincho"/>
          <w:szCs w:val="24"/>
          <w:lang w:eastAsia="ja-JP"/>
        </w:rPr>
        <w:lastRenderedPageBreak/>
        <w:t>investuotojai nesukūrė 5810 gerai apmokamų darbo vietų. Sąlyginai nedidelio kiekio nišinių talentų stoka gali lemti viso tiesioginių užsienio investicijų projekto neįgyvendinimą.</w:t>
      </w:r>
    </w:p>
    <w:p w14:paraId="610F05FF" w14:textId="5E7AFBE6" w:rsidR="00235BA9" w:rsidRPr="00CF026A" w:rsidRDefault="00615DE4" w:rsidP="002118C8">
      <w:pPr>
        <w:spacing w:line="276" w:lineRule="auto"/>
        <w:ind w:firstLine="720"/>
        <w:rPr>
          <w:szCs w:val="24"/>
        </w:rPr>
      </w:pPr>
      <w:r w:rsidRPr="00CF026A">
        <w:rPr>
          <w:rFonts w:eastAsia="MS Mincho"/>
          <w:szCs w:val="24"/>
          <w:lang w:eastAsia="ja-JP"/>
        </w:rPr>
        <w:t>S</w:t>
      </w:r>
      <w:r w:rsidR="00A4736D" w:rsidRPr="00CF026A">
        <w:rPr>
          <w:rFonts w:eastAsia="MS Mincho"/>
          <w:szCs w:val="24"/>
          <w:lang w:eastAsia="ja-JP"/>
        </w:rPr>
        <w:t>iekiant aukščiau nurodytų tikslų</w:t>
      </w:r>
      <w:r w:rsidR="001772B5" w:rsidRPr="00CF026A">
        <w:rPr>
          <w:rFonts w:eastAsia="MS Mincho"/>
          <w:szCs w:val="24"/>
          <w:lang w:eastAsia="ja-JP"/>
        </w:rPr>
        <w:t xml:space="preserve"> </w:t>
      </w:r>
      <w:r w:rsidR="00871561" w:rsidRPr="00CF026A">
        <w:rPr>
          <w:rFonts w:eastAsia="MS Mincho"/>
          <w:szCs w:val="24"/>
          <w:lang w:eastAsia="ja-JP"/>
        </w:rPr>
        <w:t>derinti darbo jėgos pasiūlą ir paklausą, pritraukiant išvykusius aukštos kvalifikacijos Lietuvos Respublikos piliečius ir aukštos kvalifikacijos užsieniečius, paskatinant užsienio investuotojus perkelti savo gamybinę arba paslaugų veiklą į Lietuvą, sumažinant darbuotojui tenkančias atvykimo išlaidas, o darbdaviui</w:t>
      </w:r>
      <w:r w:rsidR="009859C0" w:rsidRPr="00CF026A">
        <w:rPr>
          <w:rFonts w:eastAsia="MS Mincho"/>
          <w:szCs w:val="24"/>
          <w:lang w:eastAsia="ja-JP"/>
        </w:rPr>
        <w:t xml:space="preserve"> – </w:t>
      </w:r>
      <w:r w:rsidR="00871561" w:rsidRPr="00CF026A">
        <w:rPr>
          <w:rFonts w:eastAsia="MS Mincho"/>
          <w:szCs w:val="24"/>
          <w:lang w:eastAsia="ja-JP"/>
        </w:rPr>
        <w:t>aukštos kvalifikacijos darbuotojo paieškos išlaidas</w:t>
      </w:r>
      <w:r w:rsidR="0025326B" w:rsidRPr="00CF026A">
        <w:rPr>
          <w:rFonts w:eastAsia="MS Mincho"/>
          <w:szCs w:val="24"/>
          <w:lang w:eastAsia="ja-JP"/>
        </w:rPr>
        <w:t xml:space="preserve">, </w:t>
      </w:r>
      <w:r w:rsidR="00CF026A">
        <w:rPr>
          <w:rFonts w:eastAsia="MS Mincho"/>
          <w:szCs w:val="24"/>
          <w:lang w:eastAsia="ja-JP"/>
        </w:rPr>
        <w:t xml:space="preserve">Lietuvos Respublikos </w:t>
      </w:r>
      <w:r w:rsidR="00C041EE">
        <w:rPr>
          <w:rFonts w:eastAsia="MS Mincho"/>
          <w:szCs w:val="24"/>
          <w:lang w:eastAsia="ja-JP"/>
        </w:rPr>
        <w:t>U</w:t>
      </w:r>
      <w:r w:rsidR="00CF026A" w:rsidRPr="00CF026A">
        <w:rPr>
          <w:rFonts w:eastAsia="MS Mincho"/>
          <w:szCs w:val="24"/>
          <w:lang w:eastAsia="ja-JP"/>
        </w:rPr>
        <w:t>žimtumo įstatymo</w:t>
      </w:r>
      <w:r w:rsidR="00CF026A">
        <w:rPr>
          <w:rFonts w:eastAsia="MS Mincho"/>
          <w:szCs w:val="24"/>
          <w:lang w:eastAsia="ja-JP"/>
        </w:rPr>
        <w:t xml:space="preserve"> (toliau – įstatymas)</w:t>
      </w:r>
      <w:r w:rsidR="00CF026A" w:rsidRPr="00CF026A">
        <w:rPr>
          <w:rFonts w:eastAsia="MS Mincho"/>
          <w:szCs w:val="24"/>
          <w:lang w:eastAsia="ja-JP"/>
        </w:rPr>
        <w:t xml:space="preserve"> 48</w:t>
      </w:r>
      <w:r w:rsidR="00CF026A" w:rsidRPr="00CF026A">
        <w:rPr>
          <w:rFonts w:eastAsia="MS Mincho"/>
          <w:szCs w:val="24"/>
          <w:vertAlign w:val="superscript"/>
          <w:lang w:eastAsia="ja-JP"/>
        </w:rPr>
        <w:t>1</w:t>
      </w:r>
      <w:r w:rsidR="00CF026A" w:rsidRPr="00CF026A">
        <w:rPr>
          <w:rFonts w:eastAsia="MS Mincho"/>
          <w:szCs w:val="24"/>
          <w:lang w:eastAsia="ja-JP"/>
        </w:rPr>
        <w:t xml:space="preserve"> ir 48</w:t>
      </w:r>
      <w:r w:rsidR="00CF026A" w:rsidRPr="00CF026A">
        <w:rPr>
          <w:rFonts w:eastAsia="MS Mincho"/>
          <w:szCs w:val="24"/>
          <w:vertAlign w:val="superscript"/>
          <w:lang w:eastAsia="ja-JP"/>
        </w:rPr>
        <w:t>2</w:t>
      </w:r>
      <w:r w:rsidR="00CF026A" w:rsidRPr="00CF026A">
        <w:rPr>
          <w:rFonts w:eastAsia="MS Mincho"/>
          <w:szCs w:val="24"/>
          <w:lang w:eastAsia="ja-JP"/>
        </w:rPr>
        <w:t xml:space="preserve"> straipsniuose į</w:t>
      </w:r>
      <w:r w:rsidR="00A4736D" w:rsidRPr="00CF026A">
        <w:rPr>
          <w:rFonts w:eastAsia="MS Mincho"/>
          <w:szCs w:val="24"/>
          <w:lang w:eastAsia="ja-JP"/>
        </w:rPr>
        <w:t>tvirtinta priemonė</w:t>
      </w:r>
      <w:r w:rsidR="0025326B" w:rsidRPr="00CF026A">
        <w:rPr>
          <w:rFonts w:eastAsia="MS Mincho"/>
          <w:szCs w:val="24"/>
          <w:lang w:eastAsia="ja-JP"/>
        </w:rPr>
        <w:t xml:space="preserve"> – atvykimo išmok</w:t>
      </w:r>
      <w:r w:rsidR="00A4736D" w:rsidRPr="00CF026A">
        <w:rPr>
          <w:rFonts w:eastAsia="MS Mincho"/>
          <w:szCs w:val="24"/>
          <w:lang w:eastAsia="ja-JP"/>
        </w:rPr>
        <w:t>o</w:t>
      </w:r>
      <w:r w:rsidR="0025326B" w:rsidRPr="00CF026A">
        <w:rPr>
          <w:rFonts w:eastAsia="MS Mincho"/>
          <w:szCs w:val="24"/>
          <w:lang w:eastAsia="ja-JP"/>
        </w:rPr>
        <w:t>s iš užsienio pritrauktiems darbuotojams</w:t>
      </w:r>
      <w:r w:rsidR="00484E4A" w:rsidRPr="00CF026A">
        <w:rPr>
          <w:rFonts w:eastAsia="MS Mincho"/>
          <w:szCs w:val="24"/>
          <w:lang w:eastAsia="ja-JP"/>
        </w:rPr>
        <w:t xml:space="preserve"> ir darbdaviams, pritraukusiems darbuotoją iš užsienio</w:t>
      </w:r>
      <w:r w:rsidR="0025326B" w:rsidRPr="00CF026A">
        <w:rPr>
          <w:rFonts w:eastAsia="MS Mincho"/>
          <w:szCs w:val="24"/>
          <w:lang w:eastAsia="ja-JP"/>
        </w:rPr>
        <w:t xml:space="preserve"> (toliau – </w:t>
      </w:r>
      <w:r w:rsidR="00484E4A" w:rsidRPr="00CF026A">
        <w:rPr>
          <w:rFonts w:eastAsia="MS Mincho"/>
          <w:szCs w:val="24"/>
          <w:lang w:eastAsia="ja-JP"/>
        </w:rPr>
        <w:t xml:space="preserve">atvykimo </w:t>
      </w:r>
      <w:r w:rsidR="0025326B" w:rsidRPr="00CF026A">
        <w:rPr>
          <w:rFonts w:eastAsia="MS Mincho"/>
          <w:szCs w:val="24"/>
          <w:lang w:eastAsia="ja-JP"/>
        </w:rPr>
        <w:t>išmokos)</w:t>
      </w:r>
      <w:r w:rsidR="00871561" w:rsidRPr="00CF026A">
        <w:rPr>
          <w:rFonts w:eastAsia="MS Mincho"/>
          <w:szCs w:val="24"/>
          <w:lang w:eastAsia="ja-JP"/>
        </w:rPr>
        <w:t>.</w:t>
      </w:r>
      <w:r w:rsidR="00385E1E" w:rsidRPr="00CF026A">
        <w:rPr>
          <w:rFonts w:eastAsia="MS Mincho"/>
          <w:szCs w:val="24"/>
          <w:lang w:eastAsia="ja-JP"/>
        </w:rPr>
        <w:t xml:space="preserve"> </w:t>
      </w:r>
      <w:r w:rsidR="006432A4" w:rsidRPr="00CF026A">
        <w:rPr>
          <w:rFonts w:eastAsia="MS Mincho"/>
          <w:szCs w:val="24"/>
          <w:lang w:eastAsia="ja-JP"/>
        </w:rPr>
        <w:t>Įstatyme n</w:t>
      </w:r>
      <w:r w:rsidRPr="00CF026A">
        <w:rPr>
          <w:szCs w:val="24"/>
        </w:rPr>
        <w:t>ustatyta</w:t>
      </w:r>
      <w:r w:rsidR="002409E2" w:rsidRPr="00CF026A">
        <w:rPr>
          <w:szCs w:val="24"/>
        </w:rPr>
        <w:t xml:space="preserve">, kad </w:t>
      </w:r>
      <w:r w:rsidR="0085147A" w:rsidRPr="00CF026A">
        <w:rPr>
          <w:szCs w:val="24"/>
        </w:rPr>
        <w:t xml:space="preserve">atvykimo išmokas gali gauti darbuotojai, turintys profesiją pagal Lietuvos Respublikos ekonomikos ir inovacijų ministro tvirtinamą Aukštą pridėtinę vertę kuriančių profesijų, kurių darbuotojų trūksta Lietuvos Respublikoje, sąrašą, ir, kad </w:t>
      </w:r>
      <w:r w:rsidR="002409E2" w:rsidRPr="00CF026A">
        <w:rPr>
          <w:szCs w:val="24"/>
        </w:rPr>
        <w:t xml:space="preserve">atvykimo išmoka bus taikoma gyventojams, kurie nebuvo nuolatiniais Lietuvos gyventojais paskutinius 5 metus, </w:t>
      </w:r>
      <w:r w:rsidR="002409E2" w:rsidRPr="00CF026A">
        <w:rPr>
          <w:i/>
          <w:iCs/>
          <w:szCs w:val="24"/>
        </w:rPr>
        <w:t>nepriklausomai nuo asmens pilietybės</w:t>
      </w:r>
      <w:r w:rsidR="002409E2" w:rsidRPr="00CF026A">
        <w:rPr>
          <w:szCs w:val="24"/>
        </w:rPr>
        <w:t xml:space="preserve">. </w:t>
      </w:r>
    </w:p>
    <w:p w14:paraId="59EFD468" w14:textId="46711350" w:rsidR="00F50604" w:rsidRPr="00CF026A" w:rsidRDefault="00987EBD" w:rsidP="002118C8">
      <w:pPr>
        <w:spacing w:line="276" w:lineRule="auto"/>
        <w:ind w:firstLine="720"/>
        <w:rPr>
          <w:szCs w:val="24"/>
        </w:rPr>
      </w:pPr>
      <w:r w:rsidRPr="00CF026A">
        <w:rPr>
          <w:szCs w:val="24"/>
        </w:rPr>
        <w:t xml:space="preserve">Atkreiptinas dėmesys, kad </w:t>
      </w:r>
      <w:r w:rsidR="001C3611">
        <w:rPr>
          <w:szCs w:val="24"/>
        </w:rPr>
        <w:t xml:space="preserve">įstatymo projekto </w:t>
      </w:r>
      <w:r w:rsidR="002D10DC" w:rsidRPr="00CF026A">
        <w:rPr>
          <w:szCs w:val="24"/>
        </w:rPr>
        <w:t>a</w:t>
      </w:r>
      <w:r w:rsidR="007A66AF" w:rsidRPr="00CF026A">
        <w:rPr>
          <w:szCs w:val="24"/>
        </w:rPr>
        <w:t xml:space="preserve">iškinamajame rašte </w:t>
      </w:r>
      <w:r w:rsidR="005209C0" w:rsidRPr="00CF026A">
        <w:rPr>
          <w:szCs w:val="24"/>
        </w:rPr>
        <w:t xml:space="preserve">atvykimo </w:t>
      </w:r>
      <w:r w:rsidR="007A66AF" w:rsidRPr="00CF026A">
        <w:rPr>
          <w:szCs w:val="24"/>
        </w:rPr>
        <w:t>išmokos pritrauktiems užsieniečiams ir išmokos ukrainiečiams yra aiškiai atskirtos ir jomis siekiama skirtingų uždavinių</w:t>
      </w:r>
      <w:r w:rsidR="00F32B44" w:rsidRPr="00CF026A">
        <w:rPr>
          <w:szCs w:val="24"/>
        </w:rPr>
        <w:t xml:space="preserve">: </w:t>
      </w:r>
    </w:p>
    <w:p w14:paraId="24526CC4" w14:textId="60B5533A" w:rsidR="00DA5D40" w:rsidRPr="00CF026A" w:rsidRDefault="001C3611" w:rsidP="002118C8">
      <w:pPr>
        <w:spacing w:line="276" w:lineRule="auto"/>
        <w:ind w:firstLine="720"/>
        <w:rPr>
          <w:rFonts w:eastAsia="MS Mincho"/>
          <w:szCs w:val="24"/>
          <w:lang w:eastAsia="ja-JP"/>
        </w:rPr>
      </w:pPr>
      <w:r>
        <w:rPr>
          <w:rFonts w:eastAsia="MS Mincho"/>
          <w:szCs w:val="24"/>
          <w:lang w:eastAsia="ja-JP"/>
        </w:rPr>
        <w:t xml:space="preserve">Aiškinamajame rašte nurodyti </w:t>
      </w:r>
      <w:r w:rsidR="007C46A4">
        <w:rPr>
          <w:rFonts w:eastAsia="MS Mincho"/>
          <w:szCs w:val="24"/>
          <w:lang w:eastAsia="ja-JP"/>
        </w:rPr>
        <w:t>dešimt pagrindinių</w:t>
      </w:r>
      <w:r>
        <w:rPr>
          <w:rFonts w:eastAsia="MS Mincho"/>
          <w:szCs w:val="24"/>
          <w:lang w:eastAsia="ja-JP"/>
        </w:rPr>
        <w:t xml:space="preserve"> </w:t>
      </w:r>
      <w:r w:rsidR="007C46A4">
        <w:rPr>
          <w:rFonts w:eastAsia="MS Mincho"/>
          <w:szCs w:val="24"/>
          <w:lang w:eastAsia="ja-JP"/>
        </w:rPr>
        <w:t xml:space="preserve">Užimtumo </w:t>
      </w:r>
      <w:r w:rsidR="00DA5D40" w:rsidRPr="00CF026A">
        <w:rPr>
          <w:rFonts w:eastAsia="MS Mincho"/>
          <w:szCs w:val="24"/>
          <w:lang w:eastAsia="ja-JP"/>
        </w:rPr>
        <w:t>įstatymo projekto uždavini</w:t>
      </w:r>
      <w:r w:rsidR="00042796">
        <w:rPr>
          <w:rFonts w:eastAsia="MS Mincho"/>
          <w:szCs w:val="24"/>
          <w:lang w:eastAsia="ja-JP"/>
        </w:rPr>
        <w:t>ų, iš kurių</w:t>
      </w:r>
      <w:r w:rsidR="00DA5D40" w:rsidRPr="00CF026A">
        <w:rPr>
          <w:rFonts w:eastAsia="MS Mincho"/>
          <w:szCs w:val="24"/>
          <w:lang w:eastAsia="ja-JP"/>
        </w:rPr>
        <w:t>:</w:t>
      </w:r>
    </w:p>
    <w:p w14:paraId="092362FD" w14:textId="51CD7F3F" w:rsidR="00DA5D40" w:rsidRPr="00CF026A" w:rsidRDefault="005209C0" w:rsidP="002118C8">
      <w:pPr>
        <w:spacing w:line="276" w:lineRule="auto"/>
        <w:ind w:firstLine="720"/>
        <w:rPr>
          <w:rFonts w:eastAsia="MS Mincho"/>
          <w:szCs w:val="24"/>
          <w:lang w:eastAsia="ja-JP"/>
        </w:rPr>
      </w:pPr>
      <w:r w:rsidRPr="00CF026A">
        <w:rPr>
          <w:rFonts w:eastAsia="MS Mincho"/>
          <w:szCs w:val="24"/>
          <w:lang w:eastAsia="ja-JP"/>
        </w:rPr>
        <w:t>„</w:t>
      </w:r>
      <w:r w:rsidR="00DA5D40" w:rsidRPr="00CF026A">
        <w:rPr>
          <w:rFonts w:eastAsia="MS Mincho"/>
          <w:szCs w:val="24"/>
          <w:lang w:eastAsia="ja-JP"/>
        </w:rPr>
        <w:t xml:space="preserve">9) sudaryti palankesnes sąlygas prieglobsčio prašytojams, turintiems teisę dirbti ir ketinantiems dirbti Lietuvos Respublikoje pagal darbo sutartį, patekti į darbo rinką ir iš dalies įgyvendinti Europos Parlamento ir Tarybos 2013 m. birželio 26 d. direktyvos 2013/33/ES, kuria nustatomos normos dėl tarptautinės apsaugos prašytojų priėmimo (nauja redakcija) nuostatas; </w:t>
      </w:r>
    </w:p>
    <w:p w14:paraId="2D9937D6" w14:textId="441A4104" w:rsidR="00DA5D40" w:rsidRPr="00CF026A" w:rsidRDefault="00DA5D40" w:rsidP="001638CA">
      <w:pPr>
        <w:spacing w:line="276" w:lineRule="auto"/>
        <w:ind w:firstLine="709"/>
        <w:rPr>
          <w:rFonts w:eastAsia="MS Mincho"/>
          <w:szCs w:val="24"/>
          <w:lang w:eastAsia="ja-JP"/>
        </w:rPr>
      </w:pPr>
      <w:r w:rsidRPr="00CF026A">
        <w:rPr>
          <w:rFonts w:eastAsia="MS Mincho"/>
          <w:szCs w:val="24"/>
          <w:lang w:eastAsia="ja-JP"/>
        </w:rPr>
        <w:t xml:space="preserve"> 10) nustatyti atvykimo išmoką iš užsienio pritrauktiems darbuotojams, siekiant kompensuoti dalį persikėlimo išlaidų ir išmoką darbdaviui, pritraukusiam darbuotoją iš užsienio, šio darbuotojo paieškos išlaidoms kompensuoti.</w:t>
      </w:r>
      <w:r w:rsidR="00BF0009" w:rsidRPr="00CF026A">
        <w:rPr>
          <w:rFonts w:eastAsia="MS Mincho"/>
          <w:szCs w:val="24"/>
          <w:lang w:eastAsia="ja-JP"/>
        </w:rPr>
        <w:t>“</w:t>
      </w:r>
    </w:p>
    <w:p w14:paraId="00F31C05" w14:textId="77777777" w:rsidR="005209C0" w:rsidRPr="00CF026A" w:rsidRDefault="005209C0" w:rsidP="002118C8">
      <w:pPr>
        <w:spacing w:line="276" w:lineRule="auto"/>
        <w:ind w:firstLine="720"/>
        <w:rPr>
          <w:rFonts w:eastAsia="MS Mincho"/>
          <w:szCs w:val="24"/>
          <w:lang w:eastAsia="ja-JP"/>
        </w:rPr>
      </w:pPr>
      <w:r w:rsidRPr="00CF026A">
        <w:rPr>
          <w:rFonts w:eastAsia="MS Mincho"/>
          <w:szCs w:val="24"/>
          <w:lang w:eastAsia="ja-JP"/>
        </w:rPr>
        <w:t>A</w:t>
      </w:r>
      <w:r w:rsidR="00DA5D40" w:rsidRPr="00CF026A">
        <w:rPr>
          <w:rFonts w:eastAsia="MS Mincho"/>
          <w:szCs w:val="24"/>
          <w:lang w:eastAsia="ja-JP"/>
        </w:rPr>
        <w:t xml:space="preserve">titinkamai, įstatyme buvo įtvirtintos nuostatos, siekiančios skirtingų tikslų: </w:t>
      </w:r>
    </w:p>
    <w:p w14:paraId="4353B65D" w14:textId="72564916" w:rsidR="00E86A27" w:rsidRPr="00CF026A" w:rsidRDefault="004C0F00" w:rsidP="002118C8">
      <w:pPr>
        <w:spacing w:line="276" w:lineRule="auto"/>
        <w:ind w:firstLine="720"/>
        <w:rPr>
          <w:rFonts w:eastAsia="MS Mincho"/>
          <w:szCs w:val="24"/>
          <w:lang w:eastAsia="ja-JP"/>
        </w:rPr>
      </w:pPr>
      <w:r w:rsidRPr="00CF026A">
        <w:rPr>
          <w:rFonts w:eastAsia="MS Mincho"/>
          <w:szCs w:val="24"/>
          <w:lang w:eastAsia="ja-JP"/>
        </w:rPr>
        <w:t xml:space="preserve">1. </w:t>
      </w:r>
      <w:r w:rsidR="00E86A27" w:rsidRPr="00CF026A">
        <w:rPr>
          <w:rFonts w:eastAsia="MS Mincho"/>
          <w:szCs w:val="24"/>
          <w:lang w:eastAsia="ja-JP"/>
        </w:rPr>
        <w:t>Pritraukti aukštos kvalifikacijos užsieniečius, susigrąžinti emigravusius Lietuvos Respublikos piliečius ir pritraukti užsienio investuotojus, kurie perkeltų ir savo aukštos kvalifikacijos darbuotojus, kompensuojant jiems dalį persikėlimo ar darbuotojo paieškos išlaidų;</w:t>
      </w:r>
    </w:p>
    <w:p w14:paraId="382BE243" w14:textId="77777777" w:rsidR="00BF0009" w:rsidRPr="00CF026A" w:rsidRDefault="005520BB" w:rsidP="002118C8">
      <w:pPr>
        <w:spacing w:line="276" w:lineRule="auto"/>
        <w:ind w:firstLine="720"/>
        <w:rPr>
          <w:rFonts w:eastAsia="MS Mincho"/>
          <w:szCs w:val="24"/>
          <w:lang w:eastAsia="ja-JP"/>
        </w:rPr>
      </w:pPr>
      <w:r w:rsidRPr="00CF026A">
        <w:rPr>
          <w:rFonts w:eastAsia="MS Mincho"/>
          <w:szCs w:val="24"/>
          <w:lang w:eastAsia="ja-JP"/>
        </w:rPr>
        <w:t xml:space="preserve">2. </w:t>
      </w:r>
      <w:r w:rsidR="00DA5D40" w:rsidRPr="00CF026A">
        <w:rPr>
          <w:rFonts w:eastAsia="MS Mincho"/>
          <w:szCs w:val="24"/>
          <w:lang w:eastAsia="ja-JP"/>
        </w:rPr>
        <w:t>Padėti ukrainiečiams, atvykusiems po karinių veiksmų pradžios.</w:t>
      </w:r>
      <w:r w:rsidRPr="00CF026A">
        <w:rPr>
          <w:rFonts w:eastAsia="MS Mincho"/>
          <w:szCs w:val="24"/>
          <w:lang w:eastAsia="ja-JP"/>
        </w:rPr>
        <w:t xml:space="preserve"> </w:t>
      </w:r>
      <w:r w:rsidR="00DA5D40" w:rsidRPr="00CF026A">
        <w:rPr>
          <w:rFonts w:eastAsia="MS Mincho"/>
          <w:szCs w:val="24"/>
          <w:lang w:eastAsia="ja-JP"/>
        </w:rPr>
        <w:t>Reaguojant į situaciją Ukrainoje, siekiama padėti Ukrainos Respublikos piliečiams, pasitraukusiems iš Ukrainos dėl Rusijos Federacijos karinių veiksmų</w:t>
      </w:r>
      <w:r w:rsidRPr="00CF026A">
        <w:rPr>
          <w:rFonts w:eastAsia="MS Mincho"/>
          <w:szCs w:val="24"/>
          <w:lang w:eastAsia="ja-JP"/>
        </w:rPr>
        <w:t xml:space="preserve">, </w:t>
      </w:r>
      <w:r w:rsidR="00DA5D40" w:rsidRPr="00CF026A">
        <w:rPr>
          <w:rFonts w:eastAsia="MS Mincho"/>
          <w:szCs w:val="24"/>
          <w:lang w:eastAsia="ja-JP"/>
        </w:rPr>
        <w:t>įstatymo projekte numat</w:t>
      </w:r>
      <w:r w:rsidRPr="00CF026A">
        <w:rPr>
          <w:rFonts w:eastAsia="MS Mincho"/>
          <w:szCs w:val="24"/>
          <w:lang w:eastAsia="ja-JP"/>
        </w:rPr>
        <w:t>ant</w:t>
      </w:r>
      <w:r w:rsidR="00DA5D40" w:rsidRPr="00CF026A">
        <w:rPr>
          <w:rFonts w:eastAsia="MS Mincho"/>
          <w:szCs w:val="24"/>
          <w:lang w:eastAsia="ja-JP"/>
        </w:rPr>
        <w:t xml:space="preserve"> lengvesnes sąlygas atvykimo išmoką gauti Ukrainos Respublikos piliečiams, atvykusiems į Lietuvą po karinių veiksmų Ukrainoje pradžios ir įsidarbinusiems Lietuvoje. </w:t>
      </w:r>
      <w:r w:rsidR="00DA5D40" w:rsidRPr="00CF026A">
        <w:rPr>
          <w:rFonts w:eastAsia="MS Mincho"/>
          <w:i/>
          <w:iCs/>
          <w:szCs w:val="24"/>
          <w:lang w:eastAsia="ja-JP"/>
        </w:rPr>
        <w:t>Ši išmoka būtų skiriama ir išmokama laikinai – kol išliks susidariusi situacija ir migracijos dėl karinių veiksmų srautas</w:t>
      </w:r>
      <w:r w:rsidR="00DA5D40" w:rsidRPr="00CF026A">
        <w:rPr>
          <w:rFonts w:eastAsia="MS Mincho"/>
          <w:szCs w:val="24"/>
          <w:lang w:eastAsia="ja-JP"/>
        </w:rPr>
        <w:t>.</w:t>
      </w:r>
      <w:r w:rsidRPr="00CF026A">
        <w:rPr>
          <w:rFonts w:eastAsia="MS Mincho"/>
          <w:szCs w:val="24"/>
          <w:lang w:eastAsia="ja-JP"/>
        </w:rPr>
        <w:t xml:space="preserve"> </w:t>
      </w:r>
    </w:p>
    <w:p w14:paraId="0478624A" w14:textId="09BA67D6" w:rsidR="00E8427C" w:rsidRPr="00CF026A" w:rsidRDefault="00BF0009" w:rsidP="002118C8">
      <w:pPr>
        <w:spacing w:line="276" w:lineRule="auto"/>
        <w:ind w:firstLine="720"/>
        <w:rPr>
          <w:rFonts w:eastAsia="MS Mincho"/>
          <w:szCs w:val="24"/>
          <w:lang w:eastAsia="ja-JP"/>
        </w:rPr>
      </w:pPr>
      <w:r w:rsidRPr="00CF026A">
        <w:rPr>
          <w:rFonts w:eastAsia="MS Mincho"/>
          <w:szCs w:val="24"/>
          <w:lang w:eastAsia="ja-JP"/>
        </w:rPr>
        <w:t>Pažymime, kad į</w:t>
      </w:r>
      <w:r w:rsidR="00E8427C" w:rsidRPr="00CF026A">
        <w:rPr>
          <w:rFonts w:eastAsia="MS Mincho"/>
          <w:szCs w:val="24"/>
          <w:lang w:eastAsia="ja-JP"/>
        </w:rPr>
        <w:t>statymo 48</w:t>
      </w:r>
      <w:r w:rsidR="00E8427C" w:rsidRPr="00CF026A">
        <w:rPr>
          <w:rFonts w:eastAsia="MS Mincho"/>
          <w:szCs w:val="24"/>
          <w:vertAlign w:val="superscript"/>
          <w:lang w:eastAsia="ja-JP"/>
        </w:rPr>
        <w:t xml:space="preserve">1 </w:t>
      </w:r>
      <w:r w:rsidR="00E8427C" w:rsidRPr="00CF026A">
        <w:rPr>
          <w:rFonts w:eastAsia="MS Mincho"/>
          <w:szCs w:val="24"/>
          <w:lang w:eastAsia="ja-JP"/>
        </w:rPr>
        <w:t>straipsnio nuostata dėl išimties taik</w:t>
      </w:r>
      <w:r w:rsidR="00FE3817">
        <w:rPr>
          <w:rFonts w:eastAsia="MS Mincho"/>
          <w:szCs w:val="24"/>
          <w:lang w:eastAsia="ja-JP"/>
        </w:rPr>
        <w:t>y</w:t>
      </w:r>
      <w:r w:rsidR="00E8427C" w:rsidRPr="00CF026A">
        <w:rPr>
          <w:rFonts w:eastAsia="MS Mincho"/>
          <w:szCs w:val="24"/>
          <w:lang w:eastAsia="ja-JP"/>
        </w:rPr>
        <w:t xml:space="preserve">mo Ukrainos piliečiams dėl atvykimo išmokų mokėjimo yra taikoma tik tiems Ukrainos piliečiams, kurie iš Ukrainos pasitraukė dėl karo veiksmų po 2022 m. vasario 24 d. Kiti Ukrainos piliečiai išmokas gauna tokiomis pačiomis sąlygomis kaip ir kiti išmokų gavėjai: 2024 m. iš 15 Ukrainos piliečių, gavusių išmokas, išimtis buvo pritaikyta 11 asmenų, 2025 m. iš 6 ukrainiečių, gavusių išmokas, išimtis pritaikyta </w:t>
      </w:r>
      <w:r w:rsidR="00E937E6" w:rsidRPr="00CF026A">
        <w:rPr>
          <w:rFonts w:eastAsia="MS Mincho"/>
          <w:szCs w:val="24"/>
          <w:lang w:eastAsia="ja-JP"/>
        </w:rPr>
        <w:t>3</w:t>
      </w:r>
      <w:r w:rsidR="00E8427C" w:rsidRPr="00CF026A">
        <w:rPr>
          <w:rFonts w:eastAsia="MS Mincho"/>
          <w:szCs w:val="24"/>
          <w:lang w:eastAsia="ja-JP"/>
        </w:rPr>
        <w:t xml:space="preserve"> Ukrainos piliečiams (pagal profesijas – operatorius, buhalteris, medicinos gydytojas). </w:t>
      </w:r>
    </w:p>
    <w:p w14:paraId="78BCF012" w14:textId="75BB94C6" w:rsidR="00E8427C" w:rsidRPr="00CF026A" w:rsidRDefault="00E8427C" w:rsidP="002118C8">
      <w:pPr>
        <w:spacing w:line="276" w:lineRule="auto"/>
        <w:ind w:firstLine="720"/>
        <w:rPr>
          <w:rFonts w:eastAsia="MS Mincho"/>
          <w:szCs w:val="24"/>
          <w:lang w:eastAsia="ja-JP"/>
        </w:rPr>
      </w:pPr>
      <w:r w:rsidRPr="00CF026A">
        <w:rPr>
          <w:rFonts w:eastAsia="MS Mincho"/>
          <w:szCs w:val="24"/>
          <w:lang w:eastAsia="ja-JP"/>
        </w:rPr>
        <w:t xml:space="preserve">Atsižvelgiant į aukščiau išdėstytą, manytina, kad </w:t>
      </w:r>
      <w:r w:rsidR="006334C7">
        <w:rPr>
          <w:rFonts w:eastAsia="MS Mincho"/>
          <w:szCs w:val="24"/>
          <w:lang w:eastAsia="ja-JP"/>
        </w:rPr>
        <w:t xml:space="preserve">E.Spilos </w:t>
      </w:r>
      <w:r w:rsidRPr="00CF026A">
        <w:rPr>
          <w:rFonts w:eastAsia="MS Mincho"/>
          <w:szCs w:val="24"/>
          <w:lang w:eastAsia="ja-JP"/>
        </w:rPr>
        <w:t xml:space="preserve">prašyme </w:t>
      </w:r>
      <w:r w:rsidR="00E74D10">
        <w:rPr>
          <w:rFonts w:eastAsia="MS Mincho"/>
          <w:szCs w:val="24"/>
          <w:lang w:eastAsia="ja-JP"/>
        </w:rPr>
        <w:t>išdėstytas pagrindas</w:t>
      </w:r>
      <w:r w:rsidR="00016C6A">
        <w:rPr>
          <w:rFonts w:eastAsia="MS Mincho"/>
          <w:szCs w:val="24"/>
          <w:lang w:eastAsia="ja-JP"/>
        </w:rPr>
        <w:t xml:space="preserve"> keisti įstatymą</w:t>
      </w:r>
      <w:r w:rsidR="00FE3817">
        <w:rPr>
          <w:rFonts w:eastAsia="MS Mincho"/>
          <w:szCs w:val="24"/>
          <w:lang w:eastAsia="ja-JP"/>
        </w:rPr>
        <w:t xml:space="preserve"> dėl lietuvių diskriminacijos</w:t>
      </w:r>
      <w:r w:rsidR="00016C6A">
        <w:rPr>
          <w:rFonts w:eastAsia="MS Mincho"/>
          <w:szCs w:val="24"/>
          <w:lang w:eastAsia="ja-JP"/>
        </w:rPr>
        <w:t xml:space="preserve"> nėra pagrįstas</w:t>
      </w:r>
      <w:r w:rsidRPr="00CF026A">
        <w:rPr>
          <w:rFonts w:eastAsia="MS Mincho"/>
          <w:szCs w:val="24"/>
          <w:lang w:eastAsia="ja-JP"/>
        </w:rPr>
        <w:t xml:space="preserve">. Nustatant lengvatines sąlygas įstatyme buvo siekiama padėti Ukrainos piliečiams, pasitraukusiems iš Ukrainos dėl Rusijos Federacijos karinių </w:t>
      </w:r>
      <w:r w:rsidRPr="00CF026A">
        <w:rPr>
          <w:rFonts w:eastAsia="MS Mincho"/>
          <w:szCs w:val="24"/>
          <w:lang w:eastAsia="ja-JP"/>
        </w:rPr>
        <w:lastRenderedPageBreak/>
        <w:t>veiksmų ir įsidarbinusiems Lietuvos Respublikoje bei aiškiai nurodyta sąlyga, kad  ši išmoka bus skiriama ir išmokama laikinai – kol išliks susidariusi karo veiksmų Ukrainoje situacija ir migracijos dėl karinių veiksmų toje šalyje srautas. Pasikeitus šiai sąlygai ir pasibaigus karo veiksmams Ukrainoje</w:t>
      </w:r>
      <w:r w:rsidR="001638CA" w:rsidRPr="00CF026A">
        <w:rPr>
          <w:rFonts w:eastAsia="MS Mincho"/>
          <w:szCs w:val="24"/>
          <w:lang w:eastAsia="ja-JP"/>
        </w:rPr>
        <w:t>,</w:t>
      </w:r>
      <w:r w:rsidRPr="00CF026A">
        <w:rPr>
          <w:rFonts w:eastAsia="MS Mincho"/>
          <w:szCs w:val="24"/>
          <w:lang w:eastAsia="ja-JP"/>
        </w:rPr>
        <w:t xml:space="preserve"> Užimtumo įstatymo </w:t>
      </w:r>
      <w:r w:rsidR="00605893" w:rsidRPr="00CF026A">
        <w:rPr>
          <w:rFonts w:eastAsia="MS Mincho"/>
          <w:szCs w:val="24"/>
          <w:lang w:eastAsia="ja-JP"/>
        </w:rPr>
        <w:t>48</w:t>
      </w:r>
      <w:r w:rsidR="00605893" w:rsidRPr="00CF026A">
        <w:rPr>
          <w:rFonts w:eastAsia="MS Mincho"/>
          <w:szCs w:val="24"/>
          <w:vertAlign w:val="superscript"/>
          <w:lang w:eastAsia="ja-JP"/>
        </w:rPr>
        <w:t>1</w:t>
      </w:r>
      <w:r w:rsidRPr="00CF026A">
        <w:rPr>
          <w:rFonts w:eastAsia="MS Mincho"/>
          <w:szCs w:val="24"/>
          <w:lang w:eastAsia="ja-JP"/>
        </w:rPr>
        <w:t xml:space="preserve"> stra</w:t>
      </w:r>
      <w:r w:rsidR="00605893" w:rsidRPr="00CF026A">
        <w:rPr>
          <w:rFonts w:eastAsia="MS Mincho"/>
          <w:szCs w:val="24"/>
          <w:lang w:eastAsia="ja-JP"/>
        </w:rPr>
        <w:t>i</w:t>
      </w:r>
      <w:r w:rsidRPr="00CF026A">
        <w:rPr>
          <w:rFonts w:eastAsia="MS Mincho"/>
          <w:szCs w:val="24"/>
          <w:lang w:eastAsia="ja-JP"/>
        </w:rPr>
        <w:t xml:space="preserve">psnio </w:t>
      </w:r>
      <w:r w:rsidR="00605893" w:rsidRPr="00CF026A">
        <w:rPr>
          <w:rFonts w:eastAsia="MS Mincho"/>
          <w:szCs w:val="24"/>
          <w:lang w:eastAsia="ja-JP"/>
        </w:rPr>
        <w:t xml:space="preserve">2 dalies </w:t>
      </w:r>
      <w:r w:rsidRPr="00CF026A">
        <w:rPr>
          <w:rFonts w:eastAsia="MS Mincho"/>
          <w:szCs w:val="24"/>
          <w:lang w:eastAsia="ja-JP"/>
        </w:rPr>
        <w:t>nuostatos bus peržiūrimos ir keičiamos.</w:t>
      </w:r>
    </w:p>
    <w:p w14:paraId="5A37C5E2" w14:textId="4D3561F9" w:rsidR="001D030E" w:rsidRPr="001D030E" w:rsidRDefault="00294DE2" w:rsidP="001D030E">
      <w:pPr>
        <w:spacing w:line="276" w:lineRule="auto"/>
        <w:ind w:firstLine="720"/>
        <w:rPr>
          <w:rFonts w:eastAsia="MS Mincho"/>
          <w:szCs w:val="24"/>
          <w:lang w:eastAsia="ja-JP"/>
        </w:rPr>
      </w:pPr>
      <w:r>
        <w:rPr>
          <w:rFonts w:eastAsia="MS Mincho"/>
          <w:szCs w:val="24"/>
          <w:lang w:eastAsia="ja-JP"/>
        </w:rPr>
        <w:t xml:space="preserve">Atsakydami į </w:t>
      </w:r>
      <w:r w:rsidR="00DE7780">
        <w:rPr>
          <w:rFonts w:eastAsia="MS Mincho"/>
          <w:szCs w:val="24"/>
          <w:lang w:eastAsia="ja-JP"/>
        </w:rPr>
        <w:t>P</w:t>
      </w:r>
      <w:r>
        <w:rPr>
          <w:rFonts w:eastAsia="MS Mincho"/>
          <w:szCs w:val="24"/>
          <w:lang w:eastAsia="ja-JP"/>
        </w:rPr>
        <w:t xml:space="preserve">eticijų komisijos prašymą </w:t>
      </w:r>
      <w:r w:rsidR="00DE7780">
        <w:rPr>
          <w:rFonts w:eastAsia="MS Mincho"/>
          <w:szCs w:val="24"/>
          <w:lang w:eastAsia="ja-JP"/>
        </w:rPr>
        <w:t>informuoti dėl šiuo metu rengiamų teisės aktų pakeitimų</w:t>
      </w:r>
      <w:r w:rsidR="00E80B18">
        <w:rPr>
          <w:rFonts w:eastAsia="MS Mincho"/>
          <w:szCs w:val="24"/>
          <w:lang w:eastAsia="ja-JP"/>
        </w:rPr>
        <w:t xml:space="preserve">, </w:t>
      </w:r>
      <w:r w:rsidR="005976E1" w:rsidRPr="005976E1">
        <w:rPr>
          <w:rFonts w:eastAsia="MS Mincho"/>
          <w:szCs w:val="24"/>
          <w:lang w:eastAsia="ja-JP"/>
        </w:rPr>
        <w:t>susij</w:t>
      </w:r>
      <w:r w:rsidR="005976E1">
        <w:rPr>
          <w:rFonts w:eastAsia="MS Mincho"/>
          <w:szCs w:val="24"/>
          <w:lang w:eastAsia="ja-JP"/>
        </w:rPr>
        <w:t>usių</w:t>
      </w:r>
      <w:r w:rsidR="005976E1" w:rsidRPr="005976E1">
        <w:rPr>
          <w:rFonts w:eastAsia="MS Mincho"/>
          <w:szCs w:val="24"/>
          <w:lang w:eastAsia="ja-JP"/>
        </w:rPr>
        <w:t xml:space="preserve"> su Lietuvos Respublikos Seimo socialinių reikalų ir darbo komiteto 2025 m. gegužės 14 d. išvadoje Nr. 103-P-16 teiktu pasiūlymu apsvarstyti galimybę didesnes išmokas mokėti iš užsienio pritrauktiems aukštą pridėtinę vertę kuriantiems darbuotojams – Lietuvos piliečiams, siekiant skatinti jų sugrįžimą</w:t>
      </w:r>
      <w:r w:rsidR="005976E1">
        <w:rPr>
          <w:rFonts w:eastAsia="MS Mincho"/>
          <w:szCs w:val="24"/>
          <w:lang w:eastAsia="ja-JP"/>
        </w:rPr>
        <w:t xml:space="preserve"> (toliau – komiteto pasiūlymas), informuojame, kad a</w:t>
      </w:r>
      <w:r w:rsidR="001D030E" w:rsidRPr="001D030E">
        <w:rPr>
          <w:rFonts w:eastAsia="MS Mincho"/>
          <w:szCs w:val="24"/>
          <w:lang w:eastAsia="ja-JP"/>
        </w:rPr>
        <w:t xml:space="preserve">tsižvelgiant į </w:t>
      </w:r>
      <w:r w:rsidR="00C041EE">
        <w:rPr>
          <w:rFonts w:eastAsia="MS Mincho"/>
          <w:szCs w:val="24"/>
          <w:lang w:eastAsia="ja-JP"/>
        </w:rPr>
        <w:t xml:space="preserve">Užimtumo įstatymo </w:t>
      </w:r>
      <w:r w:rsidR="00C041EE" w:rsidRPr="00C041EE">
        <w:rPr>
          <w:rFonts w:eastAsia="MS Mincho"/>
          <w:szCs w:val="24"/>
          <w:lang w:eastAsia="ja-JP"/>
        </w:rPr>
        <w:t>48</w:t>
      </w:r>
      <w:r w:rsidR="00C041EE" w:rsidRPr="00C041EE">
        <w:rPr>
          <w:rFonts w:eastAsia="MS Mincho"/>
          <w:szCs w:val="24"/>
          <w:vertAlign w:val="superscript"/>
          <w:lang w:eastAsia="ja-JP"/>
        </w:rPr>
        <w:t>1</w:t>
      </w:r>
      <w:r w:rsidR="00C041EE" w:rsidRPr="00C041EE">
        <w:rPr>
          <w:rFonts w:eastAsia="MS Mincho"/>
          <w:szCs w:val="24"/>
          <w:lang w:eastAsia="ja-JP"/>
        </w:rPr>
        <w:t xml:space="preserve"> ir 48</w:t>
      </w:r>
      <w:r w:rsidR="00C041EE" w:rsidRPr="00C041EE">
        <w:rPr>
          <w:rFonts w:eastAsia="MS Mincho"/>
          <w:szCs w:val="24"/>
          <w:vertAlign w:val="superscript"/>
          <w:lang w:eastAsia="ja-JP"/>
        </w:rPr>
        <w:t>2</w:t>
      </w:r>
      <w:r w:rsidR="00C041EE" w:rsidRPr="00C041EE">
        <w:rPr>
          <w:rFonts w:eastAsia="MS Mincho"/>
          <w:szCs w:val="24"/>
          <w:lang w:eastAsia="ja-JP"/>
        </w:rPr>
        <w:t xml:space="preserve"> </w:t>
      </w:r>
      <w:r w:rsidR="00C041EE">
        <w:rPr>
          <w:rFonts w:eastAsia="MS Mincho"/>
          <w:szCs w:val="24"/>
          <w:lang w:eastAsia="ja-JP"/>
        </w:rPr>
        <w:t xml:space="preserve">straipsniuose nustatytas sąlygas gauti atvykimo išmokas, bei į </w:t>
      </w:r>
      <w:r w:rsidR="00016C6A">
        <w:rPr>
          <w:rFonts w:eastAsia="MS Mincho"/>
          <w:szCs w:val="24"/>
          <w:lang w:eastAsia="ja-JP"/>
        </w:rPr>
        <w:t xml:space="preserve">aukščiau minėtą </w:t>
      </w:r>
      <w:r w:rsidR="001D030E" w:rsidRPr="001D030E">
        <w:rPr>
          <w:rFonts w:eastAsia="MS Mincho"/>
          <w:szCs w:val="24"/>
          <w:lang w:eastAsia="ja-JP"/>
        </w:rPr>
        <w:t xml:space="preserve">Užimtumo įstatymo projekto </w:t>
      </w:r>
      <w:r w:rsidR="00016C6A">
        <w:rPr>
          <w:rFonts w:eastAsia="MS Mincho"/>
          <w:szCs w:val="24"/>
          <w:lang w:eastAsia="ja-JP"/>
        </w:rPr>
        <w:t xml:space="preserve">aiškinamojo rašto </w:t>
      </w:r>
      <w:r w:rsidR="001D030E" w:rsidRPr="001D030E">
        <w:rPr>
          <w:rFonts w:eastAsia="MS Mincho"/>
          <w:szCs w:val="24"/>
          <w:lang w:eastAsia="ja-JP"/>
        </w:rPr>
        <w:t xml:space="preserve">uždavinyje Nr. 10 nurodytą atvykimo išmokų </w:t>
      </w:r>
      <w:r w:rsidR="00016C6A">
        <w:rPr>
          <w:rFonts w:eastAsia="MS Mincho"/>
          <w:szCs w:val="24"/>
          <w:lang w:eastAsia="ja-JP"/>
        </w:rPr>
        <w:t xml:space="preserve">mokėjimo </w:t>
      </w:r>
      <w:r w:rsidR="001D030E" w:rsidRPr="001D030E">
        <w:rPr>
          <w:rFonts w:eastAsia="MS Mincho"/>
          <w:szCs w:val="24"/>
          <w:lang w:eastAsia="ja-JP"/>
        </w:rPr>
        <w:t xml:space="preserve">tikslą – </w:t>
      </w:r>
      <w:r w:rsidR="00DB5CEB" w:rsidRPr="00DB5CEB">
        <w:rPr>
          <w:rFonts w:eastAsia="MS Mincho"/>
          <w:szCs w:val="24"/>
          <w:lang w:eastAsia="ja-JP"/>
        </w:rPr>
        <w:t xml:space="preserve">nustatyti atvykimo išmoką iš užsienio pritrauktiems darbuotojams, </w:t>
      </w:r>
      <w:r w:rsidR="00DB5CEB" w:rsidRPr="00DB5CEB">
        <w:rPr>
          <w:rFonts w:eastAsia="MS Mincho"/>
          <w:i/>
          <w:iCs/>
          <w:szCs w:val="24"/>
          <w:lang w:eastAsia="ja-JP"/>
        </w:rPr>
        <w:t>siekiant kompensuoti dalį persikėlimo išlaidų</w:t>
      </w:r>
      <w:r w:rsidR="00DB5CEB" w:rsidRPr="00DB5CEB">
        <w:rPr>
          <w:rFonts w:eastAsia="MS Mincho"/>
          <w:szCs w:val="24"/>
          <w:lang w:eastAsia="ja-JP"/>
        </w:rPr>
        <w:t xml:space="preserve"> ir išmoką darbdaviui, pritraukusiam darbuotoją iš užsienio, šio darbuotojo paieškos išlaidoms kompensuoti</w:t>
      </w:r>
      <w:r w:rsidR="001D030E" w:rsidRPr="001D030E">
        <w:rPr>
          <w:rFonts w:eastAsia="MS Mincho"/>
          <w:szCs w:val="24"/>
          <w:lang w:eastAsia="ja-JP"/>
        </w:rPr>
        <w:t xml:space="preserve">, šiuo metu Lietuvos Respublikos Vyriausybei pateiktame įstatymo pakeitimo projekte, įgyvendinančiame Vyriausybės išvadą dėl </w:t>
      </w:r>
      <w:r w:rsidR="001D030E" w:rsidRPr="001D030E">
        <w:rPr>
          <w:rFonts w:eastAsia="MS Mincho"/>
          <w:bCs/>
          <w:szCs w:val="24"/>
          <w:lang w:eastAsia="ja-JP"/>
        </w:rPr>
        <w:t>Lietuvos Respublikos Vyriausybės 2025 m. gegužės 7 d. nutarimo Nr. 280 „Dėl Lietuvos Respublikos užimtumo įstatymo Nr. XII-2470 1, 12, 16, 20, 22, 24, 28, 29, 30, 31, 36, 37, 38, 39</w:t>
      </w:r>
      <w:r w:rsidR="001D030E" w:rsidRPr="001D030E">
        <w:rPr>
          <w:rFonts w:eastAsia="MS Mincho"/>
          <w:bCs/>
          <w:szCs w:val="24"/>
          <w:vertAlign w:val="superscript"/>
          <w:lang w:eastAsia="ja-JP"/>
        </w:rPr>
        <w:t>1</w:t>
      </w:r>
      <w:r w:rsidR="001D030E" w:rsidRPr="001D030E">
        <w:rPr>
          <w:rFonts w:eastAsia="MS Mincho"/>
          <w:bCs/>
          <w:szCs w:val="24"/>
          <w:lang w:eastAsia="ja-JP"/>
        </w:rPr>
        <w:t>, 40, 44, 46, 47, 48, 48</w:t>
      </w:r>
      <w:r w:rsidR="001D030E" w:rsidRPr="001D030E">
        <w:rPr>
          <w:rFonts w:eastAsia="MS Mincho"/>
          <w:bCs/>
          <w:szCs w:val="24"/>
          <w:vertAlign w:val="superscript"/>
          <w:lang w:eastAsia="ja-JP"/>
        </w:rPr>
        <w:t>1</w:t>
      </w:r>
      <w:r w:rsidR="001D030E" w:rsidRPr="001D030E">
        <w:rPr>
          <w:rFonts w:eastAsia="MS Mincho"/>
          <w:bCs/>
          <w:szCs w:val="24"/>
          <w:lang w:eastAsia="ja-JP"/>
        </w:rPr>
        <w:t xml:space="preserve"> straipsnių ir priedo pakeitimo ir įstatymo papildymo 39</w:t>
      </w:r>
      <w:r w:rsidR="001D030E" w:rsidRPr="001D030E">
        <w:rPr>
          <w:rFonts w:eastAsia="MS Mincho"/>
          <w:bCs/>
          <w:szCs w:val="24"/>
          <w:vertAlign w:val="superscript"/>
          <w:lang w:eastAsia="ja-JP"/>
        </w:rPr>
        <w:t>2</w:t>
      </w:r>
      <w:r w:rsidR="001D030E" w:rsidRPr="001D030E">
        <w:rPr>
          <w:rFonts w:eastAsia="MS Mincho"/>
          <w:bCs/>
          <w:szCs w:val="24"/>
          <w:lang w:eastAsia="ja-JP"/>
        </w:rPr>
        <w:t>, 39</w:t>
      </w:r>
      <w:r w:rsidR="001D030E" w:rsidRPr="001D030E">
        <w:rPr>
          <w:rFonts w:eastAsia="MS Mincho"/>
          <w:bCs/>
          <w:szCs w:val="24"/>
          <w:vertAlign w:val="superscript"/>
          <w:lang w:eastAsia="ja-JP"/>
        </w:rPr>
        <w:t>3</w:t>
      </w:r>
      <w:r w:rsidR="001D030E" w:rsidRPr="001D030E">
        <w:rPr>
          <w:rFonts w:eastAsia="MS Mincho"/>
          <w:bCs/>
          <w:szCs w:val="24"/>
          <w:lang w:eastAsia="ja-JP"/>
        </w:rPr>
        <w:t xml:space="preserve"> ir 48</w:t>
      </w:r>
      <w:r w:rsidR="001D030E" w:rsidRPr="001D030E">
        <w:rPr>
          <w:rFonts w:eastAsia="MS Mincho"/>
          <w:bCs/>
          <w:szCs w:val="24"/>
          <w:vertAlign w:val="superscript"/>
          <w:lang w:eastAsia="ja-JP"/>
        </w:rPr>
        <w:t>2</w:t>
      </w:r>
      <w:r w:rsidR="001D030E" w:rsidRPr="001D030E">
        <w:rPr>
          <w:rFonts w:eastAsia="MS Mincho"/>
          <w:bCs/>
          <w:szCs w:val="24"/>
          <w:lang w:eastAsia="ja-JP"/>
        </w:rPr>
        <w:t xml:space="preserve"> straipsniais įstatymo Nr. XIV-1106 25 straipsnio pakeitimo įstatymo projekto Nr. XVP-195, atsižvelgti į </w:t>
      </w:r>
      <w:r w:rsidR="005976E1">
        <w:rPr>
          <w:rFonts w:eastAsia="MS Mincho"/>
          <w:szCs w:val="24"/>
          <w:lang w:eastAsia="ja-JP"/>
        </w:rPr>
        <w:t>komiteto pasiūlymą</w:t>
      </w:r>
      <w:r w:rsidR="001D030E" w:rsidRPr="001D030E">
        <w:rPr>
          <w:rFonts w:eastAsia="MS Mincho"/>
          <w:szCs w:val="24"/>
          <w:lang w:eastAsia="ja-JP"/>
        </w:rPr>
        <w:t xml:space="preserve"> nėra numatyta.</w:t>
      </w:r>
    </w:p>
    <w:p w14:paraId="45690C9A" w14:textId="77777777" w:rsidR="00605893" w:rsidRPr="00CF026A" w:rsidRDefault="00605893" w:rsidP="002118C8">
      <w:pPr>
        <w:spacing w:line="276" w:lineRule="auto"/>
        <w:ind w:firstLine="720"/>
        <w:rPr>
          <w:rFonts w:eastAsia="MS Mincho"/>
          <w:szCs w:val="24"/>
          <w:lang w:eastAsia="ja-JP"/>
        </w:rPr>
      </w:pPr>
    </w:p>
    <w:p w14:paraId="2514D1F5" w14:textId="77777777" w:rsidR="002118C8" w:rsidRPr="00CF026A" w:rsidRDefault="002118C8" w:rsidP="002118C8">
      <w:pPr>
        <w:spacing w:line="276" w:lineRule="auto"/>
        <w:ind w:firstLine="720"/>
        <w:rPr>
          <w:rFonts w:eastAsia="MS Mincho"/>
          <w:szCs w:val="24"/>
          <w:lang w:eastAsia="ja-JP"/>
        </w:rPr>
      </w:pPr>
    </w:p>
    <w:p w14:paraId="3E31674F" w14:textId="77777777" w:rsidR="002118C8" w:rsidRPr="00CF026A" w:rsidRDefault="002118C8" w:rsidP="002118C8">
      <w:pPr>
        <w:spacing w:line="276" w:lineRule="auto"/>
        <w:ind w:firstLine="720"/>
        <w:rPr>
          <w:rFonts w:eastAsia="MS Mincho"/>
          <w:szCs w:val="24"/>
          <w:lang w:eastAsia="ja-JP"/>
        </w:rPr>
      </w:pPr>
    </w:p>
    <w:p w14:paraId="45FF986E" w14:textId="77777777" w:rsidR="002118C8" w:rsidRPr="00CF026A" w:rsidRDefault="002118C8" w:rsidP="002118C8">
      <w:pPr>
        <w:spacing w:line="276" w:lineRule="auto"/>
        <w:ind w:firstLine="720"/>
        <w:rPr>
          <w:rFonts w:eastAsia="MS Mincho"/>
          <w:szCs w:val="24"/>
          <w:lang w:eastAsia="ja-JP"/>
        </w:rPr>
      </w:pPr>
    </w:p>
    <w:p w14:paraId="62AAC85F" w14:textId="77777777" w:rsidR="002118C8" w:rsidRPr="00CF026A" w:rsidRDefault="002118C8" w:rsidP="002118C8">
      <w:pPr>
        <w:spacing w:line="276" w:lineRule="auto"/>
        <w:ind w:firstLine="720"/>
        <w:rPr>
          <w:rFonts w:eastAsia="MS Mincho"/>
          <w:szCs w:val="24"/>
          <w:lang w:eastAsia="ja-JP"/>
        </w:rPr>
      </w:pPr>
    </w:p>
    <w:p w14:paraId="4349E273" w14:textId="77777777" w:rsidR="002118C8" w:rsidRPr="00CF026A" w:rsidRDefault="002118C8" w:rsidP="002118C8">
      <w:pPr>
        <w:spacing w:line="276" w:lineRule="auto"/>
        <w:ind w:firstLine="720"/>
        <w:rPr>
          <w:rFonts w:eastAsia="MS Mincho"/>
          <w:szCs w:val="24"/>
          <w:lang w:eastAsia="ja-JP"/>
        </w:rPr>
      </w:pPr>
    </w:p>
    <w:p w14:paraId="684F31A0" w14:textId="77777777" w:rsidR="002118C8" w:rsidRPr="00CF026A" w:rsidRDefault="002118C8" w:rsidP="002118C8">
      <w:pPr>
        <w:spacing w:line="276" w:lineRule="auto"/>
        <w:ind w:firstLine="720"/>
        <w:rPr>
          <w:rFonts w:eastAsia="MS Mincho"/>
          <w:szCs w:val="24"/>
          <w:lang w:eastAsia="ja-JP"/>
        </w:rPr>
      </w:pPr>
    </w:p>
    <w:p w14:paraId="5C642836" w14:textId="77777777" w:rsidR="002118C8" w:rsidRPr="00CF026A" w:rsidRDefault="002118C8" w:rsidP="002118C8">
      <w:pPr>
        <w:spacing w:line="276" w:lineRule="auto"/>
        <w:ind w:firstLine="720"/>
        <w:rPr>
          <w:rFonts w:eastAsia="MS Mincho"/>
          <w:szCs w:val="24"/>
          <w:lang w:eastAsia="ja-JP"/>
        </w:rPr>
      </w:pPr>
    </w:p>
    <w:p w14:paraId="61D94D1B" w14:textId="77777777" w:rsidR="002118C8" w:rsidRPr="00CF026A" w:rsidRDefault="002118C8" w:rsidP="002118C8">
      <w:pPr>
        <w:spacing w:line="276" w:lineRule="auto"/>
        <w:ind w:firstLine="720"/>
        <w:rPr>
          <w:rFonts w:eastAsia="MS Mincho"/>
          <w:szCs w:val="24"/>
          <w:lang w:eastAsia="ja-JP"/>
        </w:rPr>
      </w:pPr>
    </w:p>
    <w:p w14:paraId="284A0622" w14:textId="77777777" w:rsidR="002118C8" w:rsidRPr="00CF026A" w:rsidRDefault="002118C8" w:rsidP="002118C8">
      <w:pPr>
        <w:spacing w:line="276" w:lineRule="auto"/>
        <w:ind w:firstLine="720"/>
        <w:rPr>
          <w:rFonts w:eastAsia="MS Mincho"/>
          <w:szCs w:val="24"/>
          <w:lang w:eastAsia="ja-JP"/>
        </w:rPr>
      </w:pPr>
    </w:p>
    <w:p w14:paraId="584380D3" w14:textId="77777777" w:rsidR="002118C8" w:rsidRPr="00CF026A" w:rsidRDefault="002118C8" w:rsidP="002118C8">
      <w:pPr>
        <w:spacing w:line="276" w:lineRule="auto"/>
        <w:ind w:firstLine="720"/>
        <w:rPr>
          <w:rFonts w:eastAsia="MS Mincho"/>
          <w:szCs w:val="24"/>
          <w:lang w:eastAsia="ja-JP"/>
        </w:rPr>
      </w:pPr>
    </w:p>
    <w:p w14:paraId="36630DC6" w14:textId="77777777" w:rsidR="002118C8" w:rsidRPr="00CF026A" w:rsidRDefault="002118C8" w:rsidP="002118C8">
      <w:pPr>
        <w:spacing w:line="276" w:lineRule="auto"/>
        <w:ind w:firstLine="720"/>
        <w:rPr>
          <w:rFonts w:eastAsia="MS Mincho"/>
          <w:szCs w:val="24"/>
          <w:lang w:eastAsia="ja-JP"/>
        </w:rPr>
      </w:pPr>
    </w:p>
    <w:p w14:paraId="5045E269" w14:textId="77777777" w:rsidR="002118C8" w:rsidRPr="00CF026A" w:rsidRDefault="002118C8" w:rsidP="002118C8">
      <w:pPr>
        <w:spacing w:line="276" w:lineRule="auto"/>
        <w:ind w:firstLine="720"/>
        <w:rPr>
          <w:rFonts w:eastAsia="MS Mincho"/>
          <w:szCs w:val="24"/>
          <w:lang w:eastAsia="ja-JP"/>
        </w:rPr>
      </w:pPr>
    </w:p>
    <w:p w14:paraId="710ED556" w14:textId="77777777" w:rsidR="002118C8" w:rsidRPr="00CF026A" w:rsidRDefault="002118C8" w:rsidP="002118C8">
      <w:pPr>
        <w:spacing w:line="276" w:lineRule="auto"/>
        <w:ind w:firstLine="720"/>
        <w:rPr>
          <w:rFonts w:eastAsia="MS Mincho"/>
          <w:szCs w:val="24"/>
          <w:lang w:eastAsia="ja-JP"/>
        </w:rPr>
      </w:pPr>
    </w:p>
    <w:p w14:paraId="6A1E4933" w14:textId="77777777" w:rsidR="002118C8" w:rsidRPr="00CF026A" w:rsidRDefault="002118C8" w:rsidP="002118C8">
      <w:pPr>
        <w:spacing w:line="276" w:lineRule="auto"/>
        <w:ind w:firstLine="720"/>
        <w:rPr>
          <w:rFonts w:eastAsia="MS Mincho"/>
          <w:szCs w:val="24"/>
          <w:lang w:eastAsia="ja-JP"/>
        </w:rPr>
      </w:pPr>
    </w:p>
    <w:p w14:paraId="234B8389" w14:textId="77777777" w:rsidR="002118C8" w:rsidRPr="00CF026A" w:rsidRDefault="002118C8" w:rsidP="002118C8">
      <w:pPr>
        <w:spacing w:line="276" w:lineRule="auto"/>
        <w:ind w:firstLine="720"/>
        <w:rPr>
          <w:rFonts w:eastAsia="MS Mincho"/>
          <w:szCs w:val="24"/>
          <w:lang w:eastAsia="ja-JP"/>
        </w:rPr>
      </w:pPr>
    </w:p>
    <w:p w14:paraId="19C5D739" w14:textId="77777777" w:rsidR="002118C8" w:rsidRPr="00CF026A" w:rsidRDefault="002118C8" w:rsidP="002118C8">
      <w:pPr>
        <w:spacing w:line="276" w:lineRule="auto"/>
        <w:ind w:firstLine="720"/>
        <w:rPr>
          <w:rFonts w:eastAsia="MS Mincho"/>
          <w:szCs w:val="24"/>
          <w:lang w:eastAsia="ja-JP"/>
        </w:rPr>
      </w:pPr>
    </w:p>
    <w:p w14:paraId="4F944049" w14:textId="77777777" w:rsidR="002118C8" w:rsidRPr="00CF026A" w:rsidRDefault="002118C8" w:rsidP="002118C8">
      <w:pPr>
        <w:spacing w:line="276" w:lineRule="auto"/>
        <w:ind w:firstLine="720"/>
        <w:rPr>
          <w:rFonts w:eastAsia="MS Mincho"/>
          <w:szCs w:val="24"/>
          <w:lang w:eastAsia="ja-JP"/>
        </w:rPr>
      </w:pPr>
    </w:p>
    <w:p w14:paraId="2C2CFCE5" w14:textId="77777777" w:rsidR="002118C8" w:rsidRPr="00CF026A" w:rsidRDefault="002118C8" w:rsidP="002118C8">
      <w:pPr>
        <w:spacing w:line="276" w:lineRule="auto"/>
        <w:ind w:firstLine="720"/>
        <w:rPr>
          <w:rFonts w:eastAsia="MS Mincho"/>
          <w:szCs w:val="24"/>
          <w:lang w:eastAsia="ja-JP"/>
        </w:rPr>
      </w:pPr>
    </w:p>
    <w:p w14:paraId="609251E2" w14:textId="77777777" w:rsidR="002118C8" w:rsidRPr="00CF026A" w:rsidRDefault="002118C8" w:rsidP="002118C8">
      <w:pPr>
        <w:spacing w:line="276" w:lineRule="auto"/>
        <w:ind w:firstLine="720"/>
        <w:rPr>
          <w:rFonts w:eastAsia="MS Mincho"/>
          <w:szCs w:val="24"/>
          <w:lang w:eastAsia="ja-JP"/>
        </w:rPr>
      </w:pPr>
    </w:p>
    <w:p w14:paraId="5AF42341" w14:textId="75EEB784" w:rsidR="008E1864" w:rsidRPr="00CF026A" w:rsidRDefault="008E1864" w:rsidP="00D330FD"/>
    <w:p w14:paraId="0B92F659" w14:textId="74EBE2CD" w:rsidR="000E7A7B" w:rsidRDefault="009D12D9" w:rsidP="009D12D9">
      <w:r w:rsidRPr="00CF026A">
        <w:t xml:space="preserve">Laura Galinytė, </w:t>
      </w:r>
      <w:r w:rsidR="00874F53" w:rsidRPr="00CF026A">
        <w:t>+370</w:t>
      </w:r>
      <w:r w:rsidRPr="00CF026A">
        <w:t xml:space="preserve"> 660 83114, el. p. laura.galinyte@eimin.lt</w:t>
      </w:r>
    </w:p>
    <w:sectPr w:rsidR="000E7A7B" w:rsidSect="00E937E6">
      <w:headerReference w:type="even" r:id="rId13"/>
      <w:headerReference w:type="default" r:id="rId14"/>
      <w:footerReference w:type="even" r:id="rId15"/>
      <w:footerReference w:type="default" r:id="rId16"/>
      <w:headerReference w:type="first" r:id="rId17"/>
      <w:footerReference w:type="first" r:id="rId18"/>
      <w:pgSz w:w="11906" w:h="16838" w:code="9"/>
      <w:pgMar w:top="1701" w:right="567" w:bottom="851"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00D0" w14:textId="77777777" w:rsidR="002D1B49" w:rsidRPr="00CF026A" w:rsidRDefault="002D1B49">
      <w:r w:rsidRPr="00CF026A">
        <w:separator/>
      </w:r>
    </w:p>
  </w:endnote>
  <w:endnote w:type="continuationSeparator" w:id="0">
    <w:p w14:paraId="64574F21" w14:textId="77777777" w:rsidR="002D1B49" w:rsidRPr="00CF026A" w:rsidRDefault="002D1B49">
      <w:r w:rsidRPr="00CF0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1" w14:textId="77777777" w:rsidR="00675A68" w:rsidRPr="00CF026A" w:rsidRDefault="00DA5F4A">
    <w:pPr>
      <w:pStyle w:val="Porat"/>
      <w:framePr w:wrap="around" w:vAnchor="text" w:hAnchor="margin" w:xAlign="center" w:y="1"/>
      <w:rPr>
        <w:rStyle w:val="Puslapionumeris"/>
      </w:rPr>
    </w:pPr>
    <w:r w:rsidRPr="00CF026A">
      <w:rPr>
        <w:rStyle w:val="Puslapionumeris"/>
      </w:rPr>
      <w:fldChar w:fldCharType="begin"/>
    </w:r>
    <w:r w:rsidR="00675A68" w:rsidRPr="00CF026A">
      <w:rPr>
        <w:rStyle w:val="Puslapionumeris"/>
      </w:rPr>
      <w:instrText xml:space="preserve">PAGE  </w:instrText>
    </w:r>
    <w:r w:rsidRPr="00CF026A">
      <w:rPr>
        <w:rStyle w:val="Puslapionumeris"/>
      </w:rPr>
      <w:fldChar w:fldCharType="separate"/>
    </w:r>
    <w:r w:rsidR="00675A68" w:rsidRPr="00CF026A">
      <w:rPr>
        <w:rStyle w:val="Puslapionumeris"/>
      </w:rPr>
      <w:t>1</w:t>
    </w:r>
    <w:r w:rsidRPr="00CF026A">
      <w:rPr>
        <w:rStyle w:val="Puslapionumeris"/>
      </w:rPr>
      <w:fldChar w:fldCharType="end"/>
    </w:r>
  </w:p>
  <w:p w14:paraId="18CA3D02" w14:textId="77777777" w:rsidR="00675A68" w:rsidRPr="00CF026A"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3" w14:textId="77777777" w:rsidR="00F24BDD" w:rsidRPr="00CF026A"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5" w14:textId="77777777" w:rsidR="009D2E5B" w:rsidRPr="00CF026A" w:rsidRDefault="00A22FAF" w:rsidP="00624FB4">
    <w:pPr>
      <w:pStyle w:val="Porat"/>
      <w:tabs>
        <w:tab w:val="clear" w:pos="8306"/>
        <w:tab w:val="right" w:pos="7088"/>
        <w:tab w:val="left" w:pos="9072"/>
      </w:tabs>
    </w:pPr>
    <w:r w:rsidRPr="00CF026A">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Pr="00CF026A"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M6kKwIAAFQEAAAOAAAAZHJzL2Uyb0RvYy54bWysVEtv2zAMvg/YfxB0X+w8uxpxiixFhgFB WyAdelZkKTYgi5qkxM5+/SjZeazbadhFJkXq4+uj5w9trchRWFeBzulwkFIiNIei0vucfn9df/pM ifNMF0yBFjk9CUcfFh8/zBuTiRGUoAphCYJolzUmp6X3JksSx0tRMzcAIzQaJdiaeVTtPiksaxC9 VskoTWdJA7YwFrhwDm8fOyNdRHwpBffPUjrhicop5ubjaeO5C2eymLNsb5kpK96nwf4hi5pVGoNe oB6ZZ+Rgqz+g6opbcCD9gEOdgJQVF7EGrGaYvqtmWzIjYi3YHGcubXL/D5Y/HbfmxRLffoEWBxga 0hiXObwM9bTS1uGLmRK0YwtPl7aJ1hMeHg3H48ndlBKOtvvZKB1NA0xyfW2s818F1CQIObU4ltgt dtw437meXUIwB6oq1pVSUQlUECtlyZHhEJWPOSL4b15Kkyans/E0jcAawvMOWWnM5VpTkHy7a/tC d1CcsH4LHTWc4esKk9ww51+YRS5gychv/4yHVIBBoJcoKcH+/Nt98McRoZWSBrmVU/fjwKygRH3T OLz74WQSyBiVyfRuhIq9texuLfpQrwArH+ImGR7F4O/VWZQW6jdcg2WIiiamOcbOqT+LK98xHteI i+UyOiH9DPMbvTU8QIdOhxG8tm/Mmn5OHif8BGcWsuzduDrf8FLD8uBBVnGWocFdV/u+I3UjG/o1 C7txq0ev689g8QsAAP//AwBQSwMEFAAGAAgAAAAhAMw4khrjAAAACwEAAA8AAABkcnMvZG93bnJl di54bWxMj8FOwzAQRO9I/IO1SFxQ65QmNQlxKoSAStxoCoibG5skIl5HsZuEv2c5wXG1TzNv8u1s OzaawbcOJayWETCDldMt1hIO5ePiBpgPCrXqHBoJ38bDtjg/y1Wm3YQvZtyHmlEI+kxJaELoM859 1Rir/NL1Bun36QarAp1DzfWgJgq3Hb+Oog23qkVqaFRv7htTfe1PVsLHVf3+7Oen12mdrPuH3ViK N11KeXkx390CC2YOfzD86pM6FOR0dCfUnnUShEhjQiUsVpGgVYSkiUiBHSXEcQK8yPn/DcUPAAAA //8DAFBLAQItABQABgAIAAAAIQC2gziS/gAAAOEBAAATAAAAAAAAAAAAAAAAAAAAAABbQ29udGVu dF9UeXBlc10ueG1sUEsBAi0AFAAGAAgAAAAhADj9If/WAAAAlAEAAAsAAAAAAAAAAAAAAAAALwEA AF9yZWxzLy5yZWxzUEsBAi0AFAAGAAgAAAAhAIvIzqQrAgAAVAQAAA4AAAAAAAAAAAAAAAAALgIA AGRycy9lMm9Eb2MueG1sUEsBAi0AFAAGAAgAAAAhAMw4khrjAAAACwEAAA8AAAAAAAAAAAAAAAAA hQQAAGRycy9kb3ducmV2LnhtbFBLBQYAAAAABAAEAPMAAACVBQAAAAA= " fillcolor="white [3201]" stroked="f" strokeweight=".5pt">
              <v:textbox>
                <w:txbxContent>
                  <w:p w14:paraId="18CA3D08" w14:textId="62C5F6F2" w:rsidR="00A22FAF" w:rsidRPr="00CF026A"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C6A24" w14:textId="77777777" w:rsidR="002D1B49" w:rsidRPr="00CF026A" w:rsidRDefault="002D1B49">
      <w:r w:rsidRPr="00CF026A">
        <w:separator/>
      </w:r>
    </w:p>
  </w:footnote>
  <w:footnote w:type="continuationSeparator" w:id="0">
    <w:p w14:paraId="5990E107" w14:textId="77777777" w:rsidR="002D1B49" w:rsidRPr="00CF026A" w:rsidRDefault="002D1B49">
      <w:r w:rsidRPr="00CF0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CFF" w14:textId="77777777" w:rsidR="00F24BDD" w:rsidRPr="00CF026A"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0" w14:textId="4AA0DD4B" w:rsidR="00675A68" w:rsidRPr="00CF026A" w:rsidRDefault="00DA5F4A">
    <w:pPr>
      <w:pStyle w:val="Antrats"/>
      <w:jc w:val="center"/>
    </w:pPr>
    <w:r w:rsidRPr="00CF026A">
      <w:rPr>
        <w:rStyle w:val="Puslapionumeris"/>
      </w:rPr>
      <w:fldChar w:fldCharType="begin"/>
    </w:r>
    <w:r w:rsidR="00675A68" w:rsidRPr="00CF026A">
      <w:rPr>
        <w:rStyle w:val="Puslapionumeris"/>
      </w:rPr>
      <w:instrText xml:space="preserve"> PAGE </w:instrText>
    </w:r>
    <w:r w:rsidRPr="00CF026A">
      <w:rPr>
        <w:rStyle w:val="Puslapionumeris"/>
      </w:rPr>
      <w:fldChar w:fldCharType="separate"/>
    </w:r>
    <w:r w:rsidR="00FB5227">
      <w:rPr>
        <w:rStyle w:val="Puslapionumeris"/>
        <w:noProof/>
      </w:rPr>
      <w:t>3</w:t>
    </w:r>
    <w:r w:rsidRPr="00CF026A">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4" w14:textId="77777777" w:rsidR="00051C5C" w:rsidRPr="00CF026A"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E058F"/>
    <w:multiLevelType w:val="hybridMultilevel"/>
    <w:tmpl w:val="DD9C25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58D"/>
    <w:rsid w:val="000018CD"/>
    <w:rsid w:val="000026D3"/>
    <w:rsid w:val="00003D12"/>
    <w:rsid w:val="00010EC6"/>
    <w:rsid w:val="00013476"/>
    <w:rsid w:val="00015E01"/>
    <w:rsid w:val="00016C6A"/>
    <w:rsid w:val="00016D01"/>
    <w:rsid w:val="00031855"/>
    <w:rsid w:val="0004095B"/>
    <w:rsid w:val="000416D8"/>
    <w:rsid w:val="00042796"/>
    <w:rsid w:val="0005067D"/>
    <w:rsid w:val="000506C3"/>
    <w:rsid w:val="00051C5C"/>
    <w:rsid w:val="0006091F"/>
    <w:rsid w:val="00062091"/>
    <w:rsid w:val="000705C3"/>
    <w:rsid w:val="00070B22"/>
    <w:rsid w:val="00070E2C"/>
    <w:rsid w:val="00075D42"/>
    <w:rsid w:val="000866D9"/>
    <w:rsid w:val="00086E6C"/>
    <w:rsid w:val="000901B5"/>
    <w:rsid w:val="0009144A"/>
    <w:rsid w:val="00091BB1"/>
    <w:rsid w:val="0009649D"/>
    <w:rsid w:val="000977D0"/>
    <w:rsid w:val="000A095B"/>
    <w:rsid w:val="000A22A8"/>
    <w:rsid w:val="000B076F"/>
    <w:rsid w:val="000B18DA"/>
    <w:rsid w:val="000B55D2"/>
    <w:rsid w:val="000B72F3"/>
    <w:rsid w:val="000D1F90"/>
    <w:rsid w:val="000D5D45"/>
    <w:rsid w:val="000E7A7B"/>
    <w:rsid w:val="000F2BF7"/>
    <w:rsid w:val="000F5D4A"/>
    <w:rsid w:val="0010313C"/>
    <w:rsid w:val="00110A6E"/>
    <w:rsid w:val="00120775"/>
    <w:rsid w:val="00120EF3"/>
    <w:rsid w:val="00121B73"/>
    <w:rsid w:val="00126FC3"/>
    <w:rsid w:val="001274B3"/>
    <w:rsid w:val="00140B15"/>
    <w:rsid w:val="00143397"/>
    <w:rsid w:val="00152CF5"/>
    <w:rsid w:val="0015641F"/>
    <w:rsid w:val="001568AA"/>
    <w:rsid w:val="001604AA"/>
    <w:rsid w:val="001638CA"/>
    <w:rsid w:val="0017180C"/>
    <w:rsid w:val="001728FA"/>
    <w:rsid w:val="00172AA7"/>
    <w:rsid w:val="001736F6"/>
    <w:rsid w:val="00173E2D"/>
    <w:rsid w:val="001772B5"/>
    <w:rsid w:val="00185BC5"/>
    <w:rsid w:val="00193943"/>
    <w:rsid w:val="00195FE9"/>
    <w:rsid w:val="00196330"/>
    <w:rsid w:val="001A36FF"/>
    <w:rsid w:val="001A59A0"/>
    <w:rsid w:val="001B1EAE"/>
    <w:rsid w:val="001C212C"/>
    <w:rsid w:val="001C3611"/>
    <w:rsid w:val="001D030E"/>
    <w:rsid w:val="001D0ADF"/>
    <w:rsid w:val="001D5131"/>
    <w:rsid w:val="001D544B"/>
    <w:rsid w:val="001F1B8F"/>
    <w:rsid w:val="001F3796"/>
    <w:rsid w:val="00204D53"/>
    <w:rsid w:val="002079A3"/>
    <w:rsid w:val="002118C8"/>
    <w:rsid w:val="00211FEC"/>
    <w:rsid w:val="0021602F"/>
    <w:rsid w:val="00216990"/>
    <w:rsid w:val="00225227"/>
    <w:rsid w:val="00231E6A"/>
    <w:rsid w:val="002359A4"/>
    <w:rsid w:val="00235BA9"/>
    <w:rsid w:val="00236A8F"/>
    <w:rsid w:val="00237F42"/>
    <w:rsid w:val="002409E2"/>
    <w:rsid w:val="00240D52"/>
    <w:rsid w:val="002428B6"/>
    <w:rsid w:val="00246538"/>
    <w:rsid w:val="00250566"/>
    <w:rsid w:val="00253166"/>
    <w:rsid w:val="0025326B"/>
    <w:rsid w:val="0026102F"/>
    <w:rsid w:val="00262213"/>
    <w:rsid w:val="002650CA"/>
    <w:rsid w:val="00266520"/>
    <w:rsid w:val="00267451"/>
    <w:rsid w:val="0027097F"/>
    <w:rsid w:val="00282963"/>
    <w:rsid w:val="00285317"/>
    <w:rsid w:val="002942B4"/>
    <w:rsid w:val="00294DE2"/>
    <w:rsid w:val="002A05AA"/>
    <w:rsid w:val="002A2993"/>
    <w:rsid w:val="002A490D"/>
    <w:rsid w:val="002A7299"/>
    <w:rsid w:val="002B04E1"/>
    <w:rsid w:val="002B7143"/>
    <w:rsid w:val="002C0CD1"/>
    <w:rsid w:val="002C195F"/>
    <w:rsid w:val="002C3F37"/>
    <w:rsid w:val="002C6615"/>
    <w:rsid w:val="002D10DC"/>
    <w:rsid w:val="002D1B49"/>
    <w:rsid w:val="002D2C0A"/>
    <w:rsid w:val="002D62C0"/>
    <w:rsid w:val="002E260B"/>
    <w:rsid w:val="002E4767"/>
    <w:rsid w:val="002E4AD8"/>
    <w:rsid w:val="002F3499"/>
    <w:rsid w:val="00301ECD"/>
    <w:rsid w:val="00314211"/>
    <w:rsid w:val="003168D0"/>
    <w:rsid w:val="00316DAE"/>
    <w:rsid w:val="00320EC6"/>
    <w:rsid w:val="00321EB1"/>
    <w:rsid w:val="00326401"/>
    <w:rsid w:val="00330224"/>
    <w:rsid w:val="00331148"/>
    <w:rsid w:val="00332C42"/>
    <w:rsid w:val="00335ADC"/>
    <w:rsid w:val="00335C5D"/>
    <w:rsid w:val="00346165"/>
    <w:rsid w:val="003461C4"/>
    <w:rsid w:val="00356DD2"/>
    <w:rsid w:val="00362072"/>
    <w:rsid w:val="00362C99"/>
    <w:rsid w:val="00367E88"/>
    <w:rsid w:val="003739A1"/>
    <w:rsid w:val="0038243B"/>
    <w:rsid w:val="00385E1E"/>
    <w:rsid w:val="0039131F"/>
    <w:rsid w:val="00395B16"/>
    <w:rsid w:val="003A03AA"/>
    <w:rsid w:val="003A0AF2"/>
    <w:rsid w:val="003A4813"/>
    <w:rsid w:val="003A69FF"/>
    <w:rsid w:val="003C5E81"/>
    <w:rsid w:val="003D0825"/>
    <w:rsid w:val="003E1B57"/>
    <w:rsid w:val="003E2C2C"/>
    <w:rsid w:val="003F2A56"/>
    <w:rsid w:val="003F328D"/>
    <w:rsid w:val="00404CE1"/>
    <w:rsid w:val="004155F2"/>
    <w:rsid w:val="004179CE"/>
    <w:rsid w:val="00420579"/>
    <w:rsid w:val="004242BE"/>
    <w:rsid w:val="004265D2"/>
    <w:rsid w:val="00430316"/>
    <w:rsid w:val="00433400"/>
    <w:rsid w:val="00436B8E"/>
    <w:rsid w:val="00443E46"/>
    <w:rsid w:val="00446272"/>
    <w:rsid w:val="0045050D"/>
    <w:rsid w:val="00453DE3"/>
    <w:rsid w:val="004559A1"/>
    <w:rsid w:val="004707BF"/>
    <w:rsid w:val="0047251F"/>
    <w:rsid w:val="004725B0"/>
    <w:rsid w:val="00484B8D"/>
    <w:rsid w:val="00484E4A"/>
    <w:rsid w:val="004B0000"/>
    <w:rsid w:val="004B41DC"/>
    <w:rsid w:val="004C0F00"/>
    <w:rsid w:val="004C3F00"/>
    <w:rsid w:val="004C4482"/>
    <w:rsid w:val="004C6A1D"/>
    <w:rsid w:val="004C7185"/>
    <w:rsid w:val="004C7251"/>
    <w:rsid w:val="004D45CA"/>
    <w:rsid w:val="004E5ACB"/>
    <w:rsid w:val="004F1BBB"/>
    <w:rsid w:val="004F30FF"/>
    <w:rsid w:val="00503F26"/>
    <w:rsid w:val="0050796A"/>
    <w:rsid w:val="0051281F"/>
    <w:rsid w:val="00512DB5"/>
    <w:rsid w:val="00517700"/>
    <w:rsid w:val="005209C0"/>
    <w:rsid w:val="00522968"/>
    <w:rsid w:val="00530126"/>
    <w:rsid w:val="00533D70"/>
    <w:rsid w:val="005433C7"/>
    <w:rsid w:val="0054484C"/>
    <w:rsid w:val="005514AF"/>
    <w:rsid w:val="005520BB"/>
    <w:rsid w:val="00552B8E"/>
    <w:rsid w:val="00553EE6"/>
    <w:rsid w:val="0055629A"/>
    <w:rsid w:val="005729A2"/>
    <w:rsid w:val="0057494D"/>
    <w:rsid w:val="005858B1"/>
    <w:rsid w:val="00587923"/>
    <w:rsid w:val="0058799B"/>
    <w:rsid w:val="0059067F"/>
    <w:rsid w:val="005976E1"/>
    <w:rsid w:val="00597ACE"/>
    <w:rsid w:val="005B1429"/>
    <w:rsid w:val="005B5568"/>
    <w:rsid w:val="005B5F6F"/>
    <w:rsid w:val="005C1104"/>
    <w:rsid w:val="005D13FE"/>
    <w:rsid w:val="005D3919"/>
    <w:rsid w:val="005D4D81"/>
    <w:rsid w:val="005E26DB"/>
    <w:rsid w:val="005E605E"/>
    <w:rsid w:val="005E6EE6"/>
    <w:rsid w:val="005F0A98"/>
    <w:rsid w:val="005F5189"/>
    <w:rsid w:val="005F6AAA"/>
    <w:rsid w:val="00601722"/>
    <w:rsid w:val="00603CE2"/>
    <w:rsid w:val="00605893"/>
    <w:rsid w:val="006064C5"/>
    <w:rsid w:val="006118F3"/>
    <w:rsid w:val="006143FD"/>
    <w:rsid w:val="006159CE"/>
    <w:rsid w:val="00615DE4"/>
    <w:rsid w:val="00617FE9"/>
    <w:rsid w:val="00620044"/>
    <w:rsid w:val="0062479A"/>
    <w:rsid w:val="00624FB4"/>
    <w:rsid w:val="00626AE8"/>
    <w:rsid w:val="00626BA2"/>
    <w:rsid w:val="00626FF5"/>
    <w:rsid w:val="006334C7"/>
    <w:rsid w:val="00637B3E"/>
    <w:rsid w:val="006432A4"/>
    <w:rsid w:val="00644893"/>
    <w:rsid w:val="00647770"/>
    <w:rsid w:val="00651C1D"/>
    <w:rsid w:val="00652185"/>
    <w:rsid w:val="00657D32"/>
    <w:rsid w:val="00662184"/>
    <w:rsid w:val="00662364"/>
    <w:rsid w:val="00672B55"/>
    <w:rsid w:val="00675A68"/>
    <w:rsid w:val="00681F14"/>
    <w:rsid w:val="00686976"/>
    <w:rsid w:val="006873E2"/>
    <w:rsid w:val="006878ED"/>
    <w:rsid w:val="00693955"/>
    <w:rsid w:val="006A47AF"/>
    <w:rsid w:val="006A67F6"/>
    <w:rsid w:val="006B0B49"/>
    <w:rsid w:val="006C56C9"/>
    <w:rsid w:val="006D3C21"/>
    <w:rsid w:val="006D62F7"/>
    <w:rsid w:val="006E4290"/>
    <w:rsid w:val="006E667E"/>
    <w:rsid w:val="006F5616"/>
    <w:rsid w:val="006F69F4"/>
    <w:rsid w:val="006F6BAC"/>
    <w:rsid w:val="007002C8"/>
    <w:rsid w:val="00712295"/>
    <w:rsid w:val="00712F0D"/>
    <w:rsid w:val="00715730"/>
    <w:rsid w:val="00717852"/>
    <w:rsid w:val="00732103"/>
    <w:rsid w:val="0073469A"/>
    <w:rsid w:val="00736773"/>
    <w:rsid w:val="0074101D"/>
    <w:rsid w:val="00741165"/>
    <w:rsid w:val="00746BB6"/>
    <w:rsid w:val="007479BC"/>
    <w:rsid w:val="00753AC5"/>
    <w:rsid w:val="007551D8"/>
    <w:rsid w:val="007627A6"/>
    <w:rsid w:val="007720DD"/>
    <w:rsid w:val="0077368C"/>
    <w:rsid w:val="00773B08"/>
    <w:rsid w:val="00780517"/>
    <w:rsid w:val="00785EA9"/>
    <w:rsid w:val="0079049E"/>
    <w:rsid w:val="007A66AF"/>
    <w:rsid w:val="007A681C"/>
    <w:rsid w:val="007B163E"/>
    <w:rsid w:val="007B7F55"/>
    <w:rsid w:val="007C0102"/>
    <w:rsid w:val="007C2028"/>
    <w:rsid w:val="007C33F2"/>
    <w:rsid w:val="007C46A4"/>
    <w:rsid w:val="007C4C53"/>
    <w:rsid w:val="007C6457"/>
    <w:rsid w:val="007D1355"/>
    <w:rsid w:val="007D1E93"/>
    <w:rsid w:val="007E48A5"/>
    <w:rsid w:val="007E58D6"/>
    <w:rsid w:val="007E67A8"/>
    <w:rsid w:val="007F2B88"/>
    <w:rsid w:val="007F4635"/>
    <w:rsid w:val="0080219F"/>
    <w:rsid w:val="008046A4"/>
    <w:rsid w:val="008052E2"/>
    <w:rsid w:val="0081159F"/>
    <w:rsid w:val="008142CE"/>
    <w:rsid w:val="00817FE2"/>
    <w:rsid w:val="008206B8"/>
    <w:rsid w:val="00822A9A"/>
    <w:rsid w:val="008231F1"/>
    <w:rsid w:val="00823F22"/>
    <w:rsid w:val="008261EA"/>
    <w:rsid w:val="0082678F"/>
    <w:rsid w:val="008307CB"/>
    <w:rsid w:val="00837100"/>
    <w:rsid w:val="008476A9"/>
    <w:rsid w:val="0085147A"/>
    <w:rsid w:val="0085236B"/>
    <w:rsid w:val="0085446A"/>
    <w:rsid w:val="008563AA"/>
    <w:rsid w:val="008607F1"/>
    <w:rsid w:val="00871561"/>
    <w:rsid w:val="00874F53"/>
    <w:rsid w:val="00880F45"/>
    <w:rsid w:val="00884087"/>
    <w:rsid w:val="00886407"/>
    <w:rsid w:val="008942C0"/>
    <w:rsid w:val="00897115"/>
    <w:rsid w:val="008B1E94"/>
    <w:rsid w:val="008B71AC"/>
    <w:rsid w:val="008C38FE"/>
    <w:rsid w:val="008C5E27"/>
    <w:rsid w:val="008D1EC6"/>
    <w:rsid w:val="008D39F9"/>
    <w:rsid w:val="008D710A"/>
    <w:rsid w:val="008E1864"/>
    <w:rsid w:val="008E29F3"/>
    <w:rsid w:val="008E5546"/>
    <w:rsid w:val="008E5809"/>
    <w:rsid w:val="008F531B"/>
    <w:rsid w:val="00901950"/>
    <w:rsid w:val="009055BA"/>
    <w:rsid w:val="00907D9B"/>
    <w:rsid w:val="00910809"/>
    <w:rsid w:val="009108A6"/>
    <w:rsid w:val="00910F5F"/>
    <w:rsid w:val="00916057"/>
    <w:rsid w:val="00921DBB"/>
    <w:rsid w:val="0092556A"/>
    <w:rsid w:val="00926DBA"/>
    <w:rsid w:val="0092781D"/>
    <w:rsid w:val="00934278"/>
    <w:rsid w:val="00934DA7"/>
    <w:rsid w:val="00935B44"/>
    <w:rsid w:val="0093611F"/>
    <w:rsid w:val="009421AC"/>
    <w:rsid w:val="00960772"/>
    <w:rsid w:val="00966756"/>
    <w:rsid w:val="00973469"/>
    <w:rsid w:val="00976D53"/>
    <w:rsid w:val="009819E1"/>
    <w:rsid w:val="009853E1"/>
    <w:rsid w:val="009859C0"/>
    <w:rsid w:val="00987EBD"/>
    <w:rsid w:val="009964F3"/>
    <w:rsid w:val="009A6D6F"/>
    <w:rsid w:val="009C1CB1"/>
    <w:rsid w:val="009C2ADD"/>
    <w:rsid w:val="009C3D6E"/>
    <w:rsid w:val="009D00D4"/>
    <w:rsid w:val="009D12D9"/>
    <w:rsid w:val="009D2E5B"/>
    <w:rsid w:val="009D6B78"/>
    <w:rsid w:val="009E7FDE"/>
    <w:rsid w:val="009F2B2D"/>
    <w:rsid w:val="009F47A4"/>
    <w:rsid w:val="009F6698"/>
    <w:rsid w:val="00A05C81"/>
    <w:rsid w:val="00A14B73"/>
    <w:rsid w:val="00A2001D"/>
    <w:rsid w:val="00A20434"/>
    <w:rsid w:val="00A22FAF"/>
    <w:rsid w:val="00A2301D"/>
    <w:rsid w:val="00A25AC2"/>
    <w:rsid w:val="00A26004"/>
    <w:rsid w:val="00A27813"/>
    <w:rsid w:val="00A32DCA"/>
    <w:rsid w:val="00A36633"/>
    <w:rsid w:val="00A43A26"/>
    <w:rsid w:val="00A43AF9"/>
    <w:rsid w:val="00A442E0"/>
    <w:rsid w:val="00A465FF"/>
    <w:rsid w:val="00A4736D"/>
    <w:rsid w:val="00A533BB"/>
    <w:rsid w:val="00A5430C"/>
    <w:rsid w:val="00A545F8"/>
    <w:rsid w:val="00A54BCB"/>
    <w:rsid w:val="00A65A61"/>
    <w:rsid w:val="00A71CF3"/>
    <w:rsid w:val="00A729BB"/>
    <w:rsid w:val="00A7306F"/>
    <w:rsid w:val="00A747D1"/>
    <w:rsid w:val="00A74E27"/>
    <w:rsid w:val="00A76957"/>
    <w:rsid w:val="00A76CE3"/>
    <w:rsid w:val="00A844E2"/>
    <w:rsid w:val="00A97526"/>
    <w:rsid w:val="00AA3800"/>
    <w:rsid w:val="00AA3843"/>
    <w:rsid w:val="00AA7A54"/>
    <w:rsid w:val="00AB2442"/>
    <w:rsid w:val="00AB2D32"/>
    <w:rsid w:val="00AB2F36"/>
    <w:rsid w:val="00AC1680"/>
    <w:rsid w:val="00AC3144"/>
    <w:rsid w:val="00AC4168"/>
    <w:rsid w:val="00AC66A6"/>
    <w:rsid w:val="00AE0B44"/>
    <w:rsid w:val="00AE0D52"/>
    <w:rsid w:val="00AE3AE4"/>
    <w:rsid w:val="00AF1C59"/>
    <w:rsid w:val="00AF4BCD"/>
    <w:rsid w:val="00B043FE"/>
    <w:rsid w:val="00B0760A"/>
    <w:rsid w:val="00B10BCF"/>
    <w:rsid w:val="00B1100E"/>
    <w:rsid w:val="00B120FD"/>
    <w:rsid w:val="00B13BCC"/>
    <w:rsid w:val="00B13DFD"/>
    <w:rsid w:val="00B17FDE"/>
    <w:rsid w:val="00B20188"/>
    <w:rsid w:val="00B21239"/>
    <w:rsid w:val="00B25AFE"/>
    <w:rsid w:val="00B266DF"/>
    <w:rsid w:val="00B4038B"/>
    <w:rsid w:val="00B4168B"/>
    <w:rsid w:val="00B41C63"/>
    <w:rsid w:val="00B41ECD"/>
    <w:rsid w:val="00B434FB"/>
    <w:rsid w:val="00B520A6"/>
    <w:rsid w:val="00B5576E"/>
    <w:rsid w:val="00B60BCE"/>
    <w:rsid w:val="00B6171D"/>
    <w:rsid w:val="00B646B4"/>
    <w:rsid w:val="00B65D14"/>
    <w:rsid w:val="00B75134"/>
    <w:rsid w:val="00B82605"/>
    <w:rsid w:val="00B834A3"/>
    <w:rsid w:val="00B86C4D"/>
    <w:rsid w:val="00B90055"/>
    <w:rsid w:val="00B951A6"/>
    <w:rsid w:val="00B95C25"/>
    <w:rsid w:val="00BA670B"/>
    <w:rsid w:val="00BA6EF4"/>
    <w:rsid w:val="00BB270B"/>
    <w:rsid w:val="00BB56C1"/>
    <w:rsid w:val="00BC3390"/>
    <w:rsid w:val="00BC4711"/>
    <w:rsid w:val="00BC528F"/>
    <w:rsid w:val="00BC5F93"/>
    <w:rsid w:val="00BD1A7A"/>
    <w:rsid w:val="00BD4E0E"/>
    <w:rsid w:val="00BE2333"/>
    <w:rsid w:val="00BE74A0"/>
    <w:rsid w:val="00BF0009"/>
    <w:rsid w:val="00BF2202"/>
    <w:rsid w:val="00BF24AB"/>
    <w:rsid w:val="00BF3E59"/>
    <w:rsid w:val="00BF65F0"/>
    <w:rsid w:val="00C017F7"/>
    <w:rsid w:val="00C02C45"/>
    <w:rsid w:val="00C041EE"/>
    <w:rsid w:val="00C04DB2"/>
    <w:rsid w:val="00C22597"/>
    <w:rsid w:val="00C25DC0"/>
    <w:rsid w:val="00C416DF"/>
    <w:rsid w:val="00C4550A"/>
    <w:rsid w:val="00C50A35"/>
    <w:rsid w:val="00C55A98"/>
    <w:rsid w:val="00C56B23"/>
    <w:rsid w:val="00C57908"/>
    <w:rsid w:val="00C57985"/>
    <w:rsid w:val="00C63363"/>
    <w:rsid w:val="00C64785"/>
    <w:rsid w:val="00C67A8D"/>
    <w:rsid w:val="00C710AF"/>
    <w:rsid w:val="00C714F3"/>
    <w:rsid w:val="00C718B9"/>
    <w:rsid w:val="00C73186"/>
    <w:rsid w:val="00C74C4B"/>
    <w:rsid w:val="00C83AEC"/>
    <w:rsid w:val="00C95411"/>
    <w:rsid w:val="00C97EED"/>
    <w:rsid w:val="00CA3F6E"/>
    <w:rsid w:val="00CA4748"/>
    <w:rsid w:val="00CA4F47"/>
    <w:rsid w:val="00CB1E3E"/>
    <w:rsid w:val="00CB22C3"/>
    <w:rsid w:val="00CB2F32"/>
    <w:rsid w:val="00CB438D"/>
    <w:rsid w:val="00CC28A7"/>
    <w:rsid w:val="00CD17E5"/>
    <w:rsid w:val="00CD69B0"/>
    <w:rsid w:val="00CE122C"/>
    <w:rsid w:val="00CE6B81"/>
    <w:rsid w:val="00CE7471"/>
    <w:rsid w:val="00CE74FE"/>
    <w:rsid w:val="00CF026A"/>
    <w:rsid w:val="00CF03FA"/>
    <w:rsid w:val="00D01216"/>
    <w:rsid w:val="00D01BBA"/>
    <w:rsid w:val="00D01F0D"/>
    <w:rsid w:val="00D10C7A"/>
    <w:rsid w:val="00D11A5F"/>
    <w:rsid w:val="00D14E66"/>
    <w:rsid w:val="00D16B51"/>
    <w:rsid w:val="00D20176"/>
    <w:rsid w:val="00D22055"/>
    <w:rsid w:val="00D23834"/>
    <w:rsid w:val="00D239A4"/>
    <w:rsid w:val="00D260BB"/>
    <w:rsid w:val="00D330FD"/>
    <w:rsid w:val="00D355E8"/>
    <w:rsid w:val="00D40818"/>
    <w:rsid w:val="00D4217A"/>
    <w:rsid w:val="00D43AB2"/>
    <w:rsid w:val="00D44434"/>
    <w:rsid w:val="00D473CE"/>
    <w:rsid w:val="00D65F89"/>
    <w:rsid w:val="00D81390"/>
    <w:rsid w:val="00DA080D"/>
    <w:rsid w:val="00DA0D9D"/>
    <w:rsid w:val="00DA5D40"/>
    <w:rsid w:val="00DA5F4A"/>
    <w:rsid w:val="00DB084E"/>
    <w:rsid w:val="00DB1C6E"/>
    <w:rsid w:val="00DB5CEB"/>
    <w:rsid w:val="00DB654F"/>
    <w:rsid w:val="00DC062E"/>
    <w:rsid w:val="00DD01F9"/>
    <w:rsid w:val="00DD3667"/>
    <w:rsid w:val="00DD40ED"/>
    <w:rsid w:val="00DD6A86"/>
    <w:rsid w:val="00DE080E"/>
    <w:rsid w:val="00DE129E"/>
    <w:rsid w:val="00DE5727"/>
    <w:rsid w:val="00DE7780"/>
    <w:rsid w:val="00DF25EA"/>
    <w:rsid w:val="00E0252F"/>
    <w:rsid w:val="00E02F17"/>
    <w:rsid w:val="00E03C7D"/>
    <w:rsid w:val="00E10010"/>
    <w:rsid w:val="00E22534"/>
    <w:rsid w:val="00E3375F"/>
    <w:rsid w:val="00E34436"/>
    <w:rsid w:val="00E34DB0"/>
    <w:rsid w:val="00E37DB1"/>
    <w:rsid w:val="00E4006E"/>
    <w:rsid w:val="00E4208D"/>
    <w:rsid w:val="00E4706A"/>
    <w:rsid w:val="00E52882"/>
    <w:rsid w:val="00E54084"/>
    <w:rsid w:val="00E5737B"/>
    <w:rsid w:val="00E64650"/>
    <w:rsid w:val="00E74D10"/>
    <w:rsid w:val="00E80B18"/>
    <w:rsid w:val="00E8139C"/>
    <w:rsid w:val="00E8427C"/>
    <w:rsid w:val="00E868DD"/>
    <w:rsid w:val="00E86A27"/>
    <w:rsid w:val="00E914D7"/>
    <w:rsid w:val="00E937E6"/>
    <w:rsid w:val="00EA0144"/>
    <w:rsid w:val="00EA2BAB"/>
    <w:rsid w:val="00EA534D"/>
    <w:rsid w:val="00EB0089"/>
    <w:rsid w:val="00EB199D"/>
    <w:rsid w:val="00EB2789"/>
    <w:rsid w:val="00EB688F"/>
    <w:rsid w:val="00EC097D"/>
    <w:rsid w:val="00ED04BA"/>
    <w:rsid w:val="00ED43B8"/>
    <w:rsid w:val="00ED5C5E"/>
    <w:rsid w:val="00EE5C57"/>
    <w:rsid w:val="00EE793F"/>
    <w:rsid w:val="00EF14DE"/>
    <w:rsid w:val="00EF2DEE"/>
    <w:rsid w:val="00EF5683"/>
    <w:rsid w:val="00EF7A3A"/>
    <w:rsid w:val="00F05BF3"/>
    <w:rsid w:val="00F05E86"/>
    <w:rsid w:val="00F14AF2"/>
    <w:rsid w:val="00F16942"/>
    <w:rsid w:val="00F240FA"/>
    <w:rsid w:val="00F24B63"/>
    <w:rsid w:val="00F24BDD"/>
    <w:rsid w:val="00F26BDA"/>
    <w:rsid w:val="00F27047"/>
    <w:rsid w:val="00F2751B"/>
    <w:rsid w:val="00F32B44"/>
    <w:rsid w:val="00F36838"/>
    <w:rsid w:val="00F37BE2"/>
    <w:rsid w:val="00F50604"/>
    <w:rsid w:val="00F506E0"/>
    <w:rsid w:val="00F53D05"/>
    <w:rsid w:val="00F61ECB"/>
    <w:rsid w:val="00F66D46"/>
    <w:rsid w:val="00F700D9"/>
    <w:rsid w:val="00F7232C"/>
    <w:rsid w:val="00F770BC"/>
    <w:rsid w:val="00F77559"/>
    <w:rsid w:val="00F80907"/>
    <w:rsid w:val="00F819EC"/>
    <w:rsid w:val="00F938A3"/>
    <w:rsid w:val="00F96AA0"/>
    <w:rsid w:val="00FA09A9"/>
    <w:rsid w:val="00FA6FCB"/>
    <w:rsid w:val="00FB5227"/>
    <w:rsid w:val="00FC3012"/>
    <w:rsid w:val="00FC5751"/>
    <w:rsid w:val="00FD2F06"/>
    <w:rsid w:val="00FE1023"/>
    <w:rsid w:val="00FE3817"/>
    <w:rsid w:val="00FE54E3"/>
    <w:rsid w:val="00FE679A"/>
    <w:rsid w:val="00FF2EA2"/>
    <w:rsid w:val="00FF4190"/>
    <w:rsid w:val="00FF44A4"/>
    <w:rsid w:val="00FF4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3CB8"/>
  <w15:docId w15:val="{3E70662D-80B9-44D2-8CD0-6E1C3185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420579"/>
    <w:pPr>
      <w:ind w:left="720"/>
      <w:contextualSpacing/>
    </w:pPr>
  </w:style>
  <w:style w:type="paragraph" w:customStyle="1" w:styleId="xmsonormal">
    <w:name w:val="x_msonormal"/>
    <w:basedOn w:val="prastasis"/>
    <w:rsid w:val="00533D70"/>
    <w:pPr>
      <w:jc w:val="left"/>
    </w:pPr>
    <w:rPr>
      <w:rFonts w:ascii="Calibri" w:eastAsiaTheme="minorHAnsi" w:hAnsi="Calibri" w:cs="Calibri"/>
      <w:sz w:val="22"/>
      <w:szCs w:val="22"/>
      <w:lang w:eastAsia="lt-LT"/>
    </w:rPr>
  </w:style>
  <w:style w:type="character" w:customStyle="1" w:styleId="normaltextrun">
    <w:name w:val="normaltextrun"/>
    <w:basedOn w:val="Numatytasispastraiposriftas"/>
    <w:rsid w:val="0051281F"/>
  </w:style>
  <w:style w:type="character" w:customStyle="1" w:styleId="UnresolvedMention">
    <w:name w:val="Unresolved Mention"/>
    <w:basedOn w:val="Numatytasispastraiposriftas"/>
    <w:uiPriority w:val="99"/>
    <w:semiHidden/>
    <w:unhideWhenUsed/>
    <w:rsid w:val="00A533BB"/>
    <w:rPr>
      <w:color w:val="605E5C"/>
      <w:shd w:val="clear" w:color="auto" w:fill="E1DFDD"/>
    </w:rPr>
  </w:style>
  <w:style w:type="character" w:styleId="Komentaronuoroda">
    <w:name w:val="annotation reference"/>
    <w:basedOn w:val="Numatytasispastraiposriftas"/>
    <w:uiPriority w:val="99"/>
    <w:semiHidden/>
    <w:unhideWhenUsed/>
    <w:rsid w:val="00553EE6"/>
    <w:rPr>
      <w:sz w:val="16"/>
      <w:szCs w:val="16"/>
    </w:rPr>
  </w:style>
  <w:style w:type="paragraph" w:styleId="Komentarotekstas">
    <w:name w:val="annotation text"/>
    <w:basedOn w:val="prastasis"/>
    <w:link w:val="KomentarotekstasDiagrama"/>
    <w:uiPriority w:val="99"/>
    <w:unhideWhenUsed/>
    <w:rsid w:val="00553EE6"/>
    <w:rPr>
      <w:sz w:val="20"/>
    </w:rPr>
  </w:style>
  <w:style w:type="character" w:customStyle="1" w:styleId="KomentarotekstasDiagrama">
    <w:name w:val="Komentaro tekstas Diagrama"/>
    <w:basedOn w:val="Numatytasispastraiposriftas"/>
    <w:link w:val="Komentarotekstas"/>
    <w:uiPriority w:val="99"/>
    <w:rsid w:val="00553EE6"/>
    <w:rPr>
      <w:lang w:eastAsia="en-US"/>
    </w:rPr>
  </w:style>
  <w:style w:type="paragraph" w:styleId="Komentarotema">
    <w:name w:val="annotation subject"/>
    <w:basedOn w:val="Komentarotekstas"/>
    <w:next w:val="Komentarotekstas"/>
    <w:link w:val="KomentarotemaDiagrama"/>
    <w:uiPriority w:val="99"/>
    <w:semiHidden/>
    <w:unhideWhenUsed/>
    <w:rsid w:val="00553EE6"/>
    <w:rPr>
      <w:b/>
      <w:bCs/>
    </w:rPr>
  </w:style>
  <w:style w:type="character" w:customStyle="1" w:styleId="KomentarotemaDiagrama">
    <w:name w:val="Komentaro tema Diagrama"/>
    <w:basedOn w:val="KomentarotekstasDiagrama"/>
    <w:link w:val="Komentarotema"/>
    <w:uiPriority w:val="99"/>
    <w:semiHidden/>
    <w:rsid w:val="00553E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86003">
      <w:bodyDiv w:val="1"/>
      <w:marLeft w:val="0"/>
      <w:marRight w:val="0"/>
      <w:marTop w:val="0"/>
      <w:marBottom w:val="0"/>
      <w:divBdr>
        <w:top w:val="none" w:sz="0" w:space="0" w:color="auto"/>
        <w:left w:val="none" w:sz="0" w:space="0" w:color="auto"/>
        <w:bottom w:val="none" w:sz="0" w:space="0" w:color="auto"/>
        <w:right w:val="none" w:sz="0" w:space="0" w:color="auto"/>
      </w:divBdr>
    </w:div>
    <w:div w:id="588779228">
      <w:bodyDiv w:val="1"/>
      <w:marLeft w:val="0"/>
      <w:marRight w:val="0"/>
      <w:marTop w:val="0"/>
      <w:marBottom w:val="0"/>
      <w:divBdr>
        <w:top w:val="none" w:sz="0" w:space="0" w:color="auto"/>
        <w:left w:val="none" w:sz="0" w:space="0" w:color="auto"/>
        <w:bottom w:val="none" w:sz="0" w:space="0" w:color="auto"/>
        <w:right w:val="none" w:sz="0" w:space="0" w:color="auto"/>
      </w:divBdr>
    </w:div>
    <w:div w:id="1120612899">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e-seimas.lrs.lt/portal/legalAct/lt/TAK/991b5a50a35f11ec9e62f960e3ee1cb6?jfwid=-10siklwf5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Z6YWEJNPDQQR-896559167-622</_dlc_DocId>
    <_dlc_DocIdUrl xmlns="28130d43-1b56-4a10-ad88-2cd38123f4c1">
      <Url>https://intranetas.lrs.lt/29/_layouts/15/DocIdRedir.aspx?ID=Z6YWEJNPDQQR-896559167-622</Url>
      <Description>Z6YWEJNPDQQR-896559167-622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24227F-ED45-421C-85D1-9C4C41C61D51}">
  <ds:schemaRefs>
    <ds:schemaRef ds:uri="http://schemas.microsoft.com/sharepoint/v3/contenttype/forms"/>
  </ds:schemaRefs>
</ds:datastoreItem>
</file>

<file path=customXml/itemProps2.xml><?xml version="1.0" encoding="utf-8"?>
<ds:datastoreItem xmlns:ds="http://schemas.openxmlformats.org/officeDocument/2006/customXml" ds:itemID="{88AE7996-47EA-4F93-B451-0E7CA1501E38}">
  <ds:schemaRefs>
    <ds:schemaRef ds:uri="a52cbd80-a661-4d4b-8da7-0cfb297695e4"/>
    <ds:schemaRef ds:uri="http://schemas.openxmlformats.org/package/2006/metadata/core-properties"/>
    <ds:schemaRef ds:uri="http://purl.org/dc/terms/"/>
    <ds:schemaRef ds:uri="http://schemas.microsoft.com/office/infopath/2007/PartnerControls"/>
    <ds:schemaRef ds:uri="dd5ec533-78e7-431d-bc6c-7880353eb220"/>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7FBC216-9C71-4731-8FB4-A4DB310F5668}"/>
</file>

<file path=customXml/itemProps4.xml><?xml version="1.0" encoding="utf-8"?>
<ds:datastoreItem xmlns:ds="http://schemas.openxmlformats.org/officeDocument/2006/customXml" ds:itemID="{346FFDC5-C2AC-4226-8F43-5CA30CE28DA9}">
  <ds:schemaRefs>
    <ds:schemaRef ds:uri="http://schemas.openxmlformats.org/officeDocument/2006/bibliography"/>
  </ds:schemaRefs>
</ds:datastoreItem>
</file>

<file path=customXml/itemProps5.xml><?xml version="1.0" encoding="utf-8"?>
<ds:datastoreItem xmlns:ds="http://schemas.openxmlformats.org/officeDocument/2006/customXml" ds:itemID="{1FBB8D94-D908-40A4-9673-A4B83E2CD628}"/>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7925</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KNIUKŠTIENĖ Rimantė</cp:lastModifiedBy>
  <cp:revision>2</cp:revision>
  <cp:lastPrinted>2020-01-17T09:07:00Z</cp:lastPrinted>
  <dcterms:created xsi:type="dcterms:W3CDTF">2026-03-23T08:49:00Z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78fa6c14-154c-4930-a5c7-de8b530bd618</vt:lpwstr>
  </property>
</Properties>
</file>