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CF7BAC" w:rsidRDefault="00EB4FAD">
          <w:pPr>
            <w:spacing w:line="360" w:lineRule="auto"/>
            <w:jc w:val="center"/>
            <w:rPr>
              <w:rFonts w:eastAsia="Calibri"/>
              <w:szCs w:val="24"/>
              <w:lang w:val="en-US"/>
            </w:rPr>
          </w:pPr>
          <w:r w:rsidRPr="00FD1E14">
            <w:rPr>
              <w:rFonts w:eastAsia="Calibri"/>
              <w:szCs w:val="24"/>
            </w:rPr>
            <w:t>2</w:t>
          </w:r>
          <w:r w:rsidR="00F7547B">
            <w:rPr>
              <w:rFonts w:eastAsia="Calibri"/>
              <w:szCs w:val="24"/>
            </w:rPr>
            <w:t xml:space="preserve">025 m. rugsėjo </w:t>
          </w:r>
          <w:r w:rsidR="00F7547B">
            <w:rPr>
              <w:rFonts w:eastAsia="Calibri"/>
              <w:szCs w:val="24"/>
              <w:lang w:val="en-US"/>
            </w:rPr>
            <w:t>17</w:t>
          </w:r>
          <w:r w:rsidR="00CF7BAC">
            <w:rPr>
              <w:rFonts w:eastAsia="Calibri"/>
              <w:szCs w:val="24"/>
            </w:rPr>
            <w:t xml:space="preserve"> d. Nr. 250-I-</w:t>
          </w:r>
          <w:r w:rsidR="00F7547B">
            <w:rPr>
              <w:rFonts w:eastAsia="Calibri"/>
              <w:szCs w:val="24"/>
              <w:lang w:val="en-US"/>
            </w:rPr>
            <w:t>20</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5D0813" w:rsidRPr="00276913" w:rsidRDefault="00AC3DB9" w:rsidP="00276913">
              <w:pPr>
                <w:pStyle w:val="Default"/>
                <w:spacing w:line="360" w:lineRule="auto"/>
                <w:ind w:firstLine="720"/>
                <w:jc w:val="both"/>
              </w:pPr>
              <w:r w:rsidRPr="00CF7BAC">
                <w:t>Lietuvos Respublikos Seimo Pe</w:t>
              </w:r>
              <w:r w:rsidR="00FF75B2" w:rsidRPr="00CF7BAC">
                <w:t xml:space="preserve">ticijų komisija </w:t>
              </w:r>
              <w:r w:rsidR="00C145A4" w:rsidRPr="00CF7BAC">
                <w:t xml:space="preserve">(toliau – Komisija) </w:t>
              </w:r>
              <w:r w:rsidR="00F7547B">
                <w:t xml:space="preserve">2025 m. rugsėjo </w:t>
              </w:r>
              <w:r w:rsidR="00F7547B">
                <w:rPr>
                  <w:lang w:val="en-US"/>
                </w:rPr>
                <w:t>17</w:t>
              </w:r>
              <w:bookmarkStart w:id="0" w:name="_GoBack"/>
              <w:bookmarkEnd w:id="0"/>
              <w:r w:rsidR="001606EE" w:rsidRPr="00CF7BAC">
                <w:rPr>
                  <w:lang w:val="en-US"/>
                </w:rPr>
                <w:t xml:space="preserve"> </w:t>
              </w:r>
              <w:r w:rsidRPr="00CF7BAC">
                <w:t>d.</w:t>
              </w:r>
              <w:r w:rsidR="00916CF8" w:rsidRPr="00CF7BAC">
                <w:t xml:space="preserve"> posėdyje išnagrinėjo pareiškėjo</w:t>
              </w:r>
              <w:r w:rsidRPr="00CF7BAC">
                <w:t xml:space="preserve"> petic</w:t>
              </w:r>
              <w:r w:rsidR="00D92E3C" w:rsidRPr="00CF7BAC">
                <w:t>iją, kurioje pateiktas siūlymas</w:t>
              </w:r>
              <w:r w:rsidR="00D92E3C" w:rsidRPr="00CF7BAC">
                <w:rPr>
                  <w:color w:val="1F4E79" w:themeColor="accent1" w:themeShade="80"/>
                  <w:lang w:bidi="bn-IN"/>
                </w:rPr>
                <w:t xml:space="preserve"> </w:t>
              </w:r>
              <w:r w:rsidR="00EB4FAD" w:rsidRPr="00CF7BAC">
                <w:t>dėl</w:t>
              </w:r>
              <w:r w:rsidR="00276913">
                <w:t xml:space="preserve"> </w:t>
              </w:r>
              <w:r w:rsidR="00276913" w:rsidRPr="00291F52">
                <w:t>Lietuvos Respublikos asmens tapatybės kortelės ir paso įstatym</w:t>
              </w:r>
              <w:r w:rsidR="00276913">
                <w:t>o</w:t>
              </w:r>
              <w:r w:rsidR="00276913" w:rsidRPr="00291F52">
                <w:t xml:space="preserve"> (toliau – Įstatymas)</w:t>
              </w:r>
              <w:r w:rsidR="00276913">
                <w:t xml:space="preserve"> pakeitimo </w:t>
              </w:r>
              <w:r w:rsidR="00945D27" w:rsidRPr="00CF7BAC">
                <w:rPr>
                  <w:rFonts w:eastAsia="Calibri"/>
                </w:rPr>
                <w:t xml:space="preserve">ir priėmė sprendimą </w:t>
              </w:r>
              <w:r w:rsidR="00945D27" w:rsidRPr="00CF7BAC">
                <w:t xml:space="preserve">teikti Seimui išvadą </w:t>
              </w:r>
              <w:r w:rsidR="00945D27" w:rsidRPr="00CF7BAC">
                <w:rPr>
                  <w:rFonts w:eastAsia="Calibri"/>
                </w:rPr>
                <w:t>netenkinti šio siūlymo.</w:t>
              </w:r>
              <w:r w:rsidR="00D627CE" w:rsidRPr="00CF7BAC">
                <w:rPr>
                  <w:rFonts w:eastAsia="Calibri"/>
                </w:rPr>
                <w:t xml:space="preserve"> </w:t>
              </w:r>
              <w:r w:rsidR="00C145A4" w:rsidRPr="00CF7BAC">
                <w:t>K</w:t>
              </w:r>
              <w:r w:rsidR="00FF75B2" w:rsidRPr="00CF7BAC">
                <w:t>omisija</w:t>
              </w:r>
              <w:r w:rsidR="00F60FE9" w:rsidRPr="00CF7BAC">
                <w:rPr>
                  <w:rFonts w:eastAsia="Calibri"/>
                </w:rPr>
                <w:t xml:space="preserve"> sprendimą priė</w:t>
              </w:r>
              <w:r w:rsidR="00FF75B2" w:rsidRPr="00CF7BAC">
                <w:rPr>
                  <w:rFonts w:eastAsia="Calibri"/>
                </w:rPr>
                <w:t>mė</w:t>
              </w:r>
              <w:r w:rsidR="00945D27" w:rsidRPr="00CF7BAC">
                <w:rPr>
                  <w:rFonts w:eastAsia="Calibri"/>
                </w:rPr>
                <w:t xml:space="preserve"> atsižvelgus</w:t>
              </w:r>
              <w:r w:rsidR="00FF75B2" w:rsidRPr="00CF7BAC">
                <w:rPr>
                  <w:rFonts w:eastAsia="Calibri"/>
                </w:rPr>
                <w:t>i</w:t>
              </w:r>
              <w:r w:rsidR="00945D27" w:rsidRPr="00CF7BAC">
                <w:rPr>
                  <w:rFonts w:eastAsia="Calibri"/>
                </w:rPr>
                <w:t xml:space="preserve"> į </w:t>
              </w:r>
              <w:r w:rsidR="001606EE" w:rsidRPr="00CF7BAC">
                <w:rPr>
                  <w:color w:val="000000" w:themeColor="text1"/>
                </w:rPr>
                <w:t xml:space="preserve">Lietuvos Respublikos </w:t>
              </w:r>
              <w:r w:rsidR="002F4574">
                <w:rPr>
                  <w:color w:val="000000" w:themeColor="text1"/>
                </w:rPr>
                <w:t xml:space="preserve">vidaus reikalų </w:t>
              </w:r>
              <w:r w:rsidR="005D0813" w:rsidRPr="00CF7BAC">
                <w:rPr>
                  <w:color w:val="000000" w:themeColor="text1"/>
                </w:rPr>
                <w:t>minis</w:t>
              </w:r>
              <w:r w:rsidR="001606EE" w:rsidRPr="00CF7BAC">
                <w:rPr>
                  <w:color w:val="000000" w:themeColor="text1"/>
                </w:rPr>
                <w:t xml:space="preserve">terijos </w:t>
              </w:r>
              <w:r w:rsidR="005D0813" w:rsidRPr="00CF7BAC">
                <w:rPr>
                  <w:color w:val="000000" w:themeColor="text1"/>
                </w:rPr>
                <w:t>nuomonę dėl peticijoje pateikto siūlymo.</w:t>
              </w:r>
            </w:p>
            <w:p w:rsidR="002F4574" w:rsidRDefault="00DF6855" w:rsidP="002F4574">
              <w:pPr>
                <w:spacing w:line="360" w:lineRule="auto"/>
                <w:ind w:firstLine="720"/>
                <w:jc w:val="both"/>
                <w:rPr>
                  <w:color w:val="000000" w:themeColor="text1"/>
                </w:rPr>
              </w:pPr>
              <w:r w:rsidRPr="00CF7BAC">
                <w:rPr>
                  <w:rFonts w:eastAsia="Calibri"/>
                  <w:color w:val="000000" w:themeColor="text1"/>
                  <w:szCs w:val="24"/>
                </w:rPr>
                <w:t>Pareiškėjas siūlo</w:t>
              </w:r>
              <w:r w:rsidRPr="00CF7BAC">
                <w:rPr>
                  <w:rFonts w:eastAsia="Calibri"/>
                  <w:szCs w:val="24"/>
                </w:rPr>
                <w:t xml:space="preserve"> papildyti </w:t>
              </w:r>
              <w:r w:rsidR="002F4574" w:rsidRPr="00291F52">
                <w:rPr>
                  <w:szCs w:val="24"/>
                </w:rPr>
                <w:t>pakeisti</w:t>
              </w:r>
              <w:r w:rsidR="002F4574">
                <w:rPr>
                  <w:szCs w:val="24"/>
                </w:rPr>
                <w:t xml:space="preserve"> ar pripažinti negaliojančiu</w:t>
              </w:r>
              <w:r w:rsidR="002F4574" w:rsidRPr="00291F52">
                <w:rPr>
                  <w:szCs w:val="24"/>
                </w:rPr>
                <w:t xml:space="preserve"> </w:t>
              </w:r>
              <w:r w:rsidR="00276913">
                <w:rPr>
                  <w:szCs w:val="24"/>
                </w:rPr>
                <w:t>Įstatymą</w:t>
              </w:r>
              <w:r w:rsidR="002F4574">
                <w:rPr>
                  <w:szCs w:val="24"/>
                </w:rPr>
                <w:t xml:space="preserve">, suteikiant galimybę </w:t>
              </w:r>
              <w:r w:rsidR="002F4574" w:rsidRPr="0096067B">
                <w:rPr>
                  <w:color w:val="000000" w:themeColor="text1"/>
                </w:rPr>
                <w:t>piliečiams turėti asmens dokumentą be biometrinių duomenų tapatybei patvirtinti.</w:t>
              </w:r>
            </w:p>
            <w:p w:rsidR="002F4574" w:rsidRDefault="002F4574" w:rsidP="002F4574">
              <w:pPr>
                <w:spacing w:line="360" w:lineRule="auto"/>
                <w:ind w:firstLine="720"/>
                <w:jc w:val="both"/>
                <w:rPr>
                  <w:szCs w:val="24"/>
                </w:rPr>
              </w:pPr>
              <w:r>
                <w:rPr>
                  <w:szCs w:val="24"/>
                </w:rPr>
                <w:t xml:space="preserve">Įstatymo 3 straipsnio 1 dalyje nustatyta, kad asmens tapatybės kortelė ir </w:t>
              </w:r>
              <w:r w:rsidRPr="00241F52">
                <w:rPr>
                  <w:szCs w:val="24"/>
                </w:rPr>
                <w:t xml:space="preserve"> pasas yra Lietuvos Respublikos piliečio </w:t>
              </w:r>
              <w:r>
                <w:rPr>
                  <w:szCs w:val="24"/>
                </w:rPr>
                <w:t xml:space="preserve">(toliau – pilietis) </w:t>
              </w:r>
              <w:r w:rsidRPr="00241F52">
                <w:rPr>
                  <w:szCs w:val="24"/>
                </w:rPr>
                <w:t>asmens dokumentai, patvirtinantys jo asmens tapatybę ir pilietybę</w:t>
              </w:r>
              <w:r>
                <w:rPr>
                  <w:szCs w:val="24"/>
                </w:rPr>
                <w:t xml:space="preserve">. Pagal Įstatymo 3 straipsnio 4 dalį, </w:t>
              </w:r>
              <w:r w:rsidRPr="000A76D6">
                <w:rPr>
                  <w:szCs w:val="24"/>
                </w:rPr>
                <w:t>Lietuvos Respublikoje gyvenantys piliečiai nuo 16 metų privalo turėti galiojančią asmens tapatybės kortelę arba pasą.</w:t>
              </w:r>
              <w:r>
                <w:rPr>
                  <w:szCs w:val="24"/>
                </w:rPr>
                <w:t xml:space="preserve"> Įstatymo 5 straipsnis reglamentuoja, kokie įrašai yra asmens tapatybės kortelėje ir pase, šio straipsnio 6 ir 7 dalyse nustatyta, kad be kitų įrašų, asmens tapatybės kortelėje ir pase elektroniniu būdu fiksuojami ir </w:t>
              </w:r>
              <w:r w:rsidRPr="00241F52">
                <w:rPr>
                  <w:szCs w:val="24"/>
                </w:rPr>
                <w:t>piliečio biometriniai duomenys tapatybei patvirtinti – veido atvaizdas ir dviejų pirštų atspaudai</w:t>
              </w:r>
              <w:r>
                <w:rPr>
                  <w:szCs w:val="24"/>
                </w:rPr>
                <w:t xml:space="preserve">. Įstatymo 5 straipsnio 8 dalyje nustatyta, kad </w:t>
              </w:r>
              <w:r w:rsidRPr="00F60A1F">
                <w:rPr>
                  <w:szCs w:val="24"/>
                </w:rPr>
                <w:t> </w:t>
              </w:r>
              <w:r w:rsidRPr="00F60A1F">
                <w:rPr>
                  <w:i/>
                  <w:iCs/>
                  <w:szCs w:val="24"/>
                </w:rPr>
                <w:t>pasas Reglamento (EB) Nr. 2252/2004 1 straipsnio 2a ir 2b dalyse nustatytais atvejais ir tvarka gali būti išduotas be jame elektroniniu būdu fiksuotų pirštų atspaudų. Asmens tapatybės kortelė be joje elektroniniu būdu fiksuotų pirštų atspaudų išduodama jaunesniems negu 12 metų piliečiams ir Reglamento (ES) Nr. 2019/1157 3 straipsnio 7 dalyje nustatytu atveju</w:t>
              </w:r>
              <w:r>
                <w:rPr>
                  <w:szCs w:val="24"/>
                </w:rPr>
                <w:t>.</w:t>
              </w:r>
            </w:p>
            <w:p w:rsidR="00276913" w:rsidRDefault="002F4574" w:rsidP="00276913">
              <w:pPr>
                <w:spacing w:line="360" w:lineRule="auto"/>
                <w:ind w:firstLine="720"/>
                <w:jc w:val="both"/>
                <w:rPr>
                  <w:szCs w:val="24"/>
                </w:rPr>
              </w:pPr>
              <w:r>
                <w:rPr>
                  <w:szCs w:val="24"/>
                </w:rPr>
                <w:t xml:space="preserve">Pažymėtina, kad Įstatymo nuostatos įgyvendina </w:t>
              </w:r>
              <w:r w:rsidRPr="00241F52">
                <w:rPr>
                  <w:szCs w:val="24"/>
                </w:rPr>
                <w:t xml:space="preserve">2004 m. gruodžio 13 d. Tarybos </w:t>
              </w:r>
              <w:bookmarkStart w:id="1" w:name="_Hlk200616373"/>
              <w:r w:rsidRPr="00241F52">
                <w:rPr>
                  <w:szCs w:val="24"/>
                </w:rPr>
                <w:t>reglament</w:t>
              </w:r>
              <w:r>
                <w:rPr>
                  <w:szCs w:val="24"/>
                </w:rPr>
                <w:t>ą</w:t>
              </w:r>
              <w:r w:rsidRPr="00241F52">
                <w:rPr>
                  <w:szCs w:val="24"/>
                </w:rPr>
                <w:t xml:space="preserve"> (EB) Nr. 2252/2004</w:t>
              </w:r>
              <w:bookmarkEnd w:id="1"/>
              <w:r w:rsidRPr="00241F52">
                <w:rPr>
                  <w:szCs w:val="24"/>
                </w:rPr>
                <w:t xml:space="preserve"> dėl valstybių narių išduodamų pasų ir kelionės dokumentų apsauginių savybių ir biometrikos standartų su paskutiniais pakeitimais, padarytais 2009 m. gegužės 28 d. Europos Parlamento</w:t>
              </w:r>
              <w:r>
                <w:rPr>
                  <w:szCs w:val="24"/>
                </w:rPr>
                <w:t xml:space="preserve"> </w:t>
              </w:r>
              <w:r w:rsidRPr="00241F52">
                <w:rPr>
                  <w:szCs w:val="24"/>
                </w:rPr>
                <w:t xml:space="preserve"> ir Tarybos reglamentu (EB) Nr. 444/2009</w:t>
              </w:r>
              <w:r>
                <w:rPr>
                  <w:szCs w:val="24"/>
                </w:rPr>
                <w:t>, ir</w:t>
              </w:r>
              <w:bookmarkStart w:id="2" w:name="part_c4604b9268614327988809fa4131f9b5"/>
              <w:bookmarkEnd w:id="2"/>
              <w:r>
                <w:rPr>
                  <w:szCs w:val="24"/>
                </w:rPr>
                <w:t xml:space="preserve"> </w:t>
              </w:r>
              <w:r w:rsidRPr="00241F52">
                <w:rPr>
                  <w:szCs w:val="24"/>
                </w:rPr>
                <w:t>2019 m. birželio 20 d. Europos Parlamento ir Tarybos reglament</w:t>
              </w:r>
              <w:r>
                <w:rPr>
                  <w:szCs w:val="24"/>
                </w:rPr>
                <w:t>ą</w:t>
              </w:r>
              <w:r w:rsidRPr="00241F52">
                <w:rPr>
                  <w:szCs w:val="24"/>
                </w:rPr>
                <w:t xml:space="preserve"> </w:t>
              </w:r>
              <w:bookmarkStart w:id="3" w:name="_Hlk200618315"/>
              <w:r w:rsidRPr="00241F52">
                <w:rPr>
                  <w:szCs w:val="24"/>
                </w:rPr>
                <w:t xml:space="preserve">(ES) Nr. 2019/1157 </w:t>
              </w:r>
              <w:bookmarkEnd w:id="3"/>
              <w:r w:rsidRPr="00241F52">
                <w:rPr>
                  <w:szCs w:val="24"/>
                </w:rPr>
                <w:t xml:space="preserve">dėl Sąjungos piliečių tapatybės kortelių ir Sąjungos piliečiams bei jų šeimos nariams, kurie naudojasi laisvo judėjimo teise, išduodamų teisę gyventi šalyje patvirtinančių dokumentų saugumo </w:t>
              </w:r>
              <w:r w:rsidRPr="00276913">
                <w:rPr>
                  <w:szCs w:val="24"/>
                </w:rPr>
                <w:t>didinimo</w:t>
              </w:r>
              <w:r w:rsidR="00276913" w:rsidRPr="00276913">
                <w:rPr>
                  <w:szCs w:val="24"/>
                </w:rPr>
                <w:t xml:space="preserve"> </w:t>
              </w:r>
              <w:r w:rsidR="00276913" w:rsidRPr="00276913">
                <w:t>(toliau – Reglamentai)</w:t>
              </w:r>
              <w:r w:rsidRPr="00276913">
                <w:rPr>
                  <w:szCs w:val="24"/>
                </w:rPr>
                <w:t>.</w:t>
              </w:r>
              <w:r>
                <w:rPr>
                  <w:szCs w:val="24"/>
                </w:rPr>
                <w:t xml:space="preserve"> </w:t>
              </w:r>
              <w:r w:rsidRPr="00CF7BAC">
                <w:rPr>
                  <w:color w:val="000000" w:themeColor="text1"/>
                </w:rPr>
                <w:t xml:space="preserve">Lietuvos Respublikos </w:t>
              </w:r>
              <w:r>
                <w:rPr>
                  <w:color w:val="000000" w:themeColor="text1"/>
                </w:rPr>
                <w:lastRenderedPageBreak/>
                <w:t xml:space="preserve">vidaus reikalų </w:t>
              </w:r>
              <w:r w:rsidRPr="00CF7BAC">
                <w:rPr>
                  <w:color w:val="000000" w:themeColor="text1"/>
                </w:rPr>
                <w:t>minis</w:t>
              </w:r>
              <w:r>
                <w:rPr>
                  <w:color w:val="000000" w:themeColor="text1"/>
                </w:rPr>
                <w:t xml:space="preserve">terija pabrėžė, </w:t>
              </w:r>
              <w:r>
                <w:rPr>
                  <w:szCs w:val="24"/>
                </w:rPr>
                <w:t xml:space="preserve">kad </w:t>
              </w:r>
              <w:r w:rsidR="00276913">
                <w:rPr>
                  <w:szCs w:val="24"/>
                </w:rPr>
                <w:t xml:space="preserve">galiojančios </w:t>
              </w:r>
              <w:r>
                <w:rPr>
                  <w:szCs w:val="24"/>
                </w:rPr>
                <w:t>nacionalinių teisės aktų nuostatos dėl biometrinių duomenų įrašymo piliečiams išduodamose asmens tapatybės kortelėse ir pasuose yra suderintos ir atitinka reglamentų, kurie yra privalomi ir tiesiogiai taikomi teisės aktai, nuostatas.</w:t>
              </w:r>
            </w:p>
            <w:p w:rsidR="002F4574" w:rsidRDefault="002F4574" w:rsidP="00276913">
              <w:pPr>
                <w:spacing w:line="360" w:lineRule="auto"/>
                <w:ind w:firstLine="720"/>
                <w:jc w:val="both"/>
                <w:rPr>
                  <w:szCs w:val="24"/>
                </w:rPr>
              </w:pPr>
              <w:r>
                <w:rPr>
                  <w:szCs w:val="24"/>
                </w:rPr>
                <w:t xml:space="preserve">Reglamentuose, kurie, kaip minėta, yra privalomi ir tiesiogiai taikomi visose valstybėse narėse, taigi ir Lietuvoje, yra nustatytas baigtinis sąrašas atvejų (aplinkybių), kada asmens tapatybės kortelė ir (ar) pasas piliečiui gali būti išduodamas be pirštų atspaudų, ir tai yra susiję su objektyviais faktais – piliečio amžiumi (vaikai iki 12 metų) ir fizinėmis nuolatinėmis ar ilgalaikėmis asmens būklėmis, dėl kurių pirštų atspaudų paėmimas yra objektyviai neįmanomas, arba laikinomis aplinkybėmis, dėl kurių piršto atspaudų paėmimas neįmanomas, tačiau laikinų aplinkybių atveju piliečiui galėtų būti išduodama ne ilgiau kaip 12 mėn. galiojanti asmens tapatybės kortelė ar pasas.  Reglamente nėra nuostatų, leidžiančių išduoti asmens tapatybės korteles ar pasus be juose įrašytų pirštų atspaudų dėl kitų priežasčių, pvz., piliečio įsitikinimų, religinių ar kitų priežasčių ar tiesiog piliečio pageidavimu, taip pat valstybėms nesuteikiama </w:t>
              </w:r>
              <w:proofErr w:type="spellStart"/>
              <w:r>
                <w:rPr>
                  <w:szCs w:val="24"/>
                </w:rPr>
                <w:t>diskrecija</w:t>
              </w:r>
              <w:proofErr w:type="spellEnd"/>
              <w:r>
                <w:rPr>
                  <w:szCs w:val="24"/>
                </w:rPr>
                <w:t xml:space="preserve"> nacionaliniuose teisės aktuose išplėsti aplinkybių, kurioms esant, asmens tapatybės kortelė ir pasas galėtų būti išduodami be minėtų biometrinių duomenų, sąrašo. Asmens tapatybę patvirtinantis dokumentas be jame įrašyto veido atvaizdo apskritai neįsivaizduojamas</w:t>
              </w:r>
              <w:r w:rsidR="00276913">
                <w:rPr>
                  <w:szCs w:val="24"/>
                </w:rPr>
                <w:t xml:space="preserve">. </w:t>
              </w:r>
              <w:r>
                <w:rPr>
                  <w:szCs w:val="24"/>
                </w:rPr>
                <w:t xml:space="preserve">Kreipimesi pateikti pasiūlymai gali būti traktuojami kaip neatitinkantys Europos Sąjungos lygmeniu priimtų teisės aktų reikalavimų. </w:t>
              </w:r>
            </w:p>
            <w:p w:rsidR="002F4574" w:rsidRPr="008B0511" w:rsidRDefault="00276913" w:rsidP="00276913">
              <w:pPr>
                <w:pStyle w:val="Betarp"/>
                <w:spacing w:line="360"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B</w:t>
              </w:r>
              <w:r w:rsidR="002F4574" w:rsidRPr="00093A3D">
                <w:rPr>
                  <w:rFonts w:ascii="Times New Roman" w:hAnsi="Times New Roman" w:cs="Times New Roman"/>
                  <w:sz w:val="24"/>
                  <w:szCs w:val="24"/>
                </w:rPr>
                <w:t xml:space="preserve">iometrinių duomenų įrašymas yra susijęs su </w:t>
              </w:r>
              <w:r w:rsidR="002F4574">
                <w:rPr>
                  <w:rFonts w:ascii="Times New Roman" w:hAnsi="Times New Roman" w:cs="Times New Roman"/>
                  <w:sz w:val="24"/>
                  <w:szCs w:val="24"/>
                </w:rPr>
                <w:t xml:space="preserve">asmens </w:t>
              </w:r>
              <w:r w:rsidR="002F4574" w:rsidRPr="00093A3D">
                <w:rPr>
                  <w:rFonts w:ascii="Times New Roman" w:hAnsi="Times New Roman" w:cs="Times New Roman"/>
                  <w:sz w:val="24"/>
                  <w:szCs w:val="24"/>
                </w:rPr>
                <w:t>dokumentų saugumo ir autentiškumo užtikrinimu.</w:t>
              </w:r>
              <w:r w:rsidR="002F4574">
                <w:rPr>
                  <w:rFonts w:ascii="Times New Roman" w:hAnsi="Times New Roman" w:cs="Times New Roman"/>
                  <w:i/>
                  <w:iCs/>
                  <w:sz w:val="24"/>
                  <w:szCs w:val="24"/>
                </w:rPr>
                <w:t xml:space="preserve"> </w:t>
              </w:r>
              <w:r w:rsidR="002F4574">
                <w:rPr>
                  <w:rFonts w:ascii="Times New Roman" w:hAnsi="Times New Roman" w:cs="Times New Roman"/>
                  <w:sz w:val="24"/>
                  <w:szCs w:val="24"/>
                </w:rPr>
                <w:t xml:space="preserve">Be to, </w:t>
              </w:r>
              <w:r w:rsidR="002F4574" w:rsidRPr="002629E8">
                <w:rPr>
                  <w:rFonts w:ascii="Times New Roman" w:hAnsi="Times New Roman" w:cs="Times New Roman"/>
                  <w:sz w:val="24"/>
                  <w:szCs w:val="24"/>
                </w:rPr>
                <w:t xml:space="preserve">valstybių narių išduodamų kelionės dokumentų suderinimas yra svarbus užtikrinant </w:t>
              </w:r>
              <w:r w:rsidR="002F4574">
                <w:rPr>
                  <w:rFonts w:ascii="Times New Roman" w:hAnsi="Times New Roman" w:cs="Times New Roman"/>
                  <w:sz w:val="24"/>
                  <w:szCs w:val="24"/>
                </w:rPr>
                <w:t xml:space="preserve">ir </w:t>
              </w:r>
              <w:r w:rsidR="002F4574" w:rsidRPr="002629E8">
                <w:rPr>
                  <w:rFonts w:ascii="Times New Roman" w:hAnsi="Times New Roman" w:cs="Times New Roman"/>
                  <w:sz w:val="24"/>
                  <w:szCs w:val="24"/>
                </w:rPr>
                <w:t>palankesnes sąlygas Europos Sąjungos piliečiams ir jų šeimos nariams naudotis laisvo judėjimo teise.</w:t>
              </w:r>
              <w:r w:rsidR="002F4574">
                <w:rPr>
                  <w:rFonts w:ascii="Times New Roman" w:hAnsi="Times New Roman" w:cs="Times New Roman"/>
                  <w:sz w:val="24"/>
                  <w:szCs w:val="24"/>
                </w:rPr>
                <w:t xml:space="preserve"> </w:t>
              </w:r>
            </w:p>
            <w:p w:rsidR="002F4574" w:rsidRDefault="002F4574" w:rsidP="00276913">
              <w:pPr>
                <w:pStyle w:val="Betarp"/>
                <w:spacing w:line="360"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Reglamentuose imperatyviai nustatyta pareiga valstybėms užtikrinti, kad biometriniai duomenys būtų laikomi saugiai ir naudojami tik tai paskirčiai, kuriai jie buvo surinkti. Tuo tikslu Įstatymo 11 straipsnyje yra aiškiai nustatyta, kad</w:t>
              </w:r>
              <w:r w:rsidRPr="00A967CB">
                <w:rPr>
                  <w:rFonts w:ascii="Times New Roman" w:hAnsi="Times New Roman" w:cs="Times New Roman"/>
                  <w:sz w:val="24"/>
                  <w:szCs w:val="24"/>
                </w:rPr>
                <w:t xml:space="preserve"> asmens duomen</w:t>
              </w:r>
              <w:r>
                <w:rPr>
                  <w:rFonts w:ascii="Times New Roman" w:hAnsi="Times New Roman" w:cs="Times New Roman"/>
                  <w:sz w:val="24"/>
                  <w:szCs w:val="24"/>
                </w:rPr>
                <w:t>ys</w:t>
              </w:r>
              <w:r w:rsidRPr="00A967CB">
                <w:rPr>
                  <w:rFonts w:ascii="Times New Roman" w:hAnsi="Times New Roman" w:cs="Times New Roman"/>
                  <w:sz w:val="24"/>
                  <w:szCs w:val="24"/>
                </w:rPr>
                <w:t>, reikaling</w:t>
              </w:r>
              <w:r>
                <w:rPr>
                  <w:rFonts w:ascii="Times New Roman" w:hAnsi="Times New Roman" w:cs="Times New Roman"/>
                  <w:sz w:val="24"/>
                  <w:szCs w:val="24"/>
                </w:rPr>
                <w:t>i</w:t>
              </w:r>
              <w:r w:rsidRPr="00A967CB">
                <w:rPr>
                  <w:rFonts w:ascii="Times New Roman" w:hAnsi="Times New Roman" w:cs="Times New Roman"/>
                  <w:sz w:val="24"/>
                  <w:szCs w:val="24"/>
                </w:rPr>
                <w:t xml:space="preserve"> šiame įstatyme nustatytoms funkcijoms atlikti, tvarko</w:t>
              </w:r>
              <w:r>
                <w:rPr>
                  <w:rFonts w:ascii="Times New Roman" w:hAnsi="Times New Roman" w:cs="Times New Roman"/>
                  <w:sz w:val="24"/>
                  <w:szCs w:val="24"/>
                </w:rPr>
                <w:t>mi</w:t>
              </w:r>
              <w:r w:rsidRPr="00A967CB">
                <w:rPr>
                  <w:rFonts w:ascii="Times New Roman" w:hAnsi="Times New Roman" w:cs="Times New Roman"/>
                  <w:sz w:val="24"/>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nustatyta tvarka</w:t>
              </w:r>
              <w:r>
                <w:rPr>
                  <w:rFonts w:ascii="Times New Roman" w:hAnsi="Times New Roman" w:cs="Times New Roman"/>
                  <w:sz w:val="24"/>
                  <w:szCs w:val="24"/>
                </w:rPr>
                <w:t xml:space="preserve">, t. y. </w:t>
              </w:r>
              <w:r w:rsidRPr="00BF1132">
                <w:rPr>
                  <w:rFonts w:ascii="Times New Roman" w:hAnsi="Times New Roman" w:cs="Times New Roman"/>
                  <w:sz w:val="24"/>
                  <w:szCs w:val="24"/>
                </w:rPr>
                <w:t>biometrinių duomenų tvarkym</w:t>
              </w:r>
              <w:r>
                <w:rPr>
                  <w:rFonts w:ascii="Times New Roman" w:hAnsi="Times New Roman" w:cs="Times New Roman"/>
                  <w:sz w:val="24"/>
                  <w:szCs w:val="24"/>
                </w:rPr>
                <w:t xml:space="preserve">as turi užtikrinti </w:t>
              </w:r>
              <w:r w:rsidRPr="00BF1132">
                <w:rPr>
                  <w:rFonts w:ascii="Times New Roman" w:hAnsi="Times New Roman" w:cs="Times New Roman"/>
                  <w:sz w:val="24"/>
                  <w:szCs w:val="24"/>
                </w:rPr>
                <w:t>Reglament</w:t>
              </w:r>
              <w:r>
                <w:rPr>
                  <w:rFonts w:ascii="Times New Roman" w:hAnsi="Times New Roman" w:cs="Times New Roman"/>
                  <w:sz w:val="24"/>
                  <w:szCs w:val="24"/>
                </w:rPr>
                <w:t>e</w:t>
              </w:r>
              <w:r w:rsidRPr="00BF1132">
                <w:rPr>
                  <w:rFonts w:ascii="Times New Roman" w:hAnsi="Times New Roman" w:cs="Times New Roman"/>
                  <w:sz w:val="24"/>
                  <w:szCs w:val="24"/>
                </w:rPr>
                <w:t xml:space="preserve"> (ES) 2016/679</w:t>
              </w:r>
              <w:r>
                <w:rPr>
                  <w:rFonts w:ascii="Times New Roman" w:hAnsi="Times New Roman" w:cs="Times New Roman"/>
                  <w:sz w:val="24"/>
                  <w:szCs w:val="24"/>
                </w:rPr>
                <w:t xml:space="preserve"> nustatytų s</w:t>
              </w:r>
              <w:r w:rsidRPr="00084909">
                <w:rPr>
                  <w:rFonts w:ascii="Times New Roman" w:hAnsi="Times New Roman" w:cs="Times New Roman"/>
                  <w:sz w:val="24"/>
                  <w:szCs w:val="24"/>
                </w:rPr>
                <w:t>u asmens duomenų tvarkymu susij</w:t>
              </w:r>
              <w:r>
                <w:rPr>
                  <w:rFonts w:ascii="Times New Roman" w:hAnsi="Times New Roman" w:cs="Times New Roman"/>
                  <w:sz w:val="24"/>
                  <w:szCs w:val="24"/>
                </w:rPr>
                <w:t>usių</w:t>
              </w:r>
              <w:r w:rsidRPr="00084909">
                <w:rPr>
                  <w:rFonts w:ascii="Times New Roman" w:hAnsi="Times New Roman" w:cs="Times New Roman"/>
                  <w:sz w:val="24"/>
                  <w:szCs w:val="24"/>
                </w:rPr>
                <w:t xml:space="preserve"> princip</w:t>
              </w:r>
              <w:r>
                <w:rPr>
                  <w:rFonts w:ascii="Times New Roman" w:hAnsi="Times New Roman" w:cs="Times New Roman"/>
                  <w:sz w:val="24"/>
                  <w:szCs w:val="24"/>
                </w:rPr>
                <w:t xml:space="preserve">ų, teisėto tvarkymo sąlygų ir kitų </w:t>
              </w:r>
              <w:r w:rsidRPr="00BF1132">
                <w:rPr>
                  <w:rFonts w:ascii="Times New Roman" w:hAnsi="Times New Roman" w:cs="Times New Roman"/>
                  <w:sz w:val="24"/>
                  <w:szCs w:val="24"/>
                </w:rPr>
                <w:t>Reglament</w:t>
              </w:r>
              <w:r>
                <w:rPr>
                  <w:rFonts w:ascii="Times New Roman" w:hAnsi="Times New Roman" w:cs="Times New Roman"/>
                  <w:sz w:val="24"/>
                  <w:szCs w:val="24"/>
                </w:rPr>
                <w:t>e</w:t>
              </w:r>
              <w:r w:rsidRPr="00BF1132">
                <w:rPr>
                  <w:rFonts w:ascii="Times New Roman" w:hAnsi="Times New Roman" w:cs="Times New Roman"/>
                  <w:sz w:val="24"/>
                  <w:szCs w:val="24"/>
                </w:rPr>
                <w:t xml:space="preserve"> (ES) 2016/679</w:t>
              </w:r>
              <w:r>
                <w:rPr>
                  <w:rFonts w:ascii="Times New Roman" w:hAnsi="Times New Roman" w:cs="Times New Roman"/>
                  <w:sz w:val="24"/>
                  <w:szCs w:val="24"/>
                </w:rPr>
                <w:t xml:space="preserve"> nustatytų reikalavimų laikymąsi. </w:t>
              </w:r>
            </w:p>
            <w:p w:rsidR="00DF6855" w:rsidRPr="00DF6855" w:rsidRDefault="00DF6855" w:rsidP="00276913">
              <w:pPr>
                <w:spacing w:line="360" w:lineRule="auto"/>
                <w:ind w:firstLine="720"/>
                <w:jc w:val="both"/>
                <w:rPr>
                  <w:rFonts w:eastAsia="Calibri"/>
                  <w:szCs w:val="24"/>
                  <w:lang w:val="en-US"/>
                </w:rPr>
              </w:pPr>
              <w:r w:rsidRPr="00CF7BAC">
                <w:rPr>
                  <w:rFonts w:eastAsia="Calibri"/>
                  <w:szCs w:val="24"/>
                </w:rPr>
                <w:t>Atsižvelgiant į tai, kas išdėstyta, Komisija mano</w:t>
              </w:r>
              <w:r w:rsidR="00CF7BAC" w:rsidRPr="00CF7BAC">
                <w:rPr>
                  <w:rFonts w:eastAsia="Calibri"/>
                  <w:szCs w:val="24"/>
                </w:rPr>
                <w:t>,</w:t>
              </w:r>
              <w:r w:rsidR="00CF7BAC">
                <w:rPr>
                  <w:rFonts w:eastAsia="Calibri"/>
                  <w:szCs w:val="24"/>
                </w:rPr>
                <w:t xml:space="preserve"> kad</w:t>
              </w:r>
              <w:r>
                <w:rPr>
                  <w:rFonts w:eastAsia="Calibri"/>
                  <w:szCs w:val="24"/>
                </w:rPr>
                <w:t xml:space="preserve"> pareiškėjo peticijoje pateikiama </w:t>
              </w:r>
              <w:r w:rsidRPr="00276913">
                <w:rPr>
                  <w:rFonts w:eastAsia="Calibri"/>
                  <w:szCs w:val="24"/>
                </w:rPr>
                <w:t xml:space="preserve">argumentacija nepagrindžia </w:t>
              </w:r>
              <w:r w:rsidR="00276913" w:rsidRPr="00276913">
                <w:rPr>
                  <w:rFonts w:eastAsia="Calibri"/>
                  <w:szCs w:val="24"/>
                </w:rPr>
                <w:t xml:space="preserve">Įstatymo pakeitimo </w:t>
              </w:r>
              <w:r w:rsidRPr="00276913">
                <w:rPr>
                  <w:rFonts w:eastAsia="Calibri"/>
                  <w:szCs w:val="24"/>
                </w:rPr>
                <w:t>būtinumo.</w:t>
              </w:r>
              <w:r>
                <w:rPr>
                  <w:rFonts w:eastAsia="Calibri"/>
                  <w:szCs w:val="24"/>
                </w:rPr>
                <w:t xml:space="preserve"> </w:t>
              </w:r>
            </w:p>
            <w:p w:rsidR="005427A1" w:rsidRPr="00FD1E14" w:rsidRDefault="00F60FE9" w:rsidP="00276913">
              <w:pPr>
                <w:spacing w:line="360" w:lineRule="auto"/>
                <w:ind w:firstLine="709"/>
                <w:jc w:val="both"/>
                <w:rPr>
                  <w:szCs w:val="24"/>
                </w:rPr>
              </w:pPr>
              <w:r w:rsidRPr="00FD1E14">
                <w:rPr>
                  <w:rFonts w:eastAsia="Calibri"/>
                  <w:szCs w:val="24"/>
                  <w:lang w:eastAsia="ar-SA"/>
                </w:rPr>
                <w:t xml:space="preserve">Vadovaujantis Lietuvos Respublikos peticijų konstitucinio įstatymo 18 straipsnio 4 dalies 2 punktu ir Lietuvos Respublikos Seimo Peticijų komisijos nuostatų, patvirtintų Seimo 2023 m. birželio </w:t>
              </w:r>
              <w:r w:rsidRPr="00FD1E14">
                <w:rPr>
                  <w:rFonts w:eastAsia="Calibri"/>
                  <w:szCs w:val="24"/>
                  <w:lang w:eastAsia="ar-SA"/>
                </w:rPr>
                <w:lastRenderedPageBreak/>
                <w:t>27 d. nutarimu Nr. XIV-2101 „Dėl Lietuvos Respublikos Seimo Peticijų komisijos nuostatų patvirtinimo“, 8.7 punktu, Seimo Peticijų komisijos išvada dėl pareiškėjo peticijoje pateikto siūlymo netenkinimo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w:t>
              </w:r>
              <w:r w:rsidR="002F4574">
                <w:rPr>
                  <w:rFonts w:eastAsia="Calibri"/>
                  <w:szCs w:val="24"/>
                  <w:lang w:eastAsia="ar-SA"/>
                </w:rPr>
                <w:t>I (rudens</w:t>
              </w:r>
              <w:r w:rsidRPr="00FD1E14">
                <w:rPr>
                  <w:rFonts w:eastAsia="Calibri"/>
                  <w:szCs w:val="24"/>
                  <w:lang w:eastAsia="ar-SA"/>
                </w:rPr>
                <w:t>) sesijos darbotvarkę Seimo nutarimo „Dėl Lietuvos Respublikos Seimo Peticijų komisijos 202</w:t>
              </w:r>
              <w:r w:rsidR="005D0813" w:rsidRPr="00FD1E14">
                <w:rPr>
                  <w:rFonts w:eastAsia="Calibri"/>
                  <w:szCs w:val="24"/>
                  <w:lang w:val="en-US" w:eastAsia="ar-SA"/>
                </w:rPr>
                <w:t>5</w:t>
              </w:r>
              <w:r w:rsidR="00F7547B">
                <w:rPr>
                  <w:rFonts w:eastAsia="Calibri"/>
                  <w:szCs w:val="24"/>
                  <w:lang w:eastAsia="ar-SA"/>
                </w:rPr>
                <w:t xml:space="preserve"> m. rugsėjo </w:t>
              </w:r>
              <w:r w:rsidR="00F7547B">
                <w:rPr>
                  <w:rFonts w:eastAsia="Calibri"/>
                  <w:szCs w:val="24"/>
                  <w:lang w:val="en-US" w:eastAsia="ar-SA"/>
                </w:rPr>
                <w:t>17</w:t>
              </w:r>
              <w:r w:rsidR="00DF6855">
                <w:rPr>
                  <w:rFonts w:eastAsia="Calibri"/>
                  <w:szCs w:val="24"/>
                  <w:lang w:val="en-US" w:eastAsia="ar-SA"/>
                </w:rPr>
                <w:t xml:space="preserve"> </w:t>
              </w:r>
              <w:r w:rsidR="002F4574">
                <w:rPr>
                  <w:rFonts w:eastAsia="Calibri"/>
                  <w:szCs w:val="24"/>
                  <w:lang w:eastAsia="ar-SA"/>
                </w:rPr>
                <w:t>d. išvad</w:t>
              </w:r>
              <w:r w:rsidR="00F7547B">
                <w:rPr>
                  <w:rFonts w:eastAsia="Calibri"/>
                  <w:szCs w:val="24"/>
                  <w:lang w:eastAsia="ar-SA"/>
                </w:rPr>
                <w:t>os Nr. 250-I-20</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F60FE9">
              <w:pPr>
                <w:spacing w:line="360" w:lineRule="auto"/>
                <w:jc w:val="both"/>
                <w:rPr>
                  <w:rFonts w:eastAsia="Calibri"/>
                  <w:szCs w:val="24"/>
                  <w:lang w:eastAsia="ar-SA"/>
                </w:rPr>
              </w:pPr>
            </w:p>
            <w:p w:rsidR="005427A1" w:rsidRPr="00FD1E14"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6806C4">
                <w:rPr>
                  <w:rFonts w:eastAsia="Calibri"/>
                  <w:szCs w:val="24"/>
                  <w:lang w:eastAsia="ar-SA"/>
                </w:rPr>
                <w:t xml:space="preserve">       </w:t>
              </w:r>
              <w:r w:rsidR="005D0813" w:rsidRPr="00FD1E14">
                <w:rPr>
                  <w:rFonts w:eastAsia="Calibri"/>
                  <w:szCs w:val="24"/>
                  <w:lang w:eastAsia="ar-SA"/>
                </w:rPr>
                <w:t xml:space="preserve">Tadas </w:t>
              </w:r>
              <w:proofErr w:type="spellStart"/>
              <w:r w:rsidR="005D0813" w:rsidRPr="00FD1E14">
                <w:rPr>
                  <w:rFonts w:eastAsia="Calibri"/>
                  <w:szCs w:val="24"/>
                  <w:lang w:eastAsia="ar-SA"/>
                </w:rPr>
                <w:t>Prajara</w:t>
              </w:r>
              <w:proofErr w:type="spellEnd"/>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CF7BAC" w:rsidRDefault="00CF7BAC">
              <w:pPr>
                <w:tabs>
                  <w:tab w:val="left" w:pos="1134"/>
                </w:tabs>
                <w:spacing w:line="360" w:lineRule="auto"/>
                <w:jc w:val="both"/>
                <w:rPr>
                  <w:rFonts w:eastAsia="Calibri"/>
                  <w:szCs w:val="24"/>
                  <w:lang w:eastAsia="ar-SA"/>
                </w:rPr>
              </w:pPr>
            </w:p>
            <w:p w:rsidR="00CF7BAC" w:rsidRDefault="00CF7BAC">
              <w:pPr>
                <w:tabs>
                  <w:tab w:val="left" w:pos="1134"/>
                </w:tabs>
                <w:spacing w:line="360" w:lineRule="auto"/>
                <w:jc w:val="both"/>
                <w:rPr>
                  <w:rFonts w:eastAsia="Calibri"/>
                  <w:szCs w:val="24"/>
                  <w:lang w:eastAsia="ar-SA"/>
                </w:rPr>
              </w:pPr>
            </w:p>
            <w:p w:rsidR="00CF7BAC" w:rsidRDefault="00CF7BAC">
              <w:pPr>
                <w:tabs>
                  <w:tab w:val="left" w:pos="1134"/>
                </w:tabs>
                <w:spacing w:line="360" w:lineRule="auto"/>
                <w:jc w:val="both"/>
                <w:rPr>
                  <w:rFonts w:eastAsia="Calibri"/>
                  <w:szCs w:val="24"/>
                  <w:lang w:eastAsia="ar-SA"/>
                </w:rPr>
              </w:pPr>
            </w:p>
            <w:p w:rsidR="00CF7BAC" w:rsidRDefault="00CF7BAC">
              <w:pPr>
                <w:tabs>
                  <w:tab w:val="left" w:pos="1134"/>
                </w:tabs>
                <w:spacing w:line="360" w:lineRule="auto"/>
                <w:jc w:val="both"/>
                <w:rPr>
                  <w:rFonts w:eastAsia="Calibri"/>
                  <w:szCs w:val="24"/>
                  <w:lang w:eastAsia="ar-SA"/>
                </w:rPr>
              </w:pPr>
            </w:p>
            <w:p w:rsidR="005427A1" w:rsidRPr="00FD1E14" w:rsidRDefault="00FC6D09">
              <w:pPr>
                <w:tabs>
                  <w:tab w:val="left" w:pos="1134"/>
                </w:tabs>
                <w:spacing w:line="360" w:lineRule="auto"/>
                <w:jc w:val="both"/>
                <w:rPr>
                  <w:rFonts w:eastAsia="Calibri"/>
                  <w:szCs w:val="24"/>
                </w:rPr>
              </w:pPr>
            </w:p>
          </w:sdtContent>
        </w:sdt>
      </w:sdtContent>
    </w:sdt>
    <w:sectPr w:rsidR="005427A1" w:rsidRPr="00FD1E1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C6D09">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A15D3"/>
    <w:rsid w:val="000C730C"/>
    <w:rsid w:val="001136B4"/>
    <w:rsid w:val="00121904"/>
    <w:rsid w:val="00125A79"/>
    <w:rsid w:val="0013463E"/>
    <w:rsid w:val="001366E5"/>
    <w:rsid w:val="001606EE"/>
    <w:rsid w:val="00194795"/>
    <w:rsid w:val="001D5719"/>
    <w:rsid w:val="00245A5E"/>
    <w:rsid w:val="00276913"/>
    <w:rsid w:val="002B140E"/>
    <w:rsid w:val="002E10C8"/>
    <w:rsid w:val="002F4574"/>
    <w:rsid w:val="002F53CF"/>
    <w:rsid w:val="002F7036"/>
    <w:rsid w:val="003364F0"/>
    <w:rsid w:val="00452B04"/>
    <w:rsid w:val="004C29E9"/>
    <w:rsid w:val="004E00ED"/>
    <w:rsid w:val="004E5D57"/>
    <w:rsid w:val="005427A1"/>
    <w:rsid w:val="00590DC6"/>
    <w:rsid w:val="00593097"/>
    <w:rsid w:val="005A0810"/>
    <w:rsid w:val="005B0B93"/>
    <w:rsid w:val="005D0813"/>
    <w:rsid w:val="00625B47"/>
    <w:rsid w:val="00643484"/>
    <w:rsid w:val="006806C4"/>
    <w:rsid w:val="006A4651"/>
    <w:rsid w:val="006E593C"/>
    <w:rsid w:val="006F6DD9"/>
    <w:rsid w:val="0070031F"/>
    <w:rsid w:val="00713644"/>
    <w:rsid w:val="00765218"/>
    <w:rsid w:val="007A014D"/>
    <w:rsid w:val="007D2F42"/>
    <w:rsid w:val="00804FD1"/>
    <w:rsid w:val="0080743B"/>
    <w:rsid w:val="00823BFD"/>
    <w:rsid w:val="00834AA6"/>
    <w:rsid w:val="008709C3"/>
    <w:rsid w:val="008C5B32"/>
    <w:rsid w:val="008D131C"/>
    <w:rsid w:val="008D1A94"/>
    <w:rsid w:val="008F1AA2"/>
    <w:rsid w:val="008F5133"/>
    <w:rsid w:val="0091178E"/>
    <w:rsid w:val="00913CCE"/>
    <w:rsid w:val="00916CF8"/>
    <w:rsid w:val="00945D27"/>
    <w:rsid w:val="00990BEA"/>
    <w:rsid w:val="00A52656"/>
    <w:rsid w:val="00AC3DB9"/>
    <w:rsid w:val="00AE7509"/>
    <w:rsid w:val="00B80D4B"/>
    <w:rsid w:val="00BF2352"/>
    <w:rsid w:val="00BF5B1D"/>
    <w:rsid w:val="00C145A4"/>
    <w:rsid w:val="00C238C5"/>
    <w:rsid w:val="00C44D30"/>
    <w:rsid w:val="00C5060C"/>
    <w:rsid w:val="00C72C80"/>
    <w:rsid w:val="00C91424"/>
    <w:rsid w:val="00CF7BAC"/>
    <w:rsid w:val="00D4413C"/>
    <w:rsid w:val="00D627CE"/>
    <w:rsid w:val="00D7062E"/>
    <w:rsid w:val="00D7507C"/>
    <w:rsid w:val="00D7583E"/>
    <w:rsid w:val="00D92E3C"/>
    <w:rsid w:val="00DA51E1"/>
    <w:rsid w:val="00DC5613"/>
    <w:rsid w:val="00DF6855"/>
    <w:rsid w:val="00E560F5"/>
    <w:rsid w:val="00E719C5"/>
    <w:rsid w:val="00EB4FAD"/>
    <w:rsid w:val="00F60FE9"/>
    <w:rsid w:val="00F64AD6"/>
    <w:rsid w:val="00F7547B"/>
    <w:rsid w:val="00F901F4"/>
    <w:rsid w:val="00FA0059"/>
    <w:rsid w:val="00FC6D0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1A2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Z6YWEJNPDQQR-896559167-571</_dlc_DocId>
    <_dlc_DocIdUrl xmlns="28130d43-1b56-4a10-ad88-2cd38123f4c1">
      <Url>https://intranetas.lrs.lt/29/_layouts/15/DocIdRedir.aspx?ID=Z6YWEJNPDQQR-896559167-571</Url>
      <Description>Z6YWEJNPDQQR-896559167-571</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8A4E3736-E5BD-4FC1-8503-FA32AE106C6A}">
  <ds:schemaRefs>
    <ds:schemaRef ds:uri="http://schemas.openxmlformats.org/officeDocument/2006/bibliography"/>
  </ds:schemaRefs>
</ds:datastoreItem>
</file>

<file path=customXml/itemProps3.xml><?xml version="1.0" encoding="utf-8"?>
<ds:datastoreItem xmlns:ds="http://schemas.openxmlformats.org/officeDocument/2006/customXml" ds:itemID="{F69B458C-CAA4-41EC-9C43-E55301B19428}"/>
</file>

<file path=customXml/itemProps4.xml><?xml version="1.0" encoding="utf-8"?>
<ds:datastoreItem xmlns:ds="http://schemas.openxmlformats.org/officeDocument/2006/customXml" ds:itemID="{4FB6381B-73C2-48C0-A7D0-F9D6C80B83AD}"/>
</file>

<file path=customXml/itemProps5.xml><?xml version="1.0" encoding="utf-8"?>
<ds:datastoreItem xmlns:ds="http://schemas.openxmlformats.org/officeDocument/2006/customXml" ds:itemID="{7537FC10-74AF-41C0-8B86-25B9F82089C3}"/>
</file>

<file path=customXml/itemProps6.xml><?xml version="1.0" encoding="utf-8"?>
<ds:datastoreItem xmlns:ds="http://schemas.openxmlformats.org/officeDocument/2006/customXml" ds:itemID="{0CAD342E-974E-4FFF-A886-AC6D3E443963}"/>
</file>

<file path=docProps/app.xml><?xml version="1.0" encoding="utf-8"?>
<Properties xmlns="http://schemas.openxmlformats.org/officeDocument/2006/extended-properties" xmlns:vt="http://schemas.openxmlformats.org/officeDocument/2006/docPropsVTypes">
  <Template>Normal</Template>
  <TotalTime>1</TotalTime>
  <Pages>3</Pages>
  <Words>3901</Words>
  <Characters>2224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4</cp:revision>
  <cp:lastPrinted>2025-06-18T06:00:00Z</cp:lastPrinted>
  <dcterms:created xsi:type="dcterms:W3CDTF">2025-06-27T13:24:00Z</dcterms:created>
  <dcterms:modified xsi:type="dcterms:W3CDTF">2025-09-25T10:50:00Z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e624b2e0-b916-407c-afe6-c7da6b4f004c</vt:lpwstr>
  </property>
</Properties>
</file>