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5E" w:rsidRPr="004D7EB3" w:rsidRDefault="00576E5E" w:rsidP="00576E5E">
      <w:pPr>
        <w:jc w:val="center"/>
        <w:rPr>
          <w:rFonts w:ascii="Times New Roman" w:hAnsi="Times New Roman"/>
          <w:sz w:val="24"/>
          <w:szCs w:val="24"/>
        </w:rPr>
      </w:pPr>
      <w:r w:rsidRPr="004D7EB3">
        <w:rPr>
          <w:rFonts w:ascii="Times New Roman" w:hAnsi="Times New Roman"/>
          <w:noProof/>
          <w:sz w:val="24"/>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576E5E" w:rsidRPr="004D7EB3" w:rsidRDefault="00576E5E" w:rsidP="00576E5E">
      <w:pPr>
        <w:ind w:firstLine="851"/>
        <w:jc w:val="center"/>
        <w:rPr>
          <w:rFonts w:ascii="Times New Roman" w:hAnsi="Times New Roman"/>
          <w:sz w:val="24"/>
          <w:szCs w:val="24"/>
        </w:rPr>
      </w:pPr>
    </w:p>
    <w:p w:rsidR="00576E5E" w:rsidRPr="004D7EB3" w:rsidRDefault="00576E5E" w:rsidP="00576E5E">
      <w:pPr>
        <w:jc w:val="center"/>
        <w:rPr>
          <w:rFonts w:ascii="Times New Roman" w:hAnsi="Times New Roman"/>
          <w:b/>
          <w:bCs/>
          <w:sz w:val="24"/>
          <w:szCs w:val="24"/>
        </w:rPr>
      </w:pPr>
      <w:r w:rsidRPr="004D7EB3">
        <w:rPr>
          <w:rFonts w:ascii="Times New Roman" w:hAnsi="Times New Roman"/>
          <w:b/>
          <w:bCs/>
          <w:sz w:val="24"/>
          <w:szCs w:val="24"/>
        </w:rPr>
        <w:t>LIETUVOS RESPUBLIKOS SEIMO</w:t>
      </w:r>
    </w:p>
    <w:p w:rsidR="00576E5E" w:rsidRPr="004D7EB3" w:rsidRDefault="00576E5E" w:rsidP="00576E5E">
      <w:pPr>
        <w:jc w:val="center"/>
        <w:rPr>
          <w:rFonts w:ascii="Times New Roman" w:hAnsi="Times New Roman"/>
          <w:b/>
          <w:bCs/>
          <w:spacing w:val="4"/>
          <w:sz w:val="24"/>
          <w:szCs w:val="24"/>
        </w:rPr>
      </w:pPr>
      <w:r w:rsidRPr="004D7EB3">
        <w:rPr>
          <w:rFonts w:ascii="Times New Roman" w:hAnsi="Times New Roman"/>
          <w:b/>
          <w:bCs/>
          <w:spacing w:val="4"/>
          <w:sz w:val="24"/>
          <w:szCs w:val="24"/>
        </w:rPr>
        <w:t>PETICIJŲ KOMISIJA</w:t>
      </w:r>
    </w:p>
    <w:p w:rsidR="00576E5E" w:rsidRPr="004D7EB3" w:rsidRDefault="00576E5E" w:rsidP="00576E5E">
      <w:pPr>
        <w:ind w:right="11" w:firstLine="851"/>
        <w:jc w:val="center"/>
        <w:rPr>
          <w:rFonts w:ascii="Times New Roman" w:hAnsi="Times New Roman"/>
          <w:b/>
          <w:spacing w:val="4"/>
          <w:sz w:val="24"/>
          <w:szCs w:val="24"/>
        </w:rPr>
      </w:pP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IŠVADA</w:t>
      </w: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 xml:space="preserve">DĖL </w:t>
      </w:r>
      <w:r w:rsidR="00CF3CF9">
        <w:rPr>
          <w:rFonts w:ascii="Times New Roman" w:hAnsi="Times New Roman"/>
          <w:b/>
          <w:sz w:val="24"/>
          <w:szCs w:val="24"/>
        </w:rPr>
        <w:t>KOTRYNOS ŽALĖNAITĖS</w:t>
      </w:r>
      <w:r>
        <w:rPr>
          <w:rFonts w:ascii="Times New Roman" w:hAnsi="Times New Roman"/>
          <w:b/>
          <w:sz w:val="24"/>
          <w:szCs w:val="24"/>
        </w:rPr>
        <w:t xml:space="preserve"> </w:t>
      </w:r>
      <w:r w:rsidRPr="004D7EB3">
        <w:rPr>
          <w:rFonts w:ascii="Times New Roman" w:hAnsi="Times New Roman"/>
          <w:b/>
          <w:sz w:val="24"/>
          <w:szCs w:val="24"/>
        </w:rPr>
        <w:t>PETICIJO</w:t>
      </w:r>
      <w:r w:rsidR="004C24E7">
        <w:rPr>
          <w:rFonts w:ascii="Times New Roman" w:hAnsi="Times New Roman"/>
          <w:b/>
          <w:sz w:val="24"/>
          <w:szCs w:val="24"/>
        </w:rPr>
        <w:t>S</w:t>
      </w:r>
    </w:p>
    <w:p w:rsidR="00576E5E" w:rsidRPr="004D7EB3" w:rsidRDefault="00576E5E" w:rsidP="00576E5E">
      <w:pPr>
        <w:pStyle w:val="Betarp"/>
        <w:ind w:firstLine="851"/>
        <w:jc w:val="center"/>
        <w:rPr>
          <w:rFonts w:ascii="Times New Roman" w:hAnsi="Times New Roman"/>
          <w:b/>
          <w:sz w:val="24"/>
          <w:szCs w:val="24"/>
        </w:rPr>
      </w:pPr>
    </w:p>
    <w:p w:rsidR="00B31A89" w:rsidRDefault="00576E5E" w:rsidP="00576E5E">
      <w:pPr>
        <w:pStyle w:val="Betarp"/>
        <w:jc w:val="center"/>
        <w:rPr>
          <w:rFonts w:ascii="Times New Roman" w:hAnsi="Times New Roman"/>
          <w:sz w:val="24"/>
          <w:szCs w:val="24"/>
        </w:rPr>
      </w:pPr>
      <w:r w:rsidRPr="004D7EB3">
        <w:rPr>
          <w:rFonts w:ascii="Times New Roman" w:hAnsi="Times New Roman"/>
          <w:sz w:val="24"/>
          <w:szCs w:val="24"/>
        </w:rPr>
        <w:t>202</w:t>
      </w:r>
      <w:r w:rsidR="00EB27D6">
        <w:rPr>
          <w:rFonts w:ascii="Times New Roman" w:hAnsi="Times New Roman"/>
          <w:sz w:val="24"/>
          <w:szCs w:val="24"/>
        </w:rPr>
        <w:t>3</w:t>
      </w:r>
      <w:r w:rsidRPr="004D7EB3">
        <w:rPr>
          <w:rFonts w:ascii="Times New Roman" w:hAnsi="Times New Roman"/>
          <w:sz w:val="24"/>
          <w:szCs w:val="24"/>
        </w:rPr>
        <w:t xml:space="preserve"> m.</w:t>
      </w:r>
      <w:r w:rsidR="00A63E72">
        <w:rPr>
          <w:rFonts w:ascii="Times New Roman" w:hAnsi="Times New Roman"/>
          <w:sz w:val="24"/>
          <w:szCs w:val="24"/>
        </w:rPr>
        <w:t xml:space="preserve"> </w:t>
      </w:r>
      <w:r w:rsidR="000B5A0C">
        <w:rPr>
          <w:rFonts w:ascii="Times New Roman" w:hAnsi="Times New Roman"/>
          <w:sz w:val="24"/>
          <w:szCs w:val="24"/>
        </w:rPr>
        <w:t>birželio</w:t>
      </w:r>
      <w:r w:rsidR="000434D4">
        <w:rPr>
          <w:rFonts w:ascii="Times New Roman" w:hAnsi="Times New Roman"/>
          <w:sz w:val="24"/>
          <w:szCs w:val="24"/>
        </w:rPr>
        <w:t xml:space="preserve"> 28</w:t>
      </w:r>
      <w:r w:rsidR="00494994">
        <w:rPr>
          <w:rFonts w:ascii="Times New Roman" w:hAnsi="Times New Roman"/>
          <w:sz w:val="24"/>
          <w:szCs w:val="24"/>
        </w:rPr>
        <w:t xml:space="preserve"> </w:t>
      </w:r>
      <w:r w:rsidRPr="004D7EB3">
        <w:rPr>
          <w:rFonts w:ascii="Times New Roman" w:hAnsi="Times New Roman"/>
          <w:sz w:val="24"/>
          <w:szCs w:val="24"/>
        </w:rPr>
        <w:t>d.</w:t>
      </w:r>
      <w:r w:rsidR="00A17B6D">
        <w:rPr>
          <w:rFonts w:ascii="Times New Roman" w:hAnsi="Times New Roman"/>
          <w:sz w:val="24"/>
          <w:szCs w:val="24"/>
        </w:rPr>
        <w:t xml:space="preserve"> </w:t>
      </w:r>
    </w:p>
    <w:p w:rsidR="00576E5E" w:rsidRPr="004D7EB3" w:rsidRDefault="00576E5E" w:rsidP="00576E5E">
      <w:pPr>
        <w:pStyle w:val="Betarp"/>
        <w:jc w:val="center"/>
        <w:rPr>
          <w:rFonts w:ascii="Times New Roman" w:hAnsi="Times New Roman"/>
          <w:sz w:val="24"/>
          <w:szCs w:val="24"/>
        </w:rPr>
      </w:pPr>
      <w:bookmarkStart w:id="0" w:name="_GoBack"/>
      <w:bookmarkEnd w:id="0"/>
      <w:r w:rsidRPr="004D7EB3">
        <w:rPr>
          <w:rFonts w:ascii="Times New Roman" w:hAnsi="Times New Roman"/>
          <w:sz w:val="24"/>
          <w:szCs w:val="24"/>
        </w:rPr>
        <w:t>Vilnius</w:t>
      </w:r>
    </w:p>
    <w:p w:rsidR="00576E5E" w:rsidRPr="004D7EB3" w:rsidRDefault="00576E5E" w:rsidP="00576E5E">
      <w:pPr>
        <w:pStyle w:val="Betarp"/>
        <w:tabs>
          <w:tab w:val="left" w:pos="1134"/>
        </w:tabs>
        <w:spacing w:line="360" w:lineRule="auto"/>
        <w:ind w:firstLine="851"/>
        <w:jc w:val="both"/>
        <w:rPr>
          <w:rFonts w:ascii="Times New Roman" w:hAnsi="Times New Roman"/>
          <w:sz w:val="24"/>
          <w:szCs w:val="24"/>
        </w:rPr>
      </w:pPr>
    </w:p>
    <w:p w:rsidR="00C85441" w:rsidRDefault="00576E5E" w:rsidP="00C85441">
      <w:pPr>
        <w:pStyle w:val="Default"/>
        <w:spacing w:line="360" w:lineRule="auto"/>
        <w:ind w:firstLine="851"/>
        <w:jc w:val="both"/>
        <w:rPr>
          <w:color w:val="000000" w:themeColor="text1"/>
          <w:lang w:eastAsia="ar-SA"/>
        </w:rPr>
      </w:pPr>
      <w:r w:rsidRPr="00E33292">
        <w:rPr>
          <w:color w:val="000000" w:themeColor="text1"/>
        </w:rPr>
        <w:t>Lietuvos Respublikos Seimo Peticijų komisij</w:t>
      </w:r>
      <w:r w:rsidR="006E53DD" w:rsidRPr="00E33292">
        <w:rPr>
          <w:color w:val="000000" w:themeColor="text1"/>
        </w:rPr>
        <w:t>a</w:t>
      </w:r>
      <w:r w:rsidRPr="00E33292">
        <w:rPr>
          <w:color w:val="000000" w:themeColor="text1"/>
        </w:rPr>
        <w:t xml:space="preserve"> 202</w:t>
      </w:r>
      <w:r w:rsidR="00EB27D6" w:rsidRPr="00E33292">
        <w:rPr>
          <w:color w:val="000000" w:themeColor="text1"/>
        </w:rPr>
        <w:t>3</w:t>
      </w:r>
      <w:r w:rsidRPr="00E33292">
        <w:rPr>
          <w:color w:val="000000" w:themeColor="text1"/>
        </w:rPr>
        <w:t xml:space="preserve"> m. </w:t>
      </w:r>
      <w:r w:rsidR="00F13970" w:rsidRPr="00E33292">
        <w:rPr>
          <w:color w:val="000000" w:themeColor="text1"/>
        </w:rPr>
        <w:t xml:space="preserve">birželio </w:t>
      </w:r>
      <w:r w:rsidR="008030FD">
        <w:rPr>
          <w:color w:val="000000" w:themeColor="text1"/>
        </w:rPr>
        <w:t>28</w:t>
      </w:r>
      <w:r w:rsidR="00414E54" w:rsidRPr="00E33292">
        <w:rPr>
          <w:color w:val="000000" w:themeColor="text1"/>
        </w:rPr>
        <w:t xml:space="preserve"> </w:t>
      </w:r>
      <w:r w:rsidRPr="00E33292">
        <w:rPr>
          <w:color w:val="000000" w:themeColor="text1"/>
        </w:rPr>
        <w:t xml:space="preserve">d. posėdyje iš esmės </w:t>
      </w:r>
      <w:r w:rsidR="007A504A" w:rsidRPr="00E33292">
        <w:rPr>
          <w:color w:val="000000" w:themeColor="text1"/>
        </w:rPr>
        <w:t>iš</w:t>
      </w:r>
      <w:r w:rsidR="00C703AF" w:rsidRPr="00E33292">
        <w:rPr>
          <w:color w:val="000000" w:themeColor="text1"/>
        </w:rPr>
        <w:t>nagrinė</w:t>
      </w:r>
      <w:r w:rsidR="006E53DD" w:rsidRPr="00E33292">
        <w:rPr>
          <w:color w:val="000000" w:themeColor="text1"/>
        </w:rPr>
        <w:t>jo</w:t>
      </w:r>
      <w:r w:rsidRPr="00E33292">
        <w:rPr>
          <w:color w:val="000000" w:themeColor="text1"/>
        </w:rPr>
        <w:t xml:space="preserve"> </w:t>
      </w:r>
      <w:r w:rsidR="00CF3CF9">
        <w:rPr>
          <w:color w:val="000000" w:themeColor="text1"/>
        </w:rPr>
        <w:t xml:space="preserve">Kotrynos </w:t>
      </w:r>
      <w:proofErr w:type="spellStart"/>
      <w:r w:rsidR="00CF3CF9">
        <w:rPr>
          <w:color w:val="000000" w:themeColor="text1"/>
        </w:rPr>
        <w:t>Žalėnaitės</w:t>
      </w:r>
      <w:proofErr w:type="spellEnd"/>
      <w:r w:rsidRPr="00E33292">
        <w:rPr>
          <w:color w:val="000000" w:themeColor="text1"/>
        </w:rPr>
        <w:t xml:space="preserve"> peticij</w:t>
      </w:r>
      <w:r w:rsidR="006E53DD" w:rsidRPr="00E33292">
        <w:rPr>
          <w:color w:val="000000" w:themeColor="text1"/>
        </w:rPr>
        <w:t xml:space="preserve">ą ir priėmė sprendimą </w:t>
      </w:r>
      <w:r w:rsidR="00FB44D3" w:rsidRPr="00E33292">
        <w:rPr>
          <w:color w:val="000000" w:themeColor="text1"/>
        </w:rPr>
        <w:t xml:space="preserve">teikti Seimui išvadą </w:t>
      </w:r>
      <w:r w:rsidR="00C85441">
        <w:rPr>
          <w:color w:val="000000" w:themeColor="text1"/>
        </w:rPr>
        <w:t>atmesti pe</w:t>
      </w:r>
      <w:r w:rsidR="00C85441" w:rsidRPr="00C85441">
        <w:rPr>
          <w:color w:val="000000" w:themeColor="text1"/>
          <w:lang w:eastAsia="ar-SA"/>
        </w:rPr>
        <w:t>ticijoje pateikt</w:t>
      </w:r>
      <w:r w:rsidR="00CF3CF9">
        <w:rPr>
          <w:color w:val="000000" w:themeColor="text1"/>
          <w:lang w:eastAsia="ar-SA"/>
        </w:rPr>
        <w:t>us</w:t>
      </w:r>
      <w:r w:rsidR="00C85441" w:rsidRPr="00C85441">
        <w:rPr>
          <w:color w:val="000000" w:themeColor="text1"/>
          <w:lang w:eastAsia="ar-SA"/>
        </w:rPr>
        <w:t xml:space="preserve"> pasi</w:t>
      </w:r>
      <w:r w:rsidR="00C85441" w:rsidRPr="00C85441">
        <w:rPr>
          <w:rFonts w:hint="eastAsia"/>
          <w:color w:val="000000" w:themeColor="text1"/>
          <w:lang w:eastAsia="ar-SA"/>
        </w:rPr>
        <w:t>ū</w:t>
      </w:r>
      <w:r w:rsidR="00C85441" w:rsidRPr="00C85441">
        <w:rPr>
          <w:color w:val="000000" w:themeColor="text1"/>
          <w:lang w:eastAsia="ar-SA"/>
        </w:rPr>
        <w:t>lym</w:t>
      </w:r>
      <w:r w:rsidR="00CF3CF9">
        <w:rPr>
          <w:color w:val="000000" w:themeColor="text1"/>
          <w:lang w:eastAsia="ar-SA"/>
        </w:rPr>
        <w:t>us</w:t>
      </w:r>
      <w:r w:rsidR="00C85441" w:rsidRPr="00C85441">
        <w:rPr>
          <w:color w:val="000000" w:themeColor="text1"/>
          <w:lang w:eastAsia="ar-SA"/>
        </w:rPr>
        <w:t xml:space="preserve"> </w:t>
      </w:r>
      <w:r w:rsidR="00BF1044" w:rsidRPr="00BF1044">
        <w:rPr>
          <w:color w:val="000000" w:themeColor="text1"/>
          <w:lang w:eastAsia="ar-SA"/>
        </w:rPr>
        <w:t>pakeisti Lietuvos Respublikos baudžiamojo proceso kodekso 166 straipsnio 1 dal</w:t>
      </w:r>
      <w:r w:rsidR="00BF1044" w:rsidRPr="00BF1044">
        <w:rPr>
          <w:rFonts w:hint="eastAsia"/>
          <w:color w:val="000000" w:themeColor="text1"/>
          <w:lang w:eastAsia="ar-SA"/>
        </w:rPr>
        <w:t>į</w:t>
      </w:r>
      <w:r w:rsidR="00BF1044" w:rsidRPr="00BF1044">
        <w:rPr>
          <w:color w:val="000000" w:themeColor="text1"/>
          <w:lang w:eastAsia="ar-SA"/>
        </w:rPr>
        <w:t>, numatant galimyb</w:t>
      </w:r>
      <w:r w:rsidR="00BF1044" w:rsidRPr="00BF1044">
        <w:rPr>
          <w:rFonts w:hint="eastAsia"/>
          <w:color w:val="000000" w:themeColor="text1"/>
          <w:lang w:eastAsia="ar-SA"/>
        </w:rPr>
        <w:t>ę</w:t>
      </w:r>
      <w:r w:rsidR="00BF1044" w:rsidRPr="00BF1044">
        <w:rPr>
          <w:color w:val="000000" w:themeColor="text1"/>
          <w:lang w:eastAsia="ar-SA"/>
        </w:rPr>
        <w:t xml:space="preserve"> ikiteismin</w:t>
      </w:r>
      <w:r w:rsidR="00BF1044" w:rsidRPr="00BF1044">
        <w:rPr>
          <w:rFonts w:hint="eastAsia"/>
          <w:color w:val="000000" w:themeColor="text1"/>
          <w:lang w:eastAsia="ar-SA"/>
        </w:rPr>
        <w:t>į</w:t>
      </w:r>
      <w:r w:rsidR="00BF1044" w:rsidRPr="00BF1044">
        <w:rPr>
          <w:color w:val="000000" w:themeColor="text1"/>
          <w:lang w:eastAsia="ar-SA"/>
        </w:rPr>
        <w:t xml:space="preserve"> tyrim</w:t>
      </w:r>
      <w:r w:rsidR="00BF1044" w:rsidRPr="00BF1044">
        <w:rPr>
          <w:rFonts w:hint="eastAsia"/>
          <w:color w:val="000000" w:themeColor="text1"/>
          <w:lang w:eastAsia="ar-SA"/>
        </w:rPr>
        <w:t>ą</w:t>
      </w:r>
      <w:r w:rsidR="00BF1044" w:rsidRPr="00BF1044">
        <w:rPr>
          <w:color w:val="000000" w:themeColor="text1"/>
          <w:lang w:eastAsia="ar-SA"/>
        </w:rPr>
        <w:t xml:space="preserve"> prad</w:t>
      </w:r>
      <w:r w:rsidR="00BF1044" w:rsidRPr="00BF1044">
        <w:rPr>
          <w:rFonts w:hint="eastAsia"/>
          <w:color w:val="000000" w:themeColor="text1"/>
          <w:lang w:eastAsia="ar-SA"/>
        </w:rPr>
        <w:t>ė</w:t>
      </w:r>
      <w:r w:rsidR="00BF1044" w:rsidRPr="00BF1044">
        <w:rPr>
          <w:color w:val="000000" w:themeColor="text1"/>
          <w:lang w:eastAsia="ar-SA"/>
        </w:rPr>
        <w:t>ti teismo nutartimi, pakeisti Baudžiamojo proceso kodekso 170 straipsnio 4 dal</w:t>
      </w:r>
      <w:r w:rsidR="00BF1044" w:rsidRPr="00BF1044">
        <w:rPr>
          <w:rFonts w:hint="eastAsia"/>
          <w:color w:val="000000" w:themeColor="text1"/>
          <w:lang w:eastAsia="ar-SA"/>
        </w:rPr>
        <w:t>į</w:t>
      </w:r>
      <w:r w:rsidR="00BF1044" w:rsidRPr="00BF1044">
        <w:rPr>
          <w:color w:val="000000" w:themeColor="text1"/>
          <w:lang w:eastAsia="ar-SA"/>
        </w:rPr>
        <w:t>, panaikinant išimtin</w:t>
      </w:r>
      <w:r w:rsidR="00BF1044" w:rsidRPr="00BF1044">
        <w:rPr>
          <w:rFonts w:hint="eastAsia"/>
          <w:color w:val="000000" w:themeColor="text1"/>
          <w:lang w:eastAsia="ar-SA"/>
        </w:rPr>
        <w:t>ę</w:t>
      </w:r>
      <w:r w:rsidR="00BF1044" w:rsidRPr="00BF1044">
        <w:rPr>
          <w:color w:val="000000" w:themeColor="text1"/>
          <w:lang w:eastAsia="ar-SA"/>
        </w:rPr>
        <w:t xml:space="preserve"> prokuroro kompetencij</w:t>
      </w:r>
      <w:r w:rsidR="00BF1044" w:rsidRPr="00BF1044">
        <w:rPr>
          <w:rFonts w:hint="eastAsia"/>
          <w:color w:val="000000" w:themeColor="text1"/>
          <w:lang w:eastAsia="ar-SA"/>
        </w:rPr>
        <w:t>ą</w:t>
      </w:r>
      <w:r w:rsidR="00BF1044" w:rsidRPr="00BF1044">
        <w:rPr>
          <w:color w:val="000000" w:themeColor="text1"/>
          <w:lang w:eastAsia="ar-SA"/>
        </w:rPr>
        <w:t xml:space="preserve"> priimti sprendimus atliekant ikiteismin</w:t>
      </w:r>
      <w:r w:rsidR="00BF1044" w:rsidRPr="00BF1044">
        <w:rPr>
          <w:rFonts w:hint="eastAsia"/>
          <w:color w:val="000000" w:themeColor="text1"/>
          <w:lang w:eastAsia="ar-SA"/>
        </w:rPr>
        <w:t>į</w:t>
      </w:r>
      <w:r w:rsidR="00BF1044" w:rsidRPr="00BF1044">
        <w:rPr>
          <w:color w:val="000000" w:themeColor="text1"/>
          <w:lang w:eastAsia="ar-SA"/>
        </w:rPr>
        <w:t xml:space="preserve"> tyrim</w:t>
      </w:r>
      <w:r w:rsidR="00BF1044" w:rsidRPr="00BF1044">
        <w:rPr>
          <w:rFonts w:hint="eastAsia"/>
          <w:color w:val="000000" w:themeColor="text1"/>
          <w:lang w:eastAsia="ar-SA"/>
        </w:rPr>
        <w:t>ą</w:t>
      </w:r>
      <w:r w:rsidR="00BF1044" w:rsidRPr="00BF1044">
        <w:rPr>
          <w:color w:val="000000" w:themeColor="text1"/>
          <w:lang w:eastAsia="ar-SA"/>
        </w:rPr>
        <w:t>, taip pat panaikinti Baudžiamojo proceso kodekso 168 straipsnio 4 dal</w:t>
      </w:r>
      <w:r w:rsidR="00BF1044" w:rsidRPr="00BF1044">
        <w:rPr>
          <w:rFonts w:hint="eastAsia"/>
          <w:color w:val="000000" w:themeColor="text1"/>
          <w:lang w:eastAsia="ar-SA"/>
        </w:rPr>
        <w:t>į</w:t>
      </w:r>
      <w:r w:rsidR="00BF1044" w:rsidRPr="00BF1044">
        <w:rPr>
          <w:color w:val="000000" w:themeColor="text1"/>
          <w:lang w:eastAsia="ar-SA"/>
        </w:rPr>
        <w:t>, reglamentuojan</w:t>
      </w:r>
      <w:r w:rsidR="00BF1044" w:rsidRPr="00BF1044">
        <w:rPr>
          <w:rFonts w:hint="eastAsia"/>
          <w:color w:val="000000" w:themeColor="text1"/>
          <w:lang w:eastAsia="ar-SA"/>
        </w:rPr>
        <w:t>č</w:t>
      </w:r>
      <w:r w:rsidR="00BF1044" w:rsidRPr="00BF1044">
        <w:rPr>
          <w:color w:val="000000" w:themeColor="text1"/>
          <w:lang w:eastAsia="ar-SA"/>
        </w:rPr>
        <w:t>i</w:t>
      </w:r>
      <w:r w:rsidR="00BF1044" w:rsidRPr="00BF1044">
        <w:rPr>
          <w:rFonts w:hint="eastAsia"/>
          <w:color w:val="000000" w:themeColor="text1"/>
          <w:lang w:eastAsia="ar-SA"/>
        </w:rPr>
        <w:t>ą</w:t>
      </w:r>
      <w:r w:rsidR="00BF1044" w:rsidRPr="00BF1044">
        <w:rPr>
          <w:color w:val="000000" w:themeColor="text1"/>
          <w:lang w:eastAsia="ar-SA"/>
        </w:rPr>
        <w:t xml:space="preserve"> skund</w:t>
      </w:r>
      <w:r w:rsidR="00BF1044" w:rsidRPr="00BF1044">
        <w:rPr>
          <w:rFonts w:hint="eastAsia"/>
          <w:color w:val="000000" w:themeColor="text1"/>
          <w:lang w:eastAsia="ar-SA"/>
        </w:rPr>
        <w:t>ą</w:t>
      </w:r>
      <w:r w:rsidR="00BF1044" w:rsidRPr="00BF1044">
        <w:rPr>
          <w:color w:val="000000" w:themeColor="text1"/>
          <w:lang w:eastAsia="ar-SA"/>
        </w:rPr>
        <w:t>, pareiškim</w:t>
      </w:r>
      <w:r w:rsidR="00BF1044" w:rsidRPr="00BF1044">
        <w:rPr>
          <w:rFonts w:hint="eastAsia"/>
          <w:color w:val="000000" w:themeColor="text1"/>
          <w:lang w:eastAsia="ar-SA"/>
        </w:rPr>
        <w:t>ą</w:t>
      </w:r>
      <w:r w:rsidR="00BF1044" w:rsidRPr="00BF1044">
        <w:rPr>
          <w:color w:val="000000" w:themeColor="text1"/>
          <w:lang w:eastAsia="ar-SA"/>
        </w:rPr>
        <w:t xml:space="preserve"> ar pranešim</w:t>
      </w:r>
      <w:r w:rsidR="00BF1044" w:rsidRPr="00BF1044">
        <w:rPr>
          <w:rFonts w:hint="eastAsia"/>
          <w:color w:val="000000" w:themeColor="text1"/>
          <w:lang w:eastAsia="ar-SA"/>
        </w:rPr>
        <w:t>ą</w:t>
      </w:r>
      <w:r w:rsidR="00BF1044" w:rsidRPr="00BF1044">
        <w:rPr>
          <w:color w:val="000000" w:themeColor="text1"/>
          <w:lang w:eastAsia="ar-SA"/>
        </w:rPr>
        <w:t xml:space="preserve"> padavusio asmens teis</w:t>
      </w:r>
      <w:r w:rsidR="00BF1044" w:rsidRPr="00BF1044">
        <w:rPr>
          <w:rFonts w:hint="eastAsia"/>
          <w:color w:val="000000" w:themeColor="text1"/>
          <w:lang w:eastAsia="ar-SA"/>
        </w:rPr>
        <w:t>ę</w:t>
      </w:r>
      <w:r w:rsidR="00BF1044" w:rsidRPr="00BF1044">
        <w:rPr>
          <w:color w:val="000000" w:themeColor="text1"/>
          <w:lang w:eastAsia="ar-SA"/>
        </w:rPr>
        <w:t xml:space="preserve"> susipažinti su medžiaga, kurios pagrindu buvo priimtas ikiteisminio tyrimo pareig</w:t>
      </w:r>
      <w:r w:rsidR="00BF1044" w:rsidRPr="00BF1044">
        <w:rPr>
          <w:rFonts w:hint="eastAsia"/>
          <w:color w:val="000000" w:themeColor="text1"/>
          <w:lang w:eastAsia="ar-SA"/>
        </w:rPr>
        <w:t>ū</w:t>
      </w:r>
      <w:r w:rsidR="00BF1044" w:rsidRPr="00BF1044">
        <w:rPr>
          <w:color w:val="000000" w:themeColor="text1"/>
          <w:lang w:eastAsia="ar-SA"/>
        </w:rPr>
        <w:t>no ar prokuroro nutarimas atsisakyti prad</w:t>
      </w:r>
      <w:r w:rsidR="00BF1044" w:rsidRPr="00BF1044">
        <w:rPr>
          <w:rFonts w:hint="eastAsia"/>
          <w:color w:val="000000" w:themeColor="text1"/>
          <w:lang w:eastAsia="ar-SA"/>
        </w:rPr>
        <w:t>ė</w:t>
      </w:r>
      <w:r w:rsidR="00BF1044" w:rsidRPr="00BF1044">
        <w:rPr>
          <w:color w:val="000000" w:themeColor="text1"/>
          <w:lang w:eastAsia="ar-SA"/>
        </w:rPr>
        <w:t>ti ikiteismin</w:t>
      </w:r>
      <w:r w:rsidR="00BF1044" w:rsidRPr="00BF1044">
        <w:rPr>
          <w:rFonts w:hint="eastAsia"/>
          <w:color w:val="000000" w:themeColor="text1"/>
          <w:lang w:eastAsia="ar-SA"/>
        </w:rPr>
        <w:t>į</w:t>
      </w:r>
      <w:r w:rsidR="00BF1044" w:rsidRPr="00BF1044">
        <w:rPr>
          <w:color w:val="000000" w:themeColor="text1"/>
          <w:lang w:eastAsia="ar-SA"/>
        </w:rPr>
        <w:t xml:space="preserve"> tyrim</w:t>
      </w:r>
      <w:r w:rsidR="00BF1044" w:rsidRPr="00BF1044">
        <w:rPr>
          <w:rFonts w:hint="eastAsia"/>
          <w:color w:val="000000" w:themeColor="text1"/>
          <w:lang w:eastAsia="ar-SA"/>
        </w:rPr>
        <w:t>ą</w:t>
      </w:r>
      <w:r w:rsidR="00BF1044" w:rsidRPr="00BF1044">
        <w:rPr>
          <w:color w:val="000000" w:themeColor="text1"/>
          <w:lang w:eastAsia="ar-SA"/>
        </w:rPr>
        <w:t>.</w:t>
      </w:r>
      <w:r w:rsidR="00BF1044">
        <w:rPr>
          <w:color w:val="000000" w:themeColor="text1"/>
          <w:lang w:eastAsia="ar-SA"/>
        </w:rPr>
        <w:t xml:space="preserve"> </w:t>
      </w:r>
      <w:r w:rsidR="00D36FC3" w:rsidRPr="00D36FC3">
        <w:rPr>
          <w:color w:val="000000" w:themeColor="text1"/>
          <w:lang w:eastAsia="ar-SA"/>
        </w:rPr>
        <w:t xml:space="preserve">Sprendimas priimtas atsižvelgus </w:t>
      </w:r>
      <w:r w:rsidR="00D36FC3" w:rsidRPr="00D36FC3">
        <w:rPr>
          <w:rFonts w:hint="eastAsia"/>
          <w:color w:val="000000" w:themeColor="text1"/>
          <w:lang w:eastAsia="ar-SA"/>
        </w:rPr>
        <w:t>į</w:t>
      </w:r>
      <w:r w:rsidR="00D36FC3" w:rsidRPr="00D36FC3">
        <w:rPr>
          <w:color w:val="000000" w:themeColor="text1"/>
          <w:lang w:eastAsia="ar-SA"/>
        </w:rPr>
        <w:t xml:space="preserve"> Lietuvos Respublikos teisingumo ministerijos</w:t>
      </w:r>
      <w:r w:rsidR="00CF3CF9">
        <w:rPr>
          <w:color w:val="000000" w:themeColor="text1"/>
          <w:lang w:eastAsia="ar-SA"/>
        </w:rPr>
        <w:t xml:space="preserve"> ir Lietuvos Respublikos generalinės prokuratūros</w:t>
      </w:r>
      <w:r w:rsidR="00D36FC3" w:rsidRPr="00D36FC3">
        <w:rPr>
          <w:color w:val="000000" w:themeColor="text1"/>
          <w:lang w:eastAsia="ar-SA"/>
        </w:rPr>
        <w:t xml:space="preserve"> argumentus, kurie pateikiami šioje išvadoje.</w:t>
      </w:r>
    </w:p>
    <w:p w:rsidR="0023430A" w:rsidRPr="0023430A" w:rsidRDefault="0023430A" w:rsidP="0023430A">
      <w:pPr>
        <w:spacing w:line="360" w:lineRule="auto"/>
        <w:ind w:firstLine="851"/>
        <w:jc w:val="both"/>
        <w:rPr>
          <w:rFonts w:ascii="Times New Roman" w:hAnsi="Times New Roman"/>
          <w:i/>
          <w:sz w:val="24"/>
          <w:szCs w:val="24"/>
        </w:rPr>
      </w:pPr>
      <w:r w:rsidRPr="0023430A">
        <w:rPr>
          <w:rFonts w:ascii="Times New Roman" w:hAnsi="Times New Roman"/>
          <w:i/>
          <w:sz w:val="24"/>
          <w:szCs w:val="24"/>
        </w:rPr>
        <w:t xml:space="preserve">Dėl </w:t>
      </w:r>
      <w:r w:rsidR="00B143F6">
        <w:rPr>
          <w:rFonts w:ascii="Times New Roman" w:hAnsi="Times New Roman"/>
          <w:i/>
          <w:sz w:val="24"/>
          <w:szCs w:val="24"/>
        </w:rPr>
        <w:t xml:space="preserve">siūlymų pakeisti </w:t>
      </w:r>
      <w:r w:rsidR="001A2005" w:rsidRPr="001A2005">
        <w:rPr>
          <w:rFonts w:ascii="Times New Roman" w:hAnsi="Times New Roman"/>
          <w:i/>
          <w:sz w:val="24"/>
          <w:szCs w:val="24"/>
        </w:rPr>
        <w:t xml:space="preserve">Baudžiamojo proceso kodekso </w:t>
      </w:r>
      <w:r w:rsidRPr="0023430A">
        <w:rPr>
          <w:rFonts w:ascii="Times New Roman" w:hAnsi="Times New Roman"/>
          <w:i/>
          <w:sz w:val="24"/>
          <w:szCs w:val="24"/>
        </w:rPr>
        <w:t>166 straipsnio 1 dal</w:t>
      </w:r>
      <w:r w:rsidR="00B143F6">
        <w:rPr>
          <w:rFonts w:ascii="Times New Roman" w:hAnsi="Times New Roman"/>
          <w:i/>
          <w:sz w:val="24"/>
          <w:szCs w:val="24"/>
        </w:rPr>
        <w:t>į</w:t>
      </w:r>
      <w:r w:rsidRPr="0023430A">
        <w:rPr>
          <w:rFonts w:ascii="Times New Roman" w:hAnsi="Times New Roman"/>
          <w:i/>
          <w:sz w:val="24"/>
          <w:szCs w:val="24"/>
        </w:rPr>
        <w:t xml:space="preserve"> ir 170 straipsnio 4 dal</w:t>
      </w:r>
      <w:r w:rsidR="00B143F6">
        <w:rPr>
          <w:rFonts w:ascii="Times New Roman" w:hAnsi="Times New Roman"/>
          <w:i/>
          <w:sz w:val="24"/>
          <w:szCs w:val="24"/>
        </w:rPr>
        <w:t>į</w:t>
      </w:r>
      <w:r w:rsidRPr="0023430A">
        <w:rPr>
          <w:rFonts w:ascii="Times New Roman" w:hAnsi="Times New Roman"/>
          <w:i/>
          <w:sz w:val="24"/>
          <w:szCs w:val="24"/>
        </w:rPr>
        <w:t xml:space="preserve"> </w:t>
      </w:r>
    </w:p>
    <w:p w:rsidR="0023430A" w:rsidRPr="004334BF" w:rsidRDefault="0023430A" w:rsidP="0023430A">
      <w:pPr>
        <w:spacing w:line="360" w:lineRule="auto"/>
        <w:ind w:firstLine="851"/>
        <w:jc w:val="both"/>
        <w:rPr>
          <w:rFonts w:ascii="Times New Roman" w:hAnsi="Times New Roman"/>
          <w:iCs/>
          <w:sz w:val="24"/>
          <w:szCs w:val="24"/>
        </w:rPr>
      </w:pPr>
      <w:r w:rsidRPr="0023430A">
        <w:rPr>
          <w:rFonts w:ascii="Times New Roman" w:hAnsi="Times New Roman"/>
          <w:iCs/>
          <w:sz w:val="24"/>
          <w:szCs w:val="24"/>
        </w:rPr>
        <w:t xml:space="preserve">Peticijoje nurodoma, kad šiuo metu galiojančios </w:t>
      </w:r>
      <w:r w:rsidR="00593A08" w:rsidRPr="00593A08">
        <w:rPr>
          <w:rFonts w:ascii="Times New Roman" w:hAnsi="Times New Roman"/>
          <w:iCs/>
          <w:sz w:val="24"/>
          <w:szCs w:val="24"/>
        </w:rPr>
        <w:t xml:space="preserve">Baudžiamojo proceso kodekso </w:t>
      </w:r>
      <w:r w:rsidRPr="0023430A">
        <w:rPr>
          <w:rFonts w:ascii="Times New Roman" w:hAnsi="Times New Roman"/>
          <w:iCs/>
          <w:sz w:val="24"/>
          <w:szCs w:val="24"/>
        </w:rPr>
        <w:t>nuostatos numato teismui įgaliojimus pradėti ikiteisminį tyrimą tik tais atvejais, kai teismas</w:t>
      </w:r>
      <w:r w:rsidR="008030FD">
        <w:rPr>
          <w:rFonts w:ascii="Times New Roman" w:hAnsi="Times New Roman"/>
          <w:iCs/>
          <w:sz w:val="24"/>
          <w:szCs w:val="24"/>
        </w:rPr>
        <w:t>,</w:t>
      </w:r>
      <w:r w:rsidRPr="0023430A">
        <w:rPr>
          <w:rFonts w:ascii="Times New Roman" w:hAnsi="Times New Roman"/>
          <w:iCs/>
          <w:sz w:val="24"/>
          <w:szCs w:val="24"/>
        </w:rPr>
        <w:t xml:space="preserve"> vykdydamas procesinės kontrolės funkcijas, išnagrinėjęs skundą pagal</w:t>
      </w:r>
      <w:r w:rsidR="00593A08" w:rsidRPr="00593A08">
        <w:t xml:space="preserve"> </w:t>
      </w:r>
      <w:r w:rsidR="00593A08" w:rsidRPr="00593A08">
        <w:rPr>
          <w:rFonts w:ascii="Times New Roman" w:hAnsi="Times New Roman"/>
          <w:iCs/>
          <w:sz w:val="24"/>
          <w:szCs w:val="24"/>
        </w:rPr>
        <w:t>Baudžiamojo proceso kodekso</w:t>
      </w:r>
      <w:r w:rsidRPr="0023430A">
        <w:rPr>
          <w:rFonts w:ascii="Times New Roman" w:hAnsi="Times New Roman"/>
          <w:iCs/>
          <w:sz w:val="24"/>
          <w:szCs w:val="24"/>
        </w:rPr>
        <w:t xml:space="preserve"> 168 straipsnio 5 dalies nuostatas, priima sprendimą panaikinti ikiteisminio tyrimo teisėjo nutartį, kuria buvo patvirtintas ikiteisminio tyrimo pareigūno ar prokuroro nutarimo atsisakyti pradėti ikiteisminį tyrimą teisėtumas, ir dėl to</w:t>
      </w:r>
      <w:r w:rsidR="00C26A4F">
        <w:rPr>
          <w:rFonts w:ascii="Times New Roman" w:hAnsi="Times New Roman"/>
          <w:iCs/>
          <w:sz w:val="24"/>
          <w:szCs w:val="24"/>
        </w:rPr>
        <w:t>,</w:t>
      </w:r>
      <w:r w:rsidRPr="0023430A">
        <w:rPr>
          <w:rFonts w:ascii="Times New Roman" w:hAnsi="Times New Roman"/>
          <w:iCs/>
          <w:sz w:val="24"/>
          <w:szCs w:val="24"/>
        </w:rPr>
        <w:t xml:space="preserve"> vadovau</w:t>
      </w:r>
      <w:r w:rsidR="00096A36">
        <w:rPr>
          <w:rFonts w:ascii="Times New Roman" w:hAnsi="Times New Roman"/>
          <w:iCs/>
          <w:sz w:val="24"/>
          <w:szCs w:val="24"/>
        </w:rPr>
        <w:t>damasis</w:t>
      </w:r>
      <w:r w:rsidRPr="0023430A">
        <w:rPr>
          <w:rFonts w:ascii="Times New Roman" w:hAnsi="Times New Roman"/>
          <w:iCs/>
          <w:sz w:val="24"/>
          <w:szCs w:val="24"/>
        </w:rPr>
        <w:t xml:space="preserve"> </w:t>
      </w:r>
      <w:r w:rsidR="00593A08" w:rsidRPr="00593A08">
        <w:rPr>
          <w:rFonts w:ascii="Times New Roman" w:hAnsi="Times New Roman"/>
          <w:iCs/>
          <w:sz w:val="24"/>
          <w:szCs w:val="24"/>
        </w:rPr>
        <w:t>Baudžiamojo proceso kodekso</w:t>
      </w:r>
      <w:r w:rsidRPr="0023430A">
        <w:rPr>
          <w:rFonts w:ascii="Times New Roman" w:hAnsi="Times New Roman"/>
          <w:iCs/>
          <w:sz w:val="24"/>
          <w:szCs w:val="24"/>
        </w:rPr>
        <w:t xml:space="preserve"> 442 straipsnio 1 dalies 2 punktu</w:t>
      </w:r>
      <w:r w:rsidR="00C26A4F">
        <w:rPr>
          <w:rFonts w:ascii="Times New Roman" w:hAnsi="Times New Roman"/>
          <w:iCs/>
          <w:sz w:val="24"/>
          <w:szCs w:val="24"/>
        </w:rPr>
        <w:t>,</w:t>
      </w:r>
      <w:r w:rsidRPr="0023430A">
        <w:rPr>
          <w:rFonts w:ascii="Times New Roman" w:hAnsi="Times New Roman"/>
          <w:iCs/>
          <w:sz w:val="24"/>
          <w:szCs w:val="24"/>
        </w:rPr>
        <w:t xml:space="preserve"> priima naują sprendimą – pradėti ikiteisminį tyrimą. Tačiau šiuo metu galiojančiose </w:t>
      </w:r>
      <w:r w:rsidR="00593A08" w:rsidRPr="00593A08">
        <w:rPr>
          <w:rFonts w:ascii="Times New Roman" w:hAnsi="Times New Roman"/>
          <w:iCs/>
          <w:sz w:val="24"/>
          <w:szCs w:val="24"/>
        </w:rPr>
        <w:t>Baudžiamojo proceso kodekso</w:t>
      </w:r>
      <w:r w:rsidRPr="0023430A">
        <w:rPr>
          <w:rFonts w:ascii="Times New Roman" w:hAnsi="Times New Roman"/>
          <w:iCs/>
          <w:sz w:val="24"/>
          <w:szCs w:val="24"/>
        </w:rPr>
        <w:t xml:space="preserve"> 166 straipsnio 1 dalies nuostatose yra numatyta, kad ikiteisminis tyrimas pradedamas: &lt;...&gt; 2) prokurorui ar ikiteisminio tyrimo pareigūnui patiems nustačius nusikalstamos veikos požymius. Pareiškėja atkreipia dėmesį, kad toks teisinis reguliavimas numato tik prokurorui ar ikiteisminio tyrimo pareigūnui teisę pradėti ikiteisminį tyrimą patiems nustačius nusikalstamos veikos požymius, kas</w:t>
      </w:r>
      <w:r w:rsidR="002446FB">
        <w:rPr>
          <w:rFonts w:ascii="Times New Roman" w:hAnsi="Times New Roman"/>
          <w:iCs/>
          <w:sz w:val="24"/>
          <w:szCs w:val="24"/>
        </w:rPr>
        <w:t>,</w:t>
      </w:r>
      <w:r w:rsidRPr="0023430A">
        <w:rPr>
          <w:rFonts w:ascii="Times New Roman" w:hAnsi="Times New Roman"/>
          <w:iCs/>
          <w:sz w:val="24"/>
          <w:szCs w:val="24"/>
        </w:rPr>
        <w:t xml:space="preserve"> </w:t>
      </w:r>
      <w:r w:rsidR="002446FB">
        <w:rPr>
          <w:rFonts w:ascii="Times New Roman" w:hAnsi="Times New Roman"/>
          <w:iCs/>
          <w:sz w:val="24"/>
          <w:szCs w:val="24"/>
        </w:rPr>
        <w:t>p</w:t>
      </w:r>
      <w:r w:rsidRPr="0023430A">
        <w:rPr>
          <w:rFonts w:ascii="Times New Roman" w:hAnsi="Times New Roman"/>
          <w:iCs/>
          <w:sz w:val="24"/>
          <w:szCs w:val="24"/>
        </w:rPr>
        <w:t>areiškėjos teigimu</w:t>
      </w:r>
      <w:r w:rsidR="002446FB">
        <w:rPr>
          <w:rFonts w:ascii="Times New Roman" w:hAnsi="Times New Roman"/>
          <w:iCs/>
          <w:sz w:val="24"/>
          <w:szCs w:val="24"/>
        </w:rPr>
        <w:t>,</w:t>
      </w:r>
      <w:r w:rsidRPr="0023430A">
        <w:rPr>
          <w:rFonts w:ascii="Times New Roman" w:hAnsi="Times New Roman"/>
          <w:iCs/>
          <w:sz w:val="24"/>
          <w:szCs w:val="24"/>
        </w:rPr>
        <w:t xml:space="preserve"> pastariesiems subjektams leidžia nevykdyti įsiteisėjusių teismų sprendimų. Taip pat </w:t>
      </w:r>
      <w:r w:rsidR="006E639B">
        <w:rPr>
          <w:rFonts w:ascii="Times New Roman" w:hAnsi="Times New Roman"/>
          <w:iCs/>
          <w:sz w:val="24"/>
          <w:szCs w:val="24"/>
        </w:rPr>
        <w:t>p</w:t>
      </w:r>
      <w:r w:rsidRPr="0023430A">
        <w:rPr>
          <w:rFonts w:ascii="Times New Roman" w:hAnsi="Times New Roman"/>
          <w:iCs/>
          <w:sz w:val="24"/>
          <w:szCs w:val="24"/>
        </w:rPr>
        <w:t xml:space="preserve">areiškėja atkreipia dėmesį </w:t>
      </w:r>
      <w:r w:rsidRPr="0023430A">
        <w:rPr>
          <w:rFonts w:ascii="Times New Roman" w:hAnsi="Times New Roman"/>
          <w:iCs/>
          <w:sz w:val="24"/>
          <w:szCs w:val="24"/>
        </w:rPr>
        <w:lastRenderedPageBreak/>
        <w:t xml:space="preserve">į tai, kad analogiška situacija susiklosto ir tais atvejais, kai, pavyzdžiui, teismui, vadovaujantis </w:t>
      </w:r>
      <w:r w:rsidR="00593A08" w:rsidRPr="00593A08">
        <w:rPr>
          <w:rFonts w:ascii="Times New Roman" w:hAnsi="Times New Roman"/>
          <w:iCs/>
          <w:sz w:val="24"/>
          <w:szCs w:val="24"/>
        </w:rPr>
        <w:t xml:space="preserve">Baudžiamojo proceso kodekso </w:t>
      </w:r>
      <w:r w:rsidRPr="0023430A">
        <w:rPr>
          <w:rFonts w:ascii="Times New Roman" w:hAnsi="Times New Roman"/>
          <w:iCs/>
          <w:sz w:val="24"/>
          <w:szCs w:val="24"/>
        </w:rPr>
        <w:t xml:space="preserve">214 straipsnio 4 dalimi, yra skundžiami prokuroro nutarimai nutraukti ikiteisminį tyrimą ar kiti procesiniai sprendimai. Šiame kontekste </w:t>
      </w:r>
      <w:r w:rsidR="00EB72BC">
        <w:rPr>
          <w:rFonts w:ascii="Times New Roman" w:hAnsi="Times New Roman"/>
          <w:iCs/>
          <w:sz w:val="24"/>
          <w:szCs w:val="24"/>
        </w:rPr>
        <w:t>p</w:t>
      </w:r>
      <w:r w:rsidRPr="0023430A">
        <w:rPr>
          <w:rFonts w:ascii="Times New Roman" w:hAnsi="Times New Roman"/>
          <w:iCs/>
          <w:sz w:val="24"/>
          <w:szCs w:val="24"/>
        </w:rPr>
        <w:t xml:space="preserve">areiškėja atkreipia dėmesį į </w:t>
      </w:r>
      <w:r w:rsidR="00593A08" w:rsidRPr="00593A08">
        <w:rPr>
          <w:rFonts w:ascii="Times New Roman" w:hAnsi="Times New Roman"/>
          <w:iCs/>
          <w:sz w:val="24"/>
          <w:szCs w:val="24"/>
        </w:rPr>
        <w:t>Baudžiamojo proceso kodekso</w:t>
      </w:r>
      <w:r w:rsidRPr="0023430A">
        <w:rPr>
          <w:rFonts w:ascii="Times New Roman" w:hAnsi="Times New Roman"/>
          <w:iCs/>
          <w:sz w:val="24"/>
          <w:szCs w:val="24"/>
        </w:rPr>
        <w:t xml:space="preserve"> 170 straipsnio 4 dalies nuostatas, kuriose numatyta, kad </w:t>
      </w:r>
      <w:r w:rsidRPr="005C441E">
        <w:rPr>
          <w:rFonts w:ascii="Times New Roman" w:hAnsi="Times New Roman"/>
          <w:sz w:val="24"/>
          <w:szCs w:val="24"/>
        </w:rPr>
        <w:t>tik</w:t>
      </w:r>
      <w:r w:rsidRPr="0023430A">
        <w:rPr>
          <w:rFonts w:ascii="Times New Roman" w:hAnsi="Times New Roman"/>
          <w:iCs/>
          <w:sz w:val="24"/>
          <w:szCs w:val="24"/>
        </w:rPr>
        <w:t xml:space="preserve"> prokuroras priima sprendimus: 1) dėl tyrimų sujungimo ir atskyrimo; 2) dėl ikiteisminio tyrimo sustabdymo; 3) dėl ikiteisminio tyrimo nutraukimo, išskyrus šio Kodekso 214 straipsnio 1 dalyje numatytus atvejus; 4) dėl nutraukto ikiteisminio tyrimo atnaujinimo; 5) dėl tyrimo užbaigimo ir kaltinamojo akto surašymo. Pareiškėja pabrėžia, kad </w:t>
      </w:r>
      <w:r w:rsidR="00593A08" w:rsidRPr="00593A08">
        <w:rPr>
          <w:rFonts w:ascii="Times New Roman" w:hAnsi="Times New Roman"/>
          <w:iCs/>
          <w:sz w:val="24"/>
          <w:szCs w:val="24"/>
        </w:rPr>
        <w:t>Baudžiamojo proceso kodekso</w:t>
      </w:r>
      <w:r w:rsidRPr="0023430A">
        <w:rPr>
          <w:rFonts w:ascii="Times New Roman" w:hAnsi="Times New Roman"/>
          <w:iCs/>
          <w:sz w:val="24"/>
          <w:szCs w:val="24"/>
        </w:rPr>
        <w:t xml:space="preserve"> 170 straipsnio 4 dalyje numatytas žodis „tik“ suteikia prokurorams galimybę nevykdyti įsiteisėjusių teismo sprendimų, kas prieštarauja </w:t>
      </w:r>
      <w:r w:rsidR="00B833E8">
        <w:rPr>
          <w:rFonts w:ascii="Times New Roman" w:hAnsi="Times New Roman"/>
          <w:iCs/>
          <w:sz w:val="24"/>
          <w:szCs w:val="24"/>
        </w:rPr>
        <w:t xml:space="preserve">Lietuvos Respublikos </w:t>
      </w:r>
      <w:r w:rsidRPr="0023430A">
        <w:rPr>
          <w:rFonts w:ascii="Times New Roman" w:hAnsi="Times New Roman"/>
          <w:iCs/>
          <w:sz w:val="24"/>
          <w:szCs w:val="24"/>
        </w:rPr>
        <w:t xml:space="preserve">Konstitucinio Teismo praktikai (Konstitucinio Teismo </w:t>
      </w:r>
      <w:r w:rsidR="00DE4D49" w:rsidRPr="0023430A">
        <w:rPr>
          <w:rFonts w:ascii="Times New Roman" w:hAnsi="Times New Roman"/>
          <w:iCs/>
          <w:sz w:val="24"/>
          <w:szCs w:val="24"/>
        </w:rPr>
        <w:t xml:space="preserve">2011 m. balandžio 7 d. </w:t>
      </w:r>
      <w:r w:rsidRPr="0023430A">
        <w:rPr>
          <w:rFonts w:ascii="Times New Roman" w:hAnsi="Times New Roman"/>
          <w:iCs/>
          <w:sz w:val="24"/>
          <w:szCs w:val="24"/>
        </w:rPr>
        <w:t>nutarimas ir kt.), be kita ko, konstituciniam teisinės valstybės principui. Atsižvelg</w:t>
      </w:r>
      <w:r w:rsidR="001152E3">
        <w:rPr>
          <w:rFonts w:ascii="Times New Roman" w:hAnsi="Times New Roman"/>
          <w:iCs/>
          <w:sz w:val="24"/>
          <w:szCs w:val="24"/>
        </w:rPr>
        <w:t xml:space="preserve">dama </w:t>
      </w:r>
      <w:r w:rsidRPr="0023430A">
        <w:rPr>
          <w:rFonts w:ascii="Times New Roman" w:hAnsi="Times New Roman"/>
          <w:iCs/>
          <w:sz w:val="24"/>
          <w:szCs w:val="24"/>
        </w:rPr>
        <w:t xml:space="preserve">į tai, </w:t>
      </w:r>
      <w:r w:rsidR="001152E3">
        <w:rPr>
          <w:rFonts w:ascii="Times New Roman" w:hAnsi="Times New Roman"/>
          <w:iCs/>
          <w:sz w:val="24"/>
          <w:szCs w:val="24"/>
        </w:rPr>
        <w:t>p</w:t>
      </w:r>
      <w:r w:rsidRPr="0023430A">
        <w:rPr>
          <w:rFonts w:ascii="Times New Roman" w:hAnsi="Times New Roman"/>
          <w:iCs/>
          <w:sz w:val="24"/>
          <w:szCs w:val="24"/>
        </w:rPr>
        <w:t xml:space="preserve">areiškėja siūlo papildyti </w:t>
      </w:r>
      <w:r w:rsidR="00593A08" w:rsidRPr="00593A08">
        <w:rPr>
          <w:rFonts w:ascii="Times New Roman" w:hAnsi="Times New Roman"/>
          <w:iCs/>
          <w:sz w:val="24"/>
          <w:szCs w:val="24"/>
        </w:rPr>
        <w:t>Baudžiamojo proceso kodekso</w:t>
      </w:r>
      <w:r w:rsidRPr="0023430A">
        <w:rPr>
          <w:rFonts w:ascii="Times New Roman" w:hAnsi="Times New Roman"/>
          <w:iCs/>
          <w:sz w:val="24"/>
          <w:szCs w:val="24"/>
        </w:rPr>
        <w:t xml:space="preserve"> 166 straipsnio 1 dalį nauju 3 punktu – [ikiteisminis tyrimas pradedamas</w:t>
      </w:r>
      <w:r w:rsidRPr="004334BF">
        <w:rPr>
          <w:rFonts w:ascii="Times New Roman" w:hAnsi="Times New Roman"/>
          <w:iCs/>
          <w:sz w:val="24"/>
          <w:szCs w:val="24"/>
        </w:rPr>
        <w:t>:] „</w:t>
      </w:r>
      <w:r w:rsidRPr="004334BF">
        <w:rPr>
          <w:rFonts w:ascii="Times New Roman" w:hAnsi="Times New Roman"/>
          <w:sz w:val="24"/>
          <w:szCs w:val="24"/>
        </w:rPr>
        <w:t>3) gavus teismo nutartį, šiame kodekse numatytais atvejais</w:t>
      </w:r>
      <w:r w:rsidRPr="004334BF">
        <w:rPr>
          <w:rFonts w:ascii="Times New Roman" w:hAnsi="Times New Roman"/>
          <w:iCs/>
          <w:sz w:val="24"/>
          <w:szCs w:val="24"/>
        </w:rPr>
        <w:t xml:space="preserve">“, be kita ko, </w:t>
      </w:r>
      <w:r w:rsidR="001152E3" w:rsidRPr="004334BF">
        <w:rPr>
          <w:rFonts w:ascii="Times New Roman" w:hAnsi="Times New Roman"/>
          <w:iCs/>
          <w:sz w:val="24"/>
          <w:szCs w:val="24"/>
        </w:rPr>
        <w:t xml:space="preserve">siūlo </w:t>
      </w:r>
      <w:r w:rsidRPr="004334BF">
        <w:rPr>
          <w:rFonts w:ascii="Times New Roman" w:hAnsi="Times New Roman"/>
          <w:iCs/>
          <w:sz w:val="24"/>
          <w:szCs w:val="24"/>
        </w:rPr>
        <w:t xml:space="preserve">pakeisti </w:t>
      </w:r>
      <w:r w:rsidR="000473A6" w:rsidRPr="004334BF">
        <w:rPr>
          <w:rFonts w:ascii="Times New Roman" w:hAnsi="Times New Roman"/>
          <w:iCs/>
          <w:sz w:val="24"/>
          <w:szCs w:val="24"/>
        </w:rPr>
        <w:t>Baudžiamojo proceso kodekso</w:t>
      </w:r>
      <w:r w:rsidRPr="004334BF">
        <w:rPr>
          <w:rFonts w:ascii="Times New Roman" w:hAnsi="Times New Roman"/>
          <w:iCs/>
          <w:sz w:val="24"/>
          <w:szCs w:val="24"/>
        </w:rPr>
        <w:t xml:space="preserve"> 170 straipsnio 4 dalį, išbraukiant žodį „</w:t>
      </w:r>
      <w:r w:rsidRPr="004334BF">
        <w:rPr>
          <w:rFonts w:ascii="Times New Roman" w:hAnsi="Times New Roman"/>
          <w:sz w:val="24"/>
          <w:szCs w:val="24"/>
        </w:rPr>
        <w:t>tik</w:t>
      </w:r>
      <w:r w:rsidRPr="004334BF">
        <w:rPr>
          <w:rFonts w:ascii="Times New Roman" w:hAnsi="Times New Roman"/>
          <w:iCs/>
          <w:sz w:val="24"/>
          <w:szCs w:val="24"/>
        </w:rPr>
        <w:t xml:space="preserve">“ [prokuroras priima sprendimą: &lt;...&gt;]. </w:t>
      </w:r>
    </w:p>
    <w:p w:rsidR="0023430A" w:rsidRPr="0023430A" w:rsidRDefault="0023430A" w:rsidP="0023430A">
      <w:pPr>
        <w:spacing w:line="360" w:lineRule="auto"/>
        <w:ind w:firstLine="851"/>
        <w:jc w:val="both"/>
        <w:rPr>
          <w:rFonts w:ascii="Times New Roman" w:hAnsi="Times New Roman"/>
          <w:iCs/>
          <w:sz w:val="24"/>
          <w:szCs w:val="24"/>
        </w:rPr>
      </w:pPr>
      <w:r w:rsidRPr="0023430A">
        <w:rPr>
          <w:rFonts w:ascii="Times New Roman" w:hAnsi="Times New Roman"/>
          <w:iCs/>
          <w:sz w:val="24"/>
          <w:szCs w:val="24"/>
        </w:rPr>
        <w:t xml:space="preserve">Nagrinėjant </w:t>
      </w:r>
      <w:r w:rsidR="00EB72BC">
        <w:rPr>
          <w:rFonts w:ascii="Times New Roman" w:hAnsi="Times New Roman"/>
          <w:iCs/>
          <w:sz w:val="24"/>
          <w:szCs w:val="24"/>
        </w:rPr>
        <w:t>p</w:t>
      </w:r>
      <w:r w:rsidRPr="0023430A">
        <w:rPr>
          <w:rFonts w:ascii="Times New Roman" w:hAnsi="Times New Roman"/>
          <w:iCs/>
          <w:sz w:val="24"/>
          <w:szCs w:val="24"/>
        </w:rPr>
        <w:t xml:space="preserve">areiškėjos išdėstytus pasiūlymus ir juos pagrindžiančius motyvus, pirmiausia tikslinga atkreipti dėmesį į </w:t>
      </w:r>
      <w:r w:rsidR="00EB72BC">
        <w:rPr>
          <w:rFonts w:ascii="Times New Roman" w:hAnsi="Times New Roman"/>
          <w:iCs/>
          <w:sz w:val="24"/>
          <w:szCs w:val="24"/>
        </w:rPr>
        <w:t>p</w:t>
      </w:r>
      <w:r w:rsidRPr="0023430A">
        <w:rPr>
          <w:rFonts w:ascii="Times New Roman" w:hAnsi="Times New Roman"/>
          <w:iCs/>
          <w:sz w:val="24"/>
          <w:szCs w:val="24"/>
        </w:rPr>
        <w:t xml:space="preserve">areiškėjos peticijoje cituojamą Konstitucinio Teismo </w:t>
      </w:r>
      <w:r w:rsidR="000C3DA6" w:rsidRPr="0023430A">
        <w:rPr>
          <w:rFonts w:ascii="Times New Roman" w:hAnsi="Times New Roman"/>
          <w:iCs/>
          <w:sz w:val="24"/>
          <w:szCs w:val="24"/>
        </w:rPr>
        <w:t xml:space="preserve">2011 m. balandžio 7 d. </w:t>
      </w:r>
      <w:r w:rsidRPr="0023430A">
        <w:rPr>
          <w:rFonts w:ascii="Times New Roman" w:hAnsi="Times New Roman"/>
          <w:iCs/>
          <w:sz w:val="24"/>
          <w:szCs w:val="24"/>
        </w:rPr>
        <w:t>nutarimą, kuris</w:t>
      </w:r>
      <w:r w:rsidRPr="000C3DA6">
        <w:rPr>
          <w:rFonts w:ascii="Times New Roman" w:hAnsi="Times New Roman"/>
          <w:iCs/>
          <w:sz w:val="24"/>
          <w:szCs w:val="24"/>
        </w:rPr>
        <w:t xml:space="preserve">, Teisingumo ministerijos </w:t>
      </w:r>
      <w:r w:rsidR="000605CA" w:rsidRPr="008030FD">
        <w:rPr>
          <w:rFonts w:ascii="Times New Roman" w:hAnsi="Times New Roman"/>
          <w:iCs/>
          <w:sz w:val="24"/>
          <w:szCs w:val="24"/>
        </w:rPr>
        <w:t xml:space="preserve">ir Generalinės prokuratūros </w:t>
      </w:r>
      <w:r w:rsidRPr="000C3DA6">
        <w:rPr>
          <w:rFonts w:ascii="Times New Roman" w:hAnsi="Times New Roman"/>
          <w:iCs/>
          <w:sz w:val="24"/>
          <w:szCs w:val="24"/>
        </w:rPr>
        <w:t>vertinimu,</w:t>
      </w:r>
      <w:r w:rsidRPr="0023430A">
        <w:rPr>
          <w:rFonts w:ascii="Times New Roman" w:hAnsi="Times New Roman"/>
          <w:iCs/>
          <w:sz w:val="24"/>
          <w:szCs w:val="24"/>
        </w:rPr>
        <w:t xml:space="preserve"> yra svarbus analizuojant pareiškėjos teikiamų pasiūlymų pagrįstumą. Atkreiptinas dėmesys, kad aptariamame Konstitucinio Teismo nutarime buvo sprendžiamas klausimas, ar </w:t>
      </w:r>
      <w:r w:rsidR="00593A08" w:rsidRPr="00593A08">
        <w:rPr>
          <w:rFonts w:ascii="Times New Roman" w:hAnsi="Times New Roman"/>
          <w:iCs/>
          <w:sz w:val="24"/>
          <w:szCs w:val="24"/>
        </w:rPr>
        <w:t>Baudžiamojo proceso kodekso</w:t>
      </w:r>
      <w:r w:rsidRPr="0023430A">
        <w:rPr>
          <w:rFonts w:ascii="Times New Roman" w:hAnsi="Times New Roman"/>
          <w:iCs/>
          <w:sz w:val="24"/>
          <w:szCs w:val="24"/>
        </w:rPr>
        <w:t xml:space="preserve"> 168 straipsnio 4 dalis (2007 m. birželio 28 d. redakcija</w:t>
      </w:r>
      <w:r w:rsidRPr="0023430A">
        <w:rPr>
          <w:rFonts w:ascii="Times New Roman" w:hAnsi="Times New Roman"/>
          <w:iCs/>
          <w:sz w:val="24"/>
          <w:szCs w:val="24"/>
          <w:vertAlign w:val="superscript"/>
        </w:rPr>
        <w:footnoteReference w:id="1"/>
      </w:r>
      <w:r w:rsidRPr="0023430A">
        <w:rPr>
          <w:rFonts w:ascii="Times New Roman" w:hAnsi="Times New Roman"/>
          <w:iCs/>
          <w:sz w:val="24"/>
          <w:szCs w:val="24"/>
        </w:rPr>
        <w:t xml:space="preserve">) tiek, kiek pagal joje nustatytą reguliavimą ikiteisminio tyrimo teisėjo sprendimas dėl prokuroro nutarimo atsisakyti pradėti ikiteisminį tyrimą ar prokuroro sprendimo nepanaikinti ikiteisminio tyrimo pareigūno nutarimo atsisakyti pradėti ikiteisminį tyrimą skundžiamas aukštesniajam teismui, neprieštarauja Lietuvos Respublikos Konstitucijai, o būtent jos 109 straipsnio 1 daliai, pagal kurią teisingumą Lietuvos Respublikoje vykdo tik teismai, ir 118 straipsnio 1 daliai, pagal kurią tik prokuroras organizuoja ikiteisminį tyrimą ir jam vadovauja. Analizuojamoje konstitucinės justicijos byloje pareiškėjas teigė, kad pagal </w:t>
      </w:r>
      <w:r w:rsidR="00593A08" w:rsidRPr="00593A08">
        <w:rPr>
          <w:rFonts w:ascii="Times New Roman" w:hAnsi="Times New Roman"/>
          <w:iCs/>
          <w:sz w:val="24"/>
          <w:szCs w:val="24"/>
        </w:rPr>
        <w:t>Baudžiamojo proceso kodekso</w:t>
      </w:r>
      <w:r w:rsidRPr="0023430A">
        <w:rPr>
          <w:rFonts w:ascii="Times New Roman" w:hAnsi="Times New Roman"/>
          <w:iCs/>
          <w:sz w:val="24"/>
          <w:szCs w:val="24"/>
        </w:rPr>
        <w:t xml:space="preserve"> 168 straipsnio 4 dalies (2007 m. birželio 28 d. redakcija) nuostatą, kuri buvo ginčijama šioje konstitucinės justicijos byloje, teismui priskiriama funkcija spręsti dėl ikiteisminio tyrimo pradėjimo, vykdyti ikiteisminio tyrimo kontrolę, nors tai pagal Konstituciją nėra priskirta teismų kompetencijai. Įtvirtinus galimybę ikiteisminio tyrimo teisėjo priimtą sprendimą apskųsti aukštesniajam teismui, aukštesnės instancijos teismas įpareigojamas spręsti ikiteisminio tyrimo pradėjimo (atsisakymo jį pradėti) klausimą, kurį nagrinėti, pasak pareiškėjo (analizuojamoje konstitucinės justicijos byloje), yra išimtinė prokuroro funkcija, dėl to aukštesniojo teismo veiksmuose atsiranda teisingumo vykdymui nebūdingų ikiteisminio tyrimo kontrolės elementų.</w:t>
      </w:r>
    </w:p>
    <w:p w:rsidR="0023430A" w:rsidRPr="0023430A" w:rsidRDefault="00096A36" w:rsidP="0023430A">
      <w:pPr>
        <w:spacing w:line="360" w:lineRule="auto"/>
        <w:ind w:firstLine="851"/>
        <w:jc w:val="both"/>
        <w:rPr>
          <w:rFonts w:ascii="Times New Roman" w:hAnsi="Times New Roman"/>
          <w:iCs/>
          <w:sz w:val="24"/>
          <w:szCs w:val="24"/>
        </w:rPr>
      </w:pPr>
      <w:r>
        <w:rPr>
          <w:rFonts w:ascii="Times New Roman" w:hAnsi="Times New Roman"/>
          <w:iCs/>
          <w:sz w:val="24"/>
          <w:szCs w:val="24"/>
        </w:rPr>
        <w:t>A</w:t>
      </w:r>
      <w:r w:rsidR="0023430A" w:rsidRPr="0023430A">
        <w:rPr>
          <w:rFonts w:ascii="Times New Roman" w:hAnsi="Times New Roman"/>
          <w:iCs/>
          <w:sz w:val="24"/>
          <w:szCs w:val="24"/>
        </w:rPr>
        <w:t>tkreip</w:t>
      </w:r>
      <w:r>
        <w:rPr>
          <w:rFonts w:ascii="Times New Roman" w:hAnsi="Times New Roman"/>
          <w:iCs/>
          <w:sz w:val="24"/>
          <w:szCs w:val="24"/>
        </w:rPr>
        <w:t>tina</w:t>
      </w:r>
      <w:r w:rsidR="004351D8">
        <w:rPr>
          <w:rFonts w:ascii="Times New Roman" w:hAnsi="Times New Roman"/>
          <w:iCs/>
          <w:sz w:val="24"/>
          <w:szCs w:val="24"/>
        </w:rPr>
        <w:t>s</w:t>
      </w:r>
      <w:r w:rsidR="0023430A" w:rsidRPr="0023430A">
        <w:rPr>
          <w:rFonts w:ascii="Times New Roman" w:hAnsi="Times New Roman"/>
          <w:iCs/>
          <w:sz w:val="24"/>
          <w:szCs w:val="24"/>
        </w:rPr>
        <w:t xml:space="preserve"> dėmes</w:t>
      </w:r>
      <w:r>
        <w:rPr>
          <w:rFonts w:ascii="Times New Roman" w:hAnsi="Times New Roman"/>
          <w:iCs/>
          <w:sz w:val="24"/>
          <w:szCs w:val="24"/>
        </w:rPr>
        <w:t>ys</w:t>
      </w:r>
      <w:r w:rsidR="00EB72BC">
        <w:rPr>
          <w:rFonts w:ascii="Times New Roman" w:hAnsi="Times New Roman"/>
          <w:iCs/>
          <w:sz w:val="24"/>
          <w:szCs w:val="24"/>
        </w:rPr>
        <w:t xml:space="preserve"> </w:t>
      </w:r>
      <w:r w:rsidR="0023430A" w:rsidRPr="0023430A">
        <w:rPr>
          <w:rFonts w:ascii="Times New Roman" w:hAnsi="Times New Roman"/>
          <w:iCs/>
          <w:sz w:val="24"/>
          <w:szCs w:val="24"/>
        </w:rPr>
        <w:t>į tai, kad Konstitucinis Teismas</w:t>
      </w:r>
      <w:r w:rsidR="004351D8">
        <w:rPr>
          <w:rFonts w:ascii="Times New Roman" w:hAnsi="Times New Roman"/>
          <w:iCs/>
          <w:sz w:val="24"/>
          <w:szCs w:val="24"/>
        </w:rPr>
        <w:t>,</w:t>
      </w:r>
      <w:r w:rsidR="0023430A" w:rsidRPr="0023430A">
        <w:rPr>
          <w:rFonts w:ascii="Times New Roman" w:hAnsi="Times New Roman"/>
          <w:iCs/>
          <w:sz w:val="24"/>
          <w:szCs w:val="24"/>
        </w:rPr>
        <w:t xml:space="preserve"> nagrinėdamas nurodytus klausimus, be kita ko, išaiškino, </w:t>
      </w:r>
      <w:r w:rsidR="00DE4D49">
        <w:rPr>
          <w:rFonts w:ascii="Times New Roman" w:hAnsi="Times New Roman"/>
          <w:iCs/>
          <w:sz w:val="24"/>
          <w:szCs w:val="24"/>
        </w:rPr>
        <w:t>kad</w:t>
      </w:r>
      <w:r w:rsidR="0023430A" w:rsidRPr="0023430A">
        <w:rPr>
          <w:rFonts w:ascii="Times New Roman" w:hAnsi="Times New Roman"/>
          <w:iCs/>
          <w:sz w:val="24"/>
          <w:szCs w:val="24"/>
        </w:rPr>
        <w:t xml:space="preserve"> pagal Konstituciją, </w:t>
      </w:r>
      <w:proofErr w:type="spellStart"/>
      <w:r w:rsidR="0023430A" w:rsidRPr="0023430A">
        <w:rPr>
          <w:rFonts w:ascii="Times New Roman" w:hAnsi="Times New Roman"/>
          <w:i/>
          <w:sz w:val="24"/>
          <w:szCs w:val="24"/>
        </w:rPr>
        <w:t>inter</w:t>
      </w:r>
      <w:proofErr w:type="spellEnd"/>
      <w:r w:rsidR="0023430A" w:rsidRPr="0023430A">
        <w:rPr>
          <w:rFonts w:ascii="Times New Roman" w:hAnsi="Times New Roman"/>
          <w:i/>
          <w:sz w:val="24"/>
          <w:szCs w:val="24"/>
        </w:rPr>
        <w:t xml:space="preserve"> alia</w:t>
      </w:r>
      <w:r w:rsidR="0023430A" w:rsidRPr="0023430A">
        <w:rPr>
          <w:rFonts w:ascii="Times New Roman" w:hAnsi="Times New Roman"/>
          <w:iCs/>
          <w:sz w:val="24"/>
          <w:szCs w:val="24"/>
        </w:rPr>
        <w:t xml:space="preserve"> jos 30 straipsnio 1 dalį, reguliuojant baudžiamojo proceso santykius </w:t>
      </w:r>
      <w:r w:rsidR="0023430A" w:rsidRPr="00FD7F59">
        <w:rPr>
          <w:rFonts w:ascii="Times New Roman" w:hAnsi="Times New Roman"/>
          <w:sz w:val="24"/>
          <w:szCs w:val="24"/>
        </w:rPr>
        <w:t>jokiais atžvilgiais negali būti pažeista Konstitucijoje įtvirtinta asmens teisė kreiptis į teismą</w:t>
      </w:r>
      <w:r w:rsidR="0023430A" w:rsidRPr="00FD7F59">
        <w:rPr>
          <w:rFonts w:ascii="Times New Roman" w:hAnsi="Times New Roman"/>
          <w:iCs/>
          <w:sz w:val="24"/>
          <w:szCs w:val="24"/>
        </w:rPr>
        <w:t>;</w:t>
      </w:r>
      <w:r w:rsidR="0023430A" w:rsidRPr="0023430A">
        <w:rPr>
          <w:rFonts w:ascii="Times New Roman" w:hAnsi="Times New Roman"/>
          <w:iCs/>
          <w:sz w:val="24"/>
          <w:szCs w:val="24"/>
        </w:rPr>
        <w:t xml:space="preserve"> įstatymais baudžiamojo proceso santykiai turi būti reguliuojami taip, kad baudžiamojo proceso teisinių santykių subjektai, kurie mano, jog jų teisės pažeistos, </w:t>
      </w:r>
      <w:r w:rsidR="0023430A" w:rsidRPr="00FD7F59">
        <w:rPr>
          <w:rFonts w:ascii="Times New Roman" w:hAnsi="Times New Roman"/>
          <w:sz w:val="24"/>
          <w:szCs w:val="24"/>
        </w:rPr>
        <w:t>turėtų teisę savo teises ginti teisme nepriklausomai nuo savo teisinio statuso baudžiamajame procese</w:t>
      </w:r>
      <w:r w:rsidR="0023430A" w:rsidRPr="00FD7F59">
        <w:rPr>
          <w:rFonts w:ascii="Times New Roman" w:hAnsi="Times New Roman"/>
          <w:iCs/>
          <w:sz w:val="24"/>
          <w:szCs w:val="24"/>
        </w:rPr>
        <w:t xml:space="preserve">. </w:t>
      </w:r>
      <w:r w:rsidR="0023430A" w:rsidRPr="0023430A">
        <w:rPr>
          <w:rFonts w:ascii="Times New Roman" w:hAnsi="Times New Roman"/>
          <w:iCs/>
          <w:sz w:val="24"/>
          <w:szCs w:val="24"/>
        </w:rPr>
        <w:t>Atkreip</w:t>
      </w:r>
      <w:r w:rsidR="0093505E">
        <w:rPr>
          <w:rFonts w:ascii="Times New Roman" w:hAnsi="Times New Roman"/>
          <w:iCs/>
          <w:sz w:val="24"/>
          <w:szCs w:val="24"/>
        </w:rPr>
        <w:t>tina</w:t>
      </w:r>
      <w:r w:rsidR="004351D8">
        <w:rPr>
          <w:rFonts w:ascii="Times New Roman" w:hAnsi="Times New Roman"/>
          <w:iCs/>
          <w:sz w:val="24"/>
          <w:szCs w:val="24"/>
        </w:rPr>
        <w:t>s</w:t>
      </w:r>
      <w:r w:rsidR="0023430A" w:rsidRPr="0023430A">
        <w:rPr>
          <w:rFonts w:ascii="Times New Roman" w:hAnsi="Times New Roman"/>
          <w:iCs/>
          <w:sz w:val="24"/>
          <w:szCs w:val="24"/>
        </w:rPr>
        <w:t xml:space="preserve"> dėmesys ir į tai, kad tokie išaiškinimai nuosekliai buvo plėtoti ir kit</w:t>
      </w:r>
      <w:r w:rsidR="0093505E">
        <w:rPr>
          <w:rFonts w:ascii="Times New Roman" w:hAnsi="Times New Roman"/>
          <w:iCs/>
          <w:sz w:val="24"/>
          <w:szCs w:val="24"/>
        </w:rPr>
        <w:t>u</w:t>
      </w:r>
      <w:r w:rsidR="0023430A" w:rsidRPr="0023430A">
        <w:rPr>
          <w:rFonts w:ascii="Times New Roman" w:hAnsi="Times New Roman"/>
          <w:iCs/>
          <w:sz w:val="24"/>
          <w:szCs w:val="24"/>
        </w:rPr>
        <w:t xml:space="preserve">ose Konstitucinio Teismo nutarimuose: </w:t>
      </w:r>
      <w:r w:rsidR="0023430A" w:rsidRPr="00FD7F59">
        <w:rPr>
          <w:rFonts w:ascii="Times New Roman" w:hAnsi="Times New Roman"/>
          <w:sz w:val="24"/>
          <w:szCs w:val="24"/>
        </w:rPr>
        <w:t>teisė kreiptis į teismą yra absoliuti</w:t>
      </w:r>
      <w:r w:rsidR="00DE4D49">
        <w:rPr>
          <w:rFonts w:ascii="Times New Roman" w:hAnsi="Times New Roman"/>
          <w:i/>
          <w:sz w:val="24"/>
          <w:szCs w:val="24"/>
        </w:rPr>
        <w:t xml:space="preserve"> </w:t>
      </w:r>
      <w:r w:rsidR="00DE4D49" w:rsidRPr="00C01990">
        <w:rPr>
          <w:rFonts w:ascii="Times New Roman" w:hAnsi="Times New Roman"/>
          <w:sz w:val="24"/>
          <w:szCs w:val="24"/>
        </w:rPr>
        <w:t>(Konstitucinio Teismo 2000 m. birželio 30 d. nutarimas)</w:t>
      </w:r>
      <w:r w:rsidR="0023430A" w:rsidRPr="0023430A">
        <w:rPr>
          <w:rFonts w:ascii="Times New Roman" w:hAnsi="Times New Roman"/>
          <w:iCs/>
          <w:sz w:val="24"/>
          <w:szCs w:val="24"/>
        </w:rPr>
        <w:t xml:space="preserve">. Šios teisės negalima apriboti ar paneigti. Pagal Konstituciją įstatymų leidėjas turi pareigą nustatyti tokį teisinį reguliavimą, kad </w:t>
      </w:r>
      <w:r w:rsidR="0023430A" w:rsidRPr="00FD7F59">
        <w:rPr>
          <w:rFonts w:ascii="Times New Roman" w:hAnsi="Times New Roman"/>
          <w:sz w:val="24"/>
          <w:szCs w:val="24"/>
        </w:rPr>
        <w:t>visus ginčus dėl asmenų teisių ir laisvių pažeidimo būtų galima spręsti teisme</w:t>
      </w:r>
      <w:r w:rsidR="0023430A" w:rsidRPr="00FD7F59">
        <w:rPr>
          <w:rFonts w:ascii="Times New Roman" w:hAnsi="Times New Roman"/>
          <w:iCs/>
          <w:sz w:val="24"/>
          <w:szCs w:val="24"/>
        </w:rPr>
        <w:t xml:space="preserve">. </w:t>
      </w:r>
      <w:r w:rsidR="0023430A" w:rsidRPr="0023430A">
        <w:rPr>
          <w:rFonts w:ascii="Times New Roman" w:hAnsi="Times New Roman"/>
          <w:iCs/>
          <w:sz w:val="24"/>
          <w:szCs w:val="24"/>
        </w:rPr>
        <w:t>Teisės aktais gali būti nustatyta ir ikiteisminė ginčų sprendimo tvarka. Tačiau negalima nustatyti tokio teisinio reguliavimo, kuriuo būtų paneigta asmens, manančio, kad jo teisės ar laisvės pažeistos, teisė ginti savo teises ar laisves teisme</w:t>
      </w:r>
      <w:r w:rsidR="00DE4D49">
        <w:rPr>
          <w:rFonts w:ascii="Times New Roman" w:hAnsi="Times New Roman"/>
          <w:iCs/>
          <w:sz w:val="24"/>
          <w:szCs w:val="24"/>
        </w:rPr>
        <w:t xml:space="preserve"> (</w:t>
      </w:r>
      <w:r w:rsidR="00DE4D49" w:rsidRPr="00DE4D49">
        <w:rPr>
          <w:rFonts w:ascii="Times New Roman" w:hAnsi="Times New Roman"/>
          <w:iCs/>
          <w:sz w:val="24"/>
          <w:szCs w:val="24"/>
        </w:rPr>
        <w:t xml:space="preserve">Konstitucinio Teismo 2002 m. liepos 2 d., 2003 </w:t>
      </w:r>
      <w:r w:rsidR="00EB4335">
        <w:rPr>
          <w:rFonts w:ascii="Times New Roman" w:hAnsi="Times New Roman"/>
          <w:iCs/>
          <w:sz w:val="24"/>
          <w:szCs w:val="24"/>
        </w:rPr>
        <w:t xml:space="preserve">m. </w:t>
      </w:r>
      <w:r w:rsidR="00DE4D49" w:rsidRPr="00DE4D49">
        <w:rPr>
          <w:rFonts w:ascii="Times New Roman" w:hAnsi="Times New Roman"/>
          <w:iCs/>
          <w:sz w:val="24"/>
          <w:szCs w:val="24"/>
        </w:rPr>
        <w:t>kovo 4 d. nutarimai</w:t>
      </w:r>
      <w:r w:rsidR="00DE4D49">
        <w:rPr>
          <w:rFonts w:ascii="Times New Roman" w:hAnsi="Times New Roman"/>
          <w:iCs/>
          <w:sz w:val="24"/>
          <w:szCs w:val="24"/>
        </w:rPr>
        <w:t>)</w:t>
      </w:r>
      <w:r w:rsidR="0023430A" w:rsidRPr="0023430A">
        <w:rPr>
          <w:rFonts w:ascii="Times New Roman" w:hAnsi="Times New Roman"/>
          <w:iCs/>
          <w:sz w:val="24"/>
          <w:szCs w:val="24"/>
        </w:rPr>
        <w:t xml:space="preserve">. </w:t>
      </w:r>
    </w:p>
    <w:p w:rsidR="0023430A" w:rsidRPr="0023430A" w:rsidRDefault="0023430A" w:rsidP="0023430A">
      <w:pPr>
        <w:spacing w:line="360" w:lineRule="auto"/>
        <w:ind w:firstLine="851"/>
        <w:jc w:val="both"/>
        <w:rPr>
          <w:rFonts w:ascii="Times New Roman" w:hAnsi="Times New Roman"/>
          <w:iCs/>
          <w:sz w:val="24"/>
          <w:szCs w:val="24"/>
        </w:rPr>
      </w:pPr>
      <w:r w:rsidRPr="0023430A">
        <w:rPr>
          <w:rFonts w:ascii="Times New Roman" w:hAnsi="Times New Roman"/>
          <w:iCs/>
          <w:sz w:val="24"/>
          <w:szCs w:val="24"/>
        </w:rPr>
        <w:t xml:space="preserve">Be kita ko, Konstitucinio Teismo </w:t>
      </w:r>
      <w:r w:rsidR="00AF4A77" w:rsidRPr="0023430A">
        <w:rPr>
          <w:rFonts w:ascii="Times New Roman" w:hAnsi="Times New Roman"/>
          <w:iCs/>
          <w:sz w:val="24"/>
          <w:szCs w:val="24"/>
        </w:rPr>
        <w:t xml:space="preserve">2011 m. balandžio 7 d. </w:t>
      </w:r>
      <w:r w:rsidRPr="0023430A">
        <w:rPr>
          <w:rFonts w:ascii="Times New Roman" w:hAnsi="Times New Roman"/>
          <w:iCs/>
          <w:sz w:val="24"/>
          <w:szCs w:val="24"/>
        </w:rPr>
        <w:t>nutarime pažymėta ir</w:t>
      </w:r>
      <w:r w:rsidRPr="0023430A">
        <w:rPr>
          <w:rFonts w:ascii="Times New Roman" w:hAnsi="Times New Roman"/>
          <w:b/>
          <w:bCs/>
          <w:iCs/>
          <w:sz w:val="24"/>
          <w:szCs w:val="24"/>
        </w:rPr>
        <w:t xml:space="preserve"> </w:t>
      </w:r>
      <w:r w:rsidRPr="0023430A">
        <w:rPr>
          <w:rFonts w:ascii="Times New Roman" w:hAnsi="Times New Roman"/>
          <w:iCs/>
          <w:sz w:val="24"/>
          <w:szCs w:val="24"/>
        </w:rPr>
        <w:t xml:space="preserve">tai, kad pagal Konstitucijos 30 straipsnio 1 dalį įstatymų leidėjas, reglamentuodamas ikiteisminio tyrimo etape dalyvaujančių asmenų, </w:t>
      </w:r>
      <w:proofErr w:type="spellStart"/>
      <w:r w:rsidRPr="0023430A">
        <w:rPr>
          <w:rFonts w:ascii="Times New Roman" w:hAnsi="Times New Roman"/>
          <w:i/>
          <w:sz w:val="24"/>
          <w:szCs w:val="24"/>
        </w:rPr>
        <w:t>inter</w:t>
      </w:r>
      <w:proofErr w:type="spellEnd"/>
      <w:r w:rsidRPr="0023430A">
        <w:rPr>
          <w:rFonts w:ascii="Times New Roman" w:hAnsi="Times New Roman"/>
          <w:i/>
          <w:sz w:val="24"/>
          <w:szCs w:val="24"/>
        </w:rPr>
        <w:t xml:space="preserve"> alia</w:t>
      </w:r>
      <w:r w:rsidRPr="0023430A">
        <w:rPr>
          <w:rFonts w:ascii="Times New Roman" w:hAnsi="Times New Roman"/>
          <w:iCs/>
          <w:sz w:val="24"/>
          <w:szCs w:val="24"/>
        </w:rPr>
        <w:t xml:space="preserve"> nukentėjusių nuo nusikalstamos veikos, galimybę apskųsti su ikiteisminiu tyrimu baudžiamajame procese susijusius veiksmus bei sprendimus, gali nustatyti tokią tvarką, pagal kurią teismo sprendimas dėl prokuroro nutarimo atsisakyti pradėti ikiteisminį tyrimą gali būti skundžiamas aukštesniajam teismui.</w:t>
      </w:r>
      <w:r w:rsidRPr="0023430A">
        <w:rPr>
          <w:rFonts w:ascii="Times New Roman" w:hAnsi="Times New Roman"/>
          <w:b/>
          <w:bCs/>
          <w:iCs/>
          <w:sz w:val="24"/>
          <w:szCs w:val="24"/>
        </w:rPr>
        <w:t xml:space="preserve"> </w:t>
      </w:r>
      <w:r w:rsidRPr="00FD7F59">
        <w:rPr>
          <w:rFonts w:ascii="Times New Roman" w:hAnsi="Times New Roman"/>
          <w:sz w:val="24"/>
          <w:szCs w:val="24"/>
        </w:rPr>
        <w:t>Tai darydamas įstatymų leidėjas privalo paisyti Konstitucijos normų ir principų</w:t>
      </w:r>
      <w:r w:rsidRPr="00FD7F59">
        <w:rPr>
          <w:rFonts w:ascii="Times New Roman" w:hAnsi="Times New Roman"/>
          <w:iCs/>
          <w:sz w:val="24"/>
          <w:szCs w:val="24"/>
        </w:rPr>
        <w:t>.</w:t>
      </w:r>
      <w:r w:rsidRPr="0023430A">
        <w:rPr>
          <w:rFonts w:ascii="Times New Roman" w:hAnsi="Times New Roman"/>
          <w:iCs/>
          <w:sz w:val="24"/>
          <w:szCs w:val="24"/>
        </w:rPr>
        <w:t xml:space="preserve"> Iš pateiktų Konstitucinio Teismo išaiškinimų seka, kad teisė kreiptis į teismą yra viena iš pamatinių asmens konstitucinių teisių, kuri negali būti apribojama, be kita ko, skundžiant ir ikiteisminio tyrimo pareigūno ar prokuroro procesinius sp</w:t>
      </w:r>
      <w:r w:rsidR="004C0D4F">
        <w:rPr>
          <w:rFonts w:ascii="Times New Roman" w:hAnsi="Times New Roman"/>
          <w:iCs/>
          <w:sz w:val="24"/>
          <w:szCs w:val="24"/>
        </w:rPr>
        <w:t>rendimus, tačiau įstatymų leidėjas</w:t>
      </w:r>
      <w:r w:rsidR="004351D8">
        <w:rPr>
          <w:rFonts w:ascii="Times New Roman" w:hAnsi="Times New Roman"/>
          <w:iCs/>
          <w:sz w:val="24"/>
          <w:szCs w:val="24"/>
        </w:rPr>
        <w:t>,</w:t>
      </w:r>
      <w:r w:rsidRPr="0023430A">
        <w:rPr>
          <w:rFonts w:ascii="Times New Roman" w:hAnsi="Times New Roman"/>
          <w:iCs/>
          <w:sz w:val="24"/>
          <w:szCs w:val="24"/>
        </w:rPr>
        <w:t xml:space="preserve"> užtikrin</w:t>
      </w:r>
      <w:r w:rsidR="004C0D4F">
        <w:rPr>
          <w:rFonts w:ascii="Times New Roman" w:hAnsi="Times New Roman"/>
          <w:iCs/>
          <w:sz w:val="24"/>
          <w:szCs w:val="24"/>
        </w:rPr>
        <w:t>damas</w:t>
      </w:r>
      <w:r w:rsidRPr="0023430A">
        <w:rPr>
          <w:rFonts w:ascii="Times New Roman" w:hAnsi="Times New Roman"/>
          <w:iCs/>
          <w:sz w:val="24"/>
          <w:szCs w:val="24"/>
        </w:rPr>
        <w:t xml:space="preserve"> asmenų teises kreiptis į teismą</w:t>
      </w:r>
      <w:r w:rsidR="004351D8">
        <w:rPr>
          <w:rFonts w:ascii="Times New Roman" w:hAnsi="Times New Roman"/>
          <w:iCs/>
          <w:sz w:val="24"/>
          <w:szCs w:val="24"/>
        </w:rPr>
        <w:t>,</w:t>
      </w:r>
      <w:r w:rsidRPr="0023430A">
        <w:rPr>
          <w:rFonts w:ascii="Times New Roman" w:hAnsi="Times New Roman"/>
          <w:iCs/>
          <w:sz w:val="24"/>
          <w:szCs w:val="24"/>
        </w:rPr>
        <w:t xml:space="preserve">  </w:t>
      </w:r>
      <w:r w:rsidRPr="00FD7F59">
        <w:rPr>
          <w:rFonts w:ascii="Times New Roman" w:hAnsi="Times New Roman"/>
          <w:sz w:val="24"/>
          <w:szCs w:val="24"/>
        </w:rPr>
        <w:t>privalo atsižvelgti ir į kitus Konstitucijoje nustatytus reikalavimus</w:t>
      </w:r>
      <w:r w:rsidRPr="00FD7F59">
        <w:rPr>
          <w:rFonts w:ascii="Times New Roman" w:hAnsi="Times New Roman"/>
          <w:iCs/>
          <w:sz w:val="24"/>
          <w:szCs w:val="24"/>
        </w:rPr>
        <w:t>.</w:t>
      </w:r>
      <w:r w:rsidRPr="0023430A">
        <w:rPr>
          <w:rFonts w:ascii="Times New Roman" w:hAnsi="Times New Roman"/>
          <w:iCs/>
          <w:sz w:val="24"/>
          <w:szCs w:val="24"/>
        </w:rPr>
        <w:t xml:space="preserve"> Kaip Konstitucinis Teismas yra ne kartą konstatavęs, visos Konstitucijos nuostatos yra tarpusavyje susijusios ir sudaro vieną darnią sistemą, tarp Konstitucijoje įtvirtintų vertybių yra pusiausvyra, nė vienos Konstitucijos nuostatos negalima aiškinti taip, kad būtų iškreiptas arba paneigtas kurios nors kitos Konstitucijos nuostatos turinys, nes taip būtų iškreipta viso konstitucinio teisinio reguliavimo esmė, pažeista konstitucinių vertybių pusiausvyra</w:t>
      </w:r>
      <w:r w:rsidR="00DE4D49">
        <w:rPr>
          <w:rFonts w:ascii="Times New Roman" w:hAnsi="Times New Roman"/>
          <w:iCs/>
          <w:sz w:val="24"/>
          <w:szCs w:val="24"/>
        </w:rPr>
        <w:t xml:space="preserve"> (</w:t>
      </w:r>
      <w:r w:rsidR="00DE4D49" w:rsidRPr="00DE4D49">
        <w:rPr>
          <w:rFonts w:ascii="Times New Roman" w:hAnsi="Times New Roman"/>
          <w:iCs/>
          <w:sz w:val="24"/>
          <w:szCs w:val="24"/>
        </w:rPr>
        <w:t>Konstitucinio Teismo 2014 m. sausio 16 d. sprendimas</w:t>
      </w:r>
      <w:r w:rsidR="00DE4D49">
        <w:rPr>
          <w:rFonts w:ascii="Times New Roman" w:hAnsi="Times New Roman"/>
          <w:iCs/>
          <w:sz w:val="24"/>
          <w:szCs w:val="24"/>
        </w:rPr>
        <w:t>)</w:t>
      </w:r>
      <w:r w:rsidRPr="0023430A">
        <w:rPr>
          <w:rFonts w:ascii="Times New Roman" w:hAnsi="Times New Roman"/>
          <w:iCs/>
          <w:sz w:val="24"/>
          <w:szCs w:val="24"/>
        </w:rPr>
        <w:t>.</w:t>
      </w:r>
    </w:p>
    <w:p w:rsidR="0023430A" w:rsidRPr="0023430A" w:rsidRDefault="0023430A" w:rsidP="0023430A">
      <w:pPr>
        <w:spacing w:line="360" w:lineRule="auto"/>
        <w:ind w:firstLine="851"/>
        <w:jc w:val="both"/>
        <w:rPr>
          <w:rFonts w:ascii="Times New Roman" w:hAnsi="Times New Roman"/>
          <w:iCs/>
          <w:sz w:val="24"/>
          <w:szCs w:val="24"/>
        </w:rPr>
      </w:pPr>
      <w:r w:rsidRPr="0023430A">
        <w:rPr>
          <w:rFonts w:ascii="Times New Roman" w:hAnsi="Times New Roman"/>
          <w:iCs/>
          <w:sz w:val="24"/>
          <w:szCs w:val="24"/>
        </w:rPr>
        <w:t>Šiam</w:t>
      </w:r>
      <w:r w:rsidR="00802700">
        <w:rPr>
          <w:rFonts w:ascii="Times New Roman" w:hAnsi="Times New Roman"/>
          <w:iCs/>
          <w:sz w:val="24"/>
          <w:szCs w:val="24"/>
        </w:rPr>
        <w:t>e</w:t>
      </w:r>
      <w:r w:rsidRPr="0023430A">
        <w:rPr>
          <w:rFonts w:ascii="Times New Roman" w:hAnsi="Times New Roman"/>
          <w:iCs/>
          <w:sz w:val="24"/>
          <w:szCs w:val="24"/>
        </w:rPr>
        <w:t xml:space="preserve"> kontekste atkreip</w:t>
      </w:r>
      <w:r w:rsidR="00963EF8">
        <w:rPr>
          <w:rFonts w:ascii="Times New Roman" w:hAnsi="Times New Roman"/>
          <w:iCs/>
          <w:sz w:val="24"/>
          <w:szCs w:val="24"/>
        </w:rPr>
        <w:t>tinas</w:t>
      </w:r>
      <w:r w:rsidRPr="0023430A">
        <w:rPr>
          <w:rFonts w:ascii="Times New Roman" w:hAnsi="Times New Roman"/>
          <w:iCs/>
          <w:sz w:val="24"/>
          <w:szCs w:val="24"/>
        </w:rPr>
        <w:t xml:space="preserve"> dėmes</w:t>
      </w:r>
      <w:r w:rsidR="00802700">
        <w:rPr>
          <w:rFonts w:ascii="Times New Roman" w:hAnsi="Times New Roman"/>
          <w:iCs/>
          <w:sz w:val="24"/>
          <w:szCs w:val="24"/>
        </w:rPr>
        <w:t>ys į tai</w:t>
      </w:r>
      <w:r w:rsidRPr="0023430A">
        <w:rPr>
          <w:rFonts w:ascii="Times New Roman" w:hAnsi="Times New Roman"/>
          <w:iCs/>
          <w:sz w:val="24"/>
          <w:szCs w:val="24"/>
        </w:rPr>
        <w:t xml:space="preserve">, kad Konstitucinio Teismo </w:t>
      </w:r>
      <w:r w:rsidR="00DE4D49" w:rsidRPr="0023430A">
        <w:rPr>
          <w:rFonts w:ascii="Times New Roman" w:hAnsi="Times New Roman"/>
          <w:iCs/>
          <w:sz w:val="24"/>
          <w:szCs w:val="24"/>
        </w:rPr>
        <w:t xml:space="preserve">2011 m. balandžio 7 d. </w:t>
      </w:r>
      <w:r w:rsidRPr="0023430A">
        <w:rPr>
          <w:rFonts w:ascii="Times New Roman" w:hAnsi="Times New Roman"/>
          <w:iCs/>
          <w:sz w:val="24"/>
          <w:szCs w:val="24"/>
        </w:rPr>
        <w:t xml:space="preserve">nutarime, nepaneigiant asmens teisės kreiptis į teismą, taip pat nurodoma ir tai, kad prokuroro nepriklausomumas organizuojant ikiteisminį tyrimą ir jam vadovaujant, palaikant valstybinį kaltinimą baudžiamosiose bylose </w:t>
      </w:r>
      <w:r w:rsidRPr="00DA0808">
        <w:rPr>
          <w:rFonts w:ascii="Times New Roman" w:hAnsi="Times New Roman"/>
          <w:sz w:val="24"/>
          <w:szCs w:val="24"/>
        </w:rPr>
        <w:t>yra konstitucinė vertybė</w:t>
      </w:r>
      <w:r w:rsidRPr="0023430A">
        <w:rPr>
          <w:rFonts w:ascii="Times New Roman" w:hAnsi="Times New Roman"/>
          <w:iCs/>
          <w:sz w:val="24"/>
          <w:szCs w:val="24"/>
        </w:rPr>
        <w:t xml:space="preserve">; pagal Konstituciją negalima nustatyti tokio teisinio reguliavimo, kuriuo </w:t>
      </w:r>
      <w:r w:rsidRPr="00DA0808">
        <w:rPr>
          <w:rFonts w:ascii="Times New Roman" w:hAnsi="Times New Roman"/>
          <w:sz w:val="24"/>
          <w:szCs w:val="24"/>
        </w:rPr>
        <w:t>ši konstitucinė vertybė būtų paneigiama arba būtų kitaip suvaržomas prokuroro nepriklausomumas organizuojant ikiteisminį tyrimą ir jam vadovaujant</w:t>
      </w:r>
      <w:r w:rsidRPr="00DA0808">
        <w:rPr>
          <w:rFonts w:ascii="Times New Roman" w:hAnsi="Times New Roman"/>
          <w:iCs/>
          <w:sz w:val="24"/>
          <w:szCs w:val="24"/>
        </w:rPr>
        <w:t>,</w:t>
      </w:r>
      <w:r w:rsidRPr="0023430A">
        <w:rPr>
          <w:rFonts w:ascii="Times New Roman" w:hAnsi="Times New Roman"/>
          <w:iCs/>
          <w:sz w:val="24"/>
          <w:szCs w:val="24"/>
        </w:rPr>
        <w:t xml:space="preserve"> palaikant valstybinį kaltinimą baudžiamosiose bylose. Teisingumo ministerijos </w:t>
      </w:r>
      <w:r w:rsidR="003878AD">
        <w:rPr>
          <w:rFonts w:ascii="Times New Roman" w:hAnsi="Times New Roman"/>
          <w:iCs/>
          <w:sz w:val="24"/>
          <w:szCs w:val="24"/>
        </w:rPr>
        <w:t xml:space="preserve">ir Generalinės prokuratūros </w:t>
      </w:r>
      <w:r w:rsidRPr="0023430A">
        <w:rPr>
          <w:rFonts w:ascii="Times New Roman" w:hAnsi="Times New Roman"/>
          <w:iCs/>
          <w:sz w:val="24"/>
          <w:szCs w:val="24"/>
        </w:rPr>
        <w:t xml:space="preserve">vertinimu, pateiktais </w:t>
      </w:r>
      <w:proofErr w:type="spellStart"/>
      <w:r w:rsidRPr="0023430A">
        <w:rPr>
          <w:rFonts w:ascii="Times New Roman" w:hAnsi="Times New Roman"/>
          <w:iCs/>
          <w:sz w:val="24"/>
          <w:szCs w:val="24"/>
        </w:rPr>
        <w:t>išaiškinimais</w:t>
      </w:r>
      <w:proofErr w:type="spellEnd"/>
      <w:r w:rsidRPr="0023430A">
        <w:rPr>
          <w:rFonts w:ascii="Times New Roman" w:hAnsi="Times New Roman"/>
          <w:iCs/>
          <w:sz w:val="24"/>
          <w:szCs w:val="24"/>
        </w:rPr>
        <w:t xml:space="preserve"> Konstitucinis Teismas atkreip</w:t>
      </w:r>
      <w:r w:rsidR="00C907D7">
        <w:rPr>
          <w:rFonts w:ascii="Times New Roman" w:hAnsi="Times New Roman"/>
          <w:iCs/>
          <w:sz w:val="24"/>
          <w:szCs w:val="24"/>
        </w:rPr>
        <w:t>ia</w:t>
      </w:r>
      <w:r w:rsidRPr="0023430A">
        <w:rPr>
          <w:rFonts w:ascii="Times New Roman" w:hAnsi="Times New Roman"/>
          <w:iCs/>
          <w:sz w:val="24"/>
          <w:szCs w:val="24"/>
        </w:rPr>
        <w:t xml:space="preserve"> dėmesį į tai, kad įstatymų leidėj</w:t>
      </w:r>
      <w:r w:rsidR="003878AD">
        <w:rPr>
          <w:rFonts w:ascii="Times New Roman" w:hAnsi="Times New Roman"/>
          <w:iCs/>
          <w:sz w:val="24"/>
          <w:szCs w:val="24"/>
        </w:rPr>
        <w:t>ui</w:t>
      </w:r>
      <w:r w:rsidRPr="0023430A">
        <w:rPr>
          <w:rFonts w:ascii="Times New Roman" w:hAnsi="Times New Roman"/>
          <w:iCs/>
          <w:sz w:val="24"/>
          <w:szCs w:val="24"/>
        </w:rPr>
        <w:t xml:space="preserve"> nustatant atitinkamą teisinį reguliavimą prival</w:t>
      </w:r>
      <w:r w:rsidR="003878AD">
        <w:rPr>
          <w:rFonts w:ascii="Times New Roman" w:hAnsi="Times New Roman"/>
          <w:iCs/>
          <w:sz w:val="24"/>
          <w:szCs w:val="24"/>
        </w:rPr>
        <w:t>u</w:t>
      </w:r>
      <w:r w:rsidRPr="0023430A">
        <w:rPr>
          <w:rFonts w:ascii="Times New Roman" w:hAnsi="Times New Roman"/>
          <w:iCs/>
          <w:sz w:val="24"/>
          <w:szCs w:val="24"/>
        </w:rPr>
        <w:t xml:space="preserve"> nepaneigti pamatinės asmens konstitucinės teisės kreiptis į teismą, be kita ko, kartu nepažeisti prokuroro konstitucinės prerogatyvos organizuoti ikiteisminį tyrimą ir jam vadovauti – šios svarbios konstitucinės nuostatos </w:t>
      </w:r>
      <w:r w:rsidRPr="006A0963">
        <w:rPr>
          <w:rFonts w:ascii="Times New Roman" w:hAnsi="Times New Roman"/>
          <w:sz w:val="24"/>
          <w:szCs w:val="24"/>
        </w:rPr>
        <w:t>turi derėti tarpusavyje</w:t>
      </w:r>
      <w:r w:rsidRPr="0023430A">
        <w:rPr>
          <w:rFonts w:ascii="Times New Roman" w:hAnsi="Times New Roman"/>
          <w:iCs/>
          <w:sz w:val="24"/>
          <w:szCs w:val="24"/>
        </w:rPr>
        <w:t xml:space="preserve"> reglamentuojant, be kita ko, ir ikiteisminio tyrimo pareigūnų </w:t>
      </w:r>
      <w:r w:rsidR="00D02573">
        <w:rPr>
          <w:rFonts w:ascii="Times New Roman" w:hAnsi="Times New Roman"/>
          <w:iCs/>
          <w:sz w:val="24"/>
          <w:szCs w:val="24"/>
        </w:rPr>
        <w:t>ir</w:t>
      </w:r>
      <w:r w:rsidRPr="0023430A">
        <w:rPr>
          <w:rFonts w:ascii="Times New Roman" w:hAnsi="Times New Roman"/>
          <w:iCs/>
          <w:sz w:val="24"/>
          <w:szCs w:val="24"/>
        </w:rPr>
        <w:t xml:space="preserve"> prokurorų priimtų procesinių sprendimų apskundimo tvarką. </w:t>
      </w:r>
    </w:p>
    <w:p w:rsidR="0023430A" w:rsidRDefault="0023430A" w:rsidP="0023430A">
      <w:pPr>
        <w:spacing w:line="360" w:lineRule="auto"/>
        <w:ind w:firstLine="851"/>
        <w:jc w:val="both"/>
        <w:rPr>
          <w:rFonts w:ascii="Times New Roman" w:hAnsi="Times New Roman"/>
          <w:iCs/>
          <w:sz w:val="24"/>
          <w:szCs w:val="24"/>
        </w:rPr>
      </w:pPr>
      <w:r w:rsidRPr="0023430A">
        <w:rPr>
          <w:rFonts w:ascii="Times New Roman" w:hAnsi="Times New Roman"/>
          <w:iCs/>
          <w:sz w:val="24"/>
          <w:szCs w:val="24"/>
        </w:rPr>
        <w:t xml:space="preserve">Šiame kontekste pažymėtina, kad Konstitucinio Teismo </w:t>
      </w:r>
      <w:r w:rsidR="005A5276" w:rsidRPr="0023430A">
        <w:rPr>
          <w:rFonts w:ascii="Times New Roman" w:hAnsi="Times New Roman"/>
          <w:iCs/>
          <w:sz w:val="24"/>
          <w:szCs w:val="24"/>
        </w:rPr>
        <w:t xml:space="preserve">2011 m. balandžio 7 d. </w:t>
      </w:r>
      <w:r w:rsidRPr="0023430A">
        <w:rPr>
          <w:rFonts w:ascii="Times New Roman" w:hAnsi="Times New Roman"/>
          <w:iCs/>
          <w:sz w:val="24"/>
          <w:szCs w:val="24"/>
        </w:rPr>
        <w:t xml:space="preserve">nutarime išaiškinta ir tai, </w:t>
      </w:r>
      <w:r w:rsidR="00C01990">
        <w:rPr>
          <w:rFonts w:ascii="Times New Roman" w:hAnsi="Times New Roman"/>
          <w:iCs/>
          <w:sz w:val="24"/>
          <w:szCs w:val="24"/>
        </w:rPr>
        <w:t>kad</w:t>
      </w:r>
      <w:r w:rsidRPr="0023430A">
        <w:rPr>
          <w:rFonts w:ascii="Times New Roman" w:hAnsi="Times New Roman"/>
          <w:iCs/>
          <w:sz w:val="24"/>
          <w:szCs w:val="24"/>
        </w:rPr>
        <w:t xml:space="preserve"> baudžiamojo proceso teisinis reguliavimas turi būti pagrįstas konstituciniais teisėtumo, lygybės įstatymui ir teismui, nekaltumo prezumpcijos, viešo ir teisingo bylos nagrinėjimo, teismo ir teisėjo nešališkumo ir nepriklausomumo, </w:t>
      </w:r>
      <w:r w:rsidRPr="000317D4">
        <w:rPr>
          <w:rFonts w:ascii="Times New Roman" w:hAnsi="Times New Roman"/>
          <w:sz w:val="24"/>
          <w:szCs w:val="24"/>
        </w:rPr>
        <w:t>teismo ir kitų valstybės institucijų (pareigūnų), dalyvaujančių baudžiamajame procese, funkcijų atskyrimo</w:t>
      </w:r>
      <w:r w:rsidRPr="000317D4">
        <w:rPr>
          <w:rFonts w:ascii="Times New Roman" w:hAnsi="Times New Roman"/>
          <w:iCs/>
          <w:sz w:val="24"/>
          <w:szCs w:val="24"/>
        </w:rPr>
        <w:t xml:space="preserve">, </w:t>
      </w:r>
      <w:r w:rsidRPr="0023430A">
        <w:rPr>
          <w:rFonts w:ascii="Times New Roman" w:hAnsi="Times New Roman"/>
          <w:iCs/>
          <w:sz w:val="24"/>
          <w:szCs w:val="24"/>
        </w:rPr>
        <w:t xml:space="preserve">teisės į gynybą garantavimo ir kitais principais. Teismo konstitucinė funkcija – teisingumo vykdymas yra iš esmės kitokia nei vadovavimas ikiteisminiam bylos tyrimui, šio tyrimo kontrolė, valstybinio kaltinimo palaikymas ir t. t. Pagal Konstituciją, </w:t>
      </w:r>
      <w:proofErr w:type="spellStart"/>
      <w:r w:rsidRPr="0023430A">
        <w:rPr>
          <w:rFonts w:ascii="Times New Roman" w:hAnsi="Times New Roman"/>
          <w:i/>
          <w:sz w:val="24"/>
          <w:szCs w:val="24"/>
        </w:rPr>
        <w:t>inter</w:t>
      </w:r>
      <w:proofErr w:type="spellEnd"/>
      <w:r w:rsidRPr="0023430A">
        <w:rPr>
          <w:rFonts w:ascii="Times New Roman" w:hAnsi="Times New Roman"/>
          <w:i/>
          <w:sz w:val="24"/>
          <w:szCs w:val="24"/>
        </w:rPr>
        <w:t xml:space="preserve"> alia</w:t>
      </w:r>
      <w:r w:rsidRPr="0023430A">
        <w:rPr>
          <w:rFonts w:ascii="Times New Roman" w:hAnsi="Times New Roman"/>
          <w:iCs/>
          <w:sz w:val="24"/>
          <w:szCs w:val="24"/>
        </w:rPr>
        <w:t xml:space="preserve"> jos 109 straipsnio 1 dalį, 118 straipsnio 1 dalį, įstatymų leidėjas, reguliuodamas baudžiamąjį procesą, negali nustatyti tokio teisinio reguliavimo, pagal kurį </w:t>
      </w:r>
      <w:r w:rsidRPr="000317D4">
        <w:rPr>
          <w:rFonts w:ascii="Times New Roman" w:hAnsi="Times New Roman"/>
          <w:sz w:val="24"/>
          <w:szCs w:val="24"/>
        </w:rPr>
        <w:t>teismas galėtų organizuoti ikiteisminį tyrimą ir jam vadovauti</w:t>
      </w:r>
      <w:r w:rsidRPr="000317D4">
        <w:rPr>
          <w:rFonts w:ascii="Times New Roman" w:hAnsi="Times New Roman"/>
          <w:iCs/>
          <w:sz w:val="24"/>
          <w:szCs w:val="24"/>
        </w:rPr>
        <w:t>.</w:t>
      </w:r>
    </w:p>
    <w:p w:rsidR="0023430A" w:rsidRPr="008D5260" w:rsidRDefault="0023430A" w:rsidP="0023430A">
      <w:pPr>
        <w:spacing w:line="360" w:lineRule="auto"/>
        <w:ind w:firstLine="851"/>
        <w:jc w:val="both"/>
        <w:rPr>
          <w:rFonts w:ascii="Times New Roman" w:hAnsi="Times New Roman"/>
          <w:iCs/>
          <w:sz w:val="24"/>
          <w:szCs w:val="24"/>
        </w:rPr>
      </w:pPr>
      <w:r w:rsidRPr="0023430A">
        <w:rPr>
          <w:rFonts w:ascii="Times New Roman" w:hAnsi="Times New Roman"/>
          <w:iCs/>
          <w:sz w:val="24"/>
          <w:szCs w:val="24"/>
        </w:rPr>
        <w:t>Atsižvelgdamas, be kita ko, į anksčiau nurodytus motyvus, Konstitucinis Teismas</w:t>
      </w:r>
      <w:r w:rsidR="004D01F2">
        <w:rPr>
          <w:rFonts w:ascii="Times New Roman" w:hAnsi="Times New Roman"/>
          <w:iCs/>
          <w:sz w:val="24"/>
          <w:szCs w:val="24"/>
        </w:rPr>
        <w:t>,</w:t>
      </w:r>
      <w:r w:rsidRPr="0023430A">
        <w:rPr>
          <w:rFonts w:ascii="Times New Roman" w:hAnsi="Times New Roman"/>
          <w:iCs/>
          <w:sz w:val="24"/>
          <w:szCs w:val="24"/>
        </w:rPr>
        <w:t xml:space="preserve"> nagrinėdamas analizuojamoje konstitucinės justicijos byloje iškeltus klausimus</w:t>
      </w:r>
      <w:r w:rsidR="004D01F2">
        <w:rPr>
          <w:rFonts w:ascii="Times New Roman" w:hAnsi="Times New Roman"/>
          <w:iCs/>
          <w:sz w:val="24"/>
          <w:szCs w:val="24"/>
        </w:rPr>
        <w:t>,</w:t>
      </w:r>
      <w:r w:rsidRPr="0023430A">
        <w:rPr>
          <w:rFonts w:ascii="Times New Roman" w:hAnsi="Times New Roman"/>
          <w:iCs/>
          <w:sz w:val="24"/>
          <w:szCs w:val="24"/>
        </w:rPr>
        <w:t xml:space="preserve"> atkreipė dėmesį ir į tai, kad pagal pareiškėjo prašymą tiriant, ar </w:t>
      </w:r>
      <w:r w:rsidR="00415A86" w:rsidRPr="00415A86">
        <w:rPr>
          <w:rFonts w:ascii="Times New Roman" w:hAnsi="Times New Roman"/>
          <w:iCs/>
          <w:sz w:val="24"/>
          <w:szCs w:val="24"/>
        </w:rPr>
        <w:t>Baudžiamojo proceso kodekso</w:t>
      </w:r>
      <w:r w:rsidRPr="0023430A">
        <w:rPr>
          <w:rFonts w:ascii="Times New Roman" w:hAnsi="Times New Roman"/>
          <w:iCs/>
          <w:sz w:val="24"/>
          <w:szCs w:val="24"/>
        </w:rPr>
        <w:t xml:space="preserve"> 168 straipsnio 4 dalis (2007 m. birželio 28 d. redakcija), ginčijama šioje konstitucinės justicijos byloje, nurodyta apimtimi neprieštarauja Konstitucijai, </w:t>
      </w:r>
      <w:r w:rsidRPr="00556592">
        <w:rPr>
          <w:rFonts w:ascii="Times New Roman" w:hAnsi="Times New Roman"/>
          <w:sz w:val="24"/>
          <w:szCs w:val="24"/>
        </w:rPr>
        <w:t>pirmiausia būtina išsiaiškinti teisinį reguliavimą, kuriuo yra nustatyta ikiteisminio tyrimo teisėjo kompetencija priimti sprendimą dėl prokuroro nutarimo atsisakyti pradėti ikiteisminį tyrimą ar prokuroro sprendimo nepanaikinti ikiteisminio tyrimo pareigūno nutarimo atsisakyti pradėti ikiteisminį tyrimą</w:t>
      </w:r>
      <w:r w:rsidRPr="00556592">
        <w:rPr>
          <w:rFonts w:ascii="Times New Roman" w:hAnsi="Times New Roman"/>
          <w:iCs/>
          <w:sz w:val="24"/>
          <w:szCs w:val="24"/>
        </w:rPr>
        <w:t>.</w:t>
      </w:r>
      <w:r w:rsidRPr="0023430A">
        <w:rPr>
          <w:rFonts w:ascii="Times New Roman" w:hAnsi="Times New Roman"/>
          <w:iCs/>
          <w:sz w:val="24"/>
          <w:szCs w:val="24"/>
        </w:rPr>
        <w:t xml:space="preserve"> Kitaip tariant, atsakant į klausimą, ar </w:t>
      </w:r>
      <w:r w:rsidR="00415A86" w:rsidRPr="00415A86">
        <w:rPr>
          <w:rFonts w:ascii="Times New Roman" w:hAnsi="Times New Roman"/>
          <w:iCs/>
          <w:sz w:val="24"/>
          <w:szCs w:val="24"/>
        </w:rPr>
        <w:t>Baudžiamojo proceso kodekso</w:t>
      </w:r>
      <w:r w:rsidRPr="0023430A">
        <w:rPr>
          <w:rFonts w:ascii="Times New Roman" w:hAnsi="Times New Roman"/>
          <w:iCs/>
          <w:sz w:val="24"/>
          <w:szCs w:val="24"/>
        </w:rPr>
        <w:t xml:space="preserve"> 168 straipsnio 4 dalies (2007 m. birželio 28 d. redakcija) nuostatos neprieštarauja Konstitucijai, tikslinga įvertinti ir kitas su ginčijamu teisiniu reguliavimu susijusias </w:t>
      </w:r>
      <w:r w:rsidR="000473A6" w:rsidRPr="000473A6">
        <w:rPr>
          <w:rFonts w:ascii="Times New Roman" w:hAnsi="Times New Roman"/>
          <w:iCs/>
          <w:sz w:val="24"/>
          <w:szCs w:val="24"/>
        </w:rPr>
        <w:t>Baudžiamojo proceso kodekso</w:t>
      </w:r>
      <w:r w:rsidRPr="0023430A">
        <w:rPr>
          <w:rFonts w:ascii="Times New Roman" w:hAnsi="Times New Roman"/>
          <w:iCs/>
          <w:sz w:val="24"/>
          <w:szCs w:val="24"/>
        </w:rPr>
        <w:t xml:space="preserve"> nuostatas, t. y. vertinti teisės normų visumą, reglamentuojančią ikiteisminio tyrimo pareigūnų ir (ar) prokurorų priimtų nutarimų at</w:t>
      </w:r>
      <w:r w:rsidR="003E4EC7">
        <w:rPr>
          <w:rFonts w:ascii="Times New Roman" w:hAnsi="Times New Roman"/>
          <w:iCs/>
          <w:sz w:val="24"/>
          <w:szCs w:val="24"/>
        </w:rPr>
        <w:t>sis</w:t>
      </w:r>
      <w:r w:rsidRPr="0023430A">
        <w:rPr>
          <w:rFonts w:ascii="Times New Roman" w:hAnsi="Times New Roman"/>
          <w:iCs/>
          <w:sz w:val="24"/>
          <w:szCs w:val="24"/>
        </w:rPr>
        <w:t xml:space="preserve">akyti pradėti ikiteisminį tyrimą apskundimo tvarką. Šiame kontekste svarbu pastebėti, kad Konstitucinio Teismo </w:t>
      </w:r>
      <w:r w:rsidR="00714A6D" w:rsidRPr="0023430A">
        <w:rPr>
          <w:rFonts w:ascii="Times New Roman" w:hAnsi="Times New Roman"/>
          <w:iCs/>
          <w:sz w:val="24"/>
          <w:szCs w:val="24"/>
        </w:rPr>
        <w:t xml:space="preserve">2011 m. balandžio 7 d. </w:t>
      </w:r>
      <w:r w:rsidRPr="0023430A">
        <w:rPr>
          <w:rFonts w:ascii="Times New Roman" w:hAnsi="Times New Roman"/>
          <w:iCs/>
          <w:sz w:val="24"/>
          <w:szCs w:val="24"/>
        </w:rPr>
        <w:t xml:space="preserve">nutarime išaiškinta ir tai, </w:t>
      </w:r>
      <w:r w:rsidR="00C01990">
        <w:rPr>
          <w:rFonts w:ascii="Times New Roman" w:hAnsi="Times New Roman"/>
          <w:iCs/>
          <w:sz w:val="24"/>
          <w:szCs w:val="24"/>
        </w:rPr>
        <w:t>kad</w:t>
      </w:r>
      <w:r w:rsidRPr="0023430A">
        <w:rPr>
          <w:rFonts w:ascii="Times New Roman" w:hAnsi="Times New Roman"/>
          <w:iCs/>
          <w:sz w:val="24"/>
          <w:szCs w:val="24"/>
        </w:rPr>
        <w:t xml:space="preserve"> vienas iš svarbių teisinio reguliavimo mechanizmų nagrinėjamoje konstitucinės justicijos byloje iškeltiems klausimams išspręsti yra nustatytas </w:t>
      </w:r>
      <w:r w:rsidR="00415A86" w:rsidRPr="00415A86">
        <w:rPr>
          <w:rFonts w:ascii="Times New Roman" w:hAnsi="Times New Roman"/>
          <w:iCs/>
          <w:sz w:val="24"/>
          <w:szCs w:val="24"/>
        </w:rPr>
        <w:t>Baudžiamojo proceso kodekso</w:t>
      </w:r>
      <w:r w:rsidRPr="0023430A">
        <w:rPr>
          <w:rFonts w:ascii="Times New Roman" w:hAnsi="Times New Roman"/>
          <w:iCs/>
          <w:sz w:val="24"/>
          <w:szCs w:val="24"/>
        </w:rPr>
        <w:t xml:space="preserve"> 64 straipsnio „Skundų dėl ikiteisminio tyrimo pareigūno ar prokuroro proceso veiksmų ir nutarimų išsprendimas“ 2 dalyje (2002 m. kovo 14 d., 2010 m. rugsėjo 21 d. redakcijos), kurioje </w:t>
      </w:r>
      <w:proofErr w:type="spellStart"/>
      <w:r w:rsidRPr="0023430A">
        <w:rPr>
          <w:rFonts w:ascii="Times New Roman" w:hAnsi="Times New Roman"/>
          <w:i/>
          <w:sz w:val="24"/>
          <w:szCs w:val="24"/>
        </w:rPr>
        <w:t>inter</w:t>
      </w:r>
      <w:proofErr w:type="spellEnd"/>
      <w:r w:rsidRPr="0023430A">
        <w:rPr>
          <w:rFonts w:ascii="Times New Roman" w:hAnsi="Times New Roman"/>
          <w:i/>
          <w:sz w:val="24"/>
          <w:szCs w:val="24"/>
        </w:rPr>
        <w:t xml:space="preserve"> alia</w:t>
      </w:r>
      <w:r w:rsidRPr="0023430A">
        <w:rPr>
          <w:rFonts w:ascii="Times New Roman" w:hAnsi="Times New Roman"/>
          <w:iCs/>
          <w:sz w:val="24"/>
          <w:szCs w:val="24"/>
        </w:rPr>
        <w:t xml:space="preserve"> nustatyta, kad: „&lt;...&gt; ikiteisminio tyrimo teisėjas &lt;...&gt; privalo skundą išnagrinėti ir priimti &lt;...&gt; nutartį. </w:t>
      </w:r>
      <w:r w:rsidRPr="008D5260">
        <w:rPr>
          <w:rFonts w:ascii="Times New Roman" w:hAnsi="Times New Roman"/>
          <w:sz w:val="24"/>
          <w:szCs w:val="24"/>
        </w:rPr>
        <w:t>Jei skundas patenkinamas, &lt;...&gt; nutartyje nurodomi &lt;...&gt;</w:t>
      </w:r>
      <w:r w:rsidRPr="008D5260">
        <w:rPr>
          <w:rFonts w:ascii="Times New Roman" w:hAnsi="Times New Roman"/>
          <w:bCs/>
          <w:sz w:val="24"/>
          <w:szCs w:val="24"/>
        </w:rPr>
        <w:t xml:space="preserve"> prokuroro padaryti pažeidimai ir pasiūloma juos pašalinti</w:t>
      </w:r>
      <w:r w:rsidRPr="008D5260">
        <w:rPr>
          <w:rFonts w:ascii="Times New Roman" w:hAnsi="Times New Roman"/>
          <w:iCs/>
          <w:sz w:val="24"/>
          <w:szCs w:val="24"/>
        </w:rPr>
        <w:t xml:space="preserve">, jei skundas atmetamas, – motyvai, dėl kurių skundas pripažintas nepagrįstu ir atmestas“. Taigi aiškinant </w:t>
      </w:r>
      <w:r w:rsidR="00415A86" w:rsidRPr="008D5260">
        <w:rPr>
          <w:rFonts w:ascii="Times New Roman" w:hAnsi="Times New Roman"/>
          <w:iCs/>
          <w:sz w:val="24"/>
          <w:szCs w:val="24"/>
        </w:rPr>
        <w:t>Baudžiamojo proceso kodekso</w:t>
      </w:r>
      <w:r w:rsidRPr="008D5260">
        <w:rPr>
          <w:rFonts w:ascii="Times New Roman" w:hAnsi="Times New Roman"/>
          <w:iCs/>
          <w:sz w:val="24"/>
          <w:szCs w:val="24"/>
        </w:rPr>
        <w:t xml:space="preserve"> 168 straipsnio 4 dalyje (2007 m. birželio 28 d. redakcija) nustatytą teisinį reguliavimą, ginčijamą šioje konstitucinės justicijos byloje, </w:t>
      </w:r>
      <w:r w:rsidRPr="008D5260">
        <w:rPr>
          <w:rFonts w:ascii="Times New Roman" w:hAnsi="Times New Roman"/>
          <w:bCs/>
          <w:sz w:val="24"/>
          <w:szCs w:val="24"/>
        </w:rPr>
        <w:t>kartu su minėtu teisiniu reguliavimu, nustatytu šio kodekso 64 straipsnio 2 dalyje</w:t>
      </w:r>
      <w:r w:rsidR="007C1BF0">
        <w:rPr>
          <w:rFonts w:ascii="Times New Roman" w:hAnsi="Times New Roman"/>
          <w:bCs/>
          <w:sz w:val="24"/>
          <w:szCs w:val="24"/>
        </w:rPr>
        <w:t xml:space="preserve"> </w:t>
      </w:r>
      <w:r w:rsidR="007C1BF0" w:rsidRPr="007C1BF0">
        <w:rPr>
          <w:rFonts w:ascii="Times New Roman" w:hAnsi="Times New Roman"/>
          <w:bCs/>
          <w:sz w:val="24"/>
          <w:szCs w:val="24"/>
        </w:rPr>
        <w:t>(2002 m. kovo 14 d., 2010 m. rugs</w:t>
      </w:r>
      <w:r w:rsidR="007C1BF0" w:rsidRPr="007C1BF0">
        <w:rPr>
          <w:rFonts w:ascii="Times New Roman" w:hAnsi="Times New Roman" w:hint="eastAsia"/>
          <w:bCs/>
          <w:sz w:val="24"/>
          <w:szCs w:val="24"/>
        </w:rPr>
        <w:t>ė</w:t>
      </w:r>
      <w:r w:rsidR="007C1BF0" w:rsidRPr="007C1BF0">
        <w:rPr>
          <w:rFonts w:ascii="Times New Roman" w:hAnsi="Times New Roman"/>
          <w:bCs/>
          <w:sz w:val="24"/>
          <w:szCs w:val="24"/>
        </w:rPr>
        <w:t>jo 21 d. redakcijos)</w:t>
      </w:r>
      <w:r w:rsidRPr="008D5260">
        <w:rPr>
          <w:rFonts w:ascii="Times New Roman" w:hAnsi="Times New Roman"/>
          <w:iCs/>
          <w:sz w:val="24"/>
          <w:szCs w:val="24"/>
        </w:rPr>
        <w:t>, 168 straipsnio 1 dalyje</w:t>
      </w:r>
      <w:r w:rsidR="007C1BF0">
        <w:rPr>
          <w:rFonts w:ascii="Times New Roman" w:hAnsi="Times New Roman"/>
          <w:iCs/>
          <w:sz w:val="24"/>
          <w:szCs w:val="24"/>
        </w:rPr>
        <w:t xml:space="preserve"> </w:t>
      </w:r>
      <w:r w:rsidR="007C1BF0" w:rsidRPr="007C1BF0">
        <w:rPr>
          <w:rFonts w:ascii="Times New Roman" w:hAnsi="Times New Roman"/>
          <w:iCs/>
          <w:sz w:val="24"/>
          <w:szCs w:val="24"/>
        </w:rPr>
        <w:t>(2007 m. birželio 28 d., 2010 m. rugs</w:t>
      </w:r>
      <w:r w:rsidR="007C1BF0" w:rsidRPr="007C1BF0">
        <w:rPr>
          <w:rFonts w:ascii="Times New Roman" w:hAnsi="Times New Roman" w:hint="eastAsia"/>
          <w:iCs/>
          <w:sz w:val="24"/>
          <w:szCs w:val="24"/>
        </w:rPr>
        <w:t>ė</w:t>
      </w:r>
      <w:r w:rsidR="007C1BF0" w:rsidRPr="007C1BF0">
        <w:rPr>
          <w:rFonts w:ascii="Times New Roman" w:hAnsi="Times New Roman"/>
          <w:iCs/>
          <w:sz w:val="24"/>
          <w:szCs w:val="24"/>
        </w:rPr>
        <w:t>jo 21 d. redakcijos)</w:t>
      </w:r>
      <w:r w:rsidRPr="008D5260">
        <w:rPr>
          <w:rFonts w:ascii="Times New Roman" w:hAnsi="Times New Roman"/>
          <w:iCs/>
          <w:sz w:val="24"/>
          <w:szCs w:val="24"/>
        </w:rPr>
        <w:t>, 3 dalyje</w:t>
      </w:r>
      <w:r w:rsidR="007C1BF0">
        <w:rPr>
          <w:rFonts w:ascii="Times New Roman" w:hAnsi="Times New Roman"/>
          <w:iCs/>
          <w:sz w:val="24"/>
          <w:szCs w:val="24"/>
        </w:rPr>
        <w:t xml:space="preserve"> </w:t>
      </w:r>
      <w:r w:rsidR="007C1BF0" w:rsidRPr="007C1BF0">
        <w:rPr>
          <w:rFonts w:ascii="Times New Roman" w:hAnsi="Times New Roman"/>
          <w:iCs/>
          <w:sz w:val="24"/>
          <w:szCs w:val="24"/>
        </w:rPr>
        <w:t>(2002 m. kovo 14 d. redakcija)</w:t>
      </w:r>
      <w:r w:rsidRPr="008D5260">
        <w:rPr>
          <w:rFonts w:ascii="Times New Roman" w:hAnsi="Times New Roman"/>
          <w:iCs/>
          <w:sz w:val="24"/>
          <w:szCs w:val="24"/>
        </w:rPr>
        <w:t xml:space="preserve">, nagrinėjamos konstitucinės justicijos bylos kontekste pažymėtina, kad &lt;...&gt; </w:t>
      </w:r>
      <w:r w:rsidRPr="008D5260">
        <w:rPr>
          <w:rFonts w:ascii="Times New Roman" w:hAnsi="Times New Roman"/>
          <w:sz w:val="24"/>
          <w:szCs w:val="24"/>
        </w:rPr>
        <w:t>kai</w:t>
      </w:r>
      <w:r w:rsidRPr="008D5260">
        <w:rPr>
          <w:rFonts w:ascii="Times New Roman" w:hAnsi="Times New Roman"/>
          <w:iCs/>
          <w:sz w:val="24"/>
          <w:szCs w:val="24"/>
        </w:rPr>
        <w:t xml:space="preserve"> </w:t>
      </w:r>
      <w:r w:rsidRPr="008D5260">
        <w:rPr>
          <w:rFonts w:ascii="Times New Roman" w:hAnsi="Times New Roman"/>
          <w:sz w:val="24"/>
          <w:szCs w:val="24"/>
        </w:rPr>
        <w:t xml:space="preserve">ikiteisminio tyrimo teisėjas tokį skundą tenkina, </w:t>
      </w:r>
      <w:r w:rsidRPr="008D5260">
        <w:rPr>
          <w:rFonts w:ascii="Times New Roman" w:hAnsi="Times New Roman"/>
          <w:bCs/>
          <w:sz w:val="24"/>
          <w:szCs w:val="24"/>
        </w:rPr>
        <w:t>jis turi nurodyti ikiteisminio tyrimo pareigūno ar prokuroro padarytus pažeidimus ir pasiūlyti juos pašalinti</w:t>
      </w:r>
      <w:r w:rsidRPr="008D5260">
        <w:rPr>
          <w:rFonts w:ascii="Times New Roman" w:hAnsi="Times New Roman"/>
          <w:iCs/>
          <w:sz w:val="24"/>
          <w:szCs w:val="24"/>
        </w:rPr>
        <w:t xml:space="preserve">; </w:t>
      </w:r>
      <w:r w:rsidRPr="008D5260">
        <w:rPr>
          <w:rFonts w:ascii="Times New Roman" w:hAnsi="Times New Roman"/>
          <w:sz w:val="24"/>
          <w:szCs w:val="24"/>
        </w:rPr>
        <w:t xml:space="preserve">tokie ikiteisminio tyrimo teisėjo įgaliojimai </w:t>
      </w:r>
      <w:proofErr w:type="spellStart"/>
      <w:r w:rsidRPr="00E022DA">
        <w:rPr>
          <w:rFonts w:ascii="Times New Roman" w:hAnsi="Times New Roman"/>
          <w:i/>
          <w:sz w:val="24"/>
          <w:szCs w:val="24"/>
        </w:rPr>
        <w:t>inter</w:t>
      </w:r>
      <w:proofErr w:type="spellEnd"/>
      <w:r w:rsidRPr="00E022DA">
        <w:rPr>
          <w:rFonts w:ascii="Times New Roman" w:hAnsi="Times New Roman"/>
          <w:i/>
          <w:sz w:val="24"/>
          <w:szCs w:val="24"/>
        </w:rPr>
        <w:t xml:space="preserve"> alia</w:t>
      </w:r>
      <w:r w:rsidRPr="008D5260">
        <w:rPr>
          <w:rFonts w:ascii="Times New Roman" w:hAnsi="Times New Roman"/>
          <w:sz w:val="24"/>
          <w:szCs w:val="24"/>
        </w:rPr>
        <w:t xml:space="preserve"> reiškia jo teisę panaikinti prokuroro nutarimą, kuriuo buvo atsisakyta pradėti ikiteisminį tyrimą</w:t>
      </w:r>
      <w:r w:rsidRPr="008D5260">
        <w:rPr>
          <w:rFonts w:ascii="Times New Roman" w:hAnsi="Times New Roman"/>
          <w:iCs/>
          <w:sz w:val="24"/>
          <w:szCs w:val="24"/>
        </w:rPr>
        <w:t xml:space="preserve"> ar nuspręsta nepanaikinti ikiteisminio tyrimo pareigūno nutarimo atsisakyti pradėti ikiteisminį tyrimą. Savo ruožtu, iš pateiktų </w:t>
      </w:r>
      <w:r w:rsidR="00415A86" w:rsidRPr="008D5260">
        <w:rPr>
          <w:rFonts w:ascii="Times New Roman" w:hAnsi="Times New Roman"/>
          <w:iCs/>
          <w:sz w:val="24"/>
          <w:szCs w:val="24"/>
        </w:rPr>
        <w:t>Baudžiamojo proceso kodekso</w:t>
      </w:r>
      <w:r w:rsidRPr="008D5260">
        <w:rPr>
          <w:rFonts w:ascii="Times New Roman" w:hAnsi="Times New Roman"/>
          <w:iCs/>
          <w:sz w:val="24"/>
          <w:szCs w:val="24"/>
        </w:rPr>
        <w:t xml:space="preserve"> nuostatų ir pateiktų Konstitucinio Teismo išaiškinimų seka, kad ikiteisminio tyrimo teisėjas</w:t>
      </w:r>
      <w:r w:rsidR="000F57E4" w:rsidRPr="008D5260">
        <w:rPr>
          <w:rFonts w:ascii="Times New Roman" w:hAnsi="Times New Roman"/>
          <w:iCs/>
          <w:sz w:val="24"/>
          <w:szCs w:val="24"/>
        </w:rPr>
        <w:t>,</w:t>
      </w:r>
      <w:r w:rsidRPr="008D5260">
        <w:rPr>
          <w:rFonts w:ascii="Times New Roman" w:hAnsi="Times New Roman"/>
          <w:iCs/>
          <w:sz w:val="24"/>
          <w:szCs w:val="24"/>
        </w:rPr>
        <w:t xml:space="preserve"> nagrinėdamas skundą dėl ikiteisminio tyrimo pareigūno ir (ar) prokuroro nutarimo atsisakyti</w:t>
      </w:r>
      <w:r w:rsidR="00EC0B37">
        <w:rPr>
          <w:rFonts w:ascii="Times New Roman" w:hAnsi="Times New Roman"/>
          <w:iCs/>
          <w:sz w:val="24"/>
          <w:szCs w:val="24"/>
        </w:rPr>
        <w:t xml:space="preserve"> pradėti</w:t>
      </w:r>
      <w:r w:rsidRPr="008D5260">
        <w:rPr>
          <w:rFonts w:ascii="Times New Roman" w:hAnsi="Times New Roman"/>
          <w:iCs/>
          <w:sz w:val="24"/>
          <w:szCs w:val="24"/>
        </w:rPr>
        <w:t xml:space="preserve"> ikiteisminį tyrimą pagrįstumo ir teisėtumo, vykdydamas procesinė</w:t>
      </w:r>
      <w:r w:rsidR="000F57E4" w:rsidRPr="008D5260">
        <w:rPr>
          <w:rFonts w:ascii="Times New Roman" w:hAnsi="Times New Roman"/>
          <w:iCs/>
          <w:sz w:val="24"/>
          <w:szCs w:val="24"/>
        </w:rPr>
        <w:t>s</w:t>
      </w:r>
      <w:r w:rsidRPr="008D5260">
        <w:rPr>
          <w:rFonts w:ascii="Times New Roman" w:hAnsi="Times New Roman"/>
          <w:iCs/>
          <w:sz w:val="24"/>
          <w:szCs w:val="24"/>
        </w:rPr>
        <w:t xml:space="preserve"> kontrolės funkcijas ir nustatęs atitinkamus pažeidimus, </w:t>
      </w:r>
      <w:r w:rsidRPr="008D5260">
        <w:rPr>
          <w:rFonts w:ascii="Times New Roman" w:hAnsi="Times New Roman"/>
          <w:sz w:val="24"/>
          <w:szCs w:val="24"/>
        </w:rPr>
        <w:t>savarankiškai procesinio sprendimo pradėti ikiteisminį tyrimą nepriima</w:t>
      </w:r>
      <w:r w:rsidRPr="008D5260">
        <w:rPr>
          <w:rFonts w:ascii="Times New Roman" w:hAnsi="Times New Roman"/>
          <w:iCs/>
          <w:sz w:val="24"/>
          <w:szCs w:val="24"/>
        </w:rPr>
        <w:t xml:space="preserve">, o panaikinęs minėtų subjektų nutarimą atsisakyti pradėti ikiteisminį tyrimą, </w:t>
      </w:r>
      <w:r w:rsidRPr="008D5260">
        <w:rPr>
          <w:rFonts w:ascii="Times New Roman" w:hAnsi="Times New Roman"/>
          <w:sz w:val="24"/>
          <w:szCs w:val="24"/>
        </w:rPr>
        <w:t>pasiūlo ištaisyti padarytus pažeidimus</w:t>
      </w:r>
      <w:r w:rsidRPr="008D5260">
        <w:rPr>
          <w:rFonts w:ascii="Times New Roman" w:hAnsi="Times New Roman"/>
          <w:iCs/>
          <w:sz w:val="24"/>
          <w:szCs w:val="24"/>
        </w:rPr>
        <w:t xml:space="preserve">. Kitaip tariant, analizuojamas </w:t>
      </w:r>
      <w:r w:rsidR="00415A86" w:rsidRPr="008D5260">
        <w:rPr>
          <w:rFonts w:ascii="Times New Roman" w:hAnsi="Times New Roman"/>
          <w:iCs/>
          <w:sz w:val="24"/>
          <w:szCs w:val="24"/>
        </w:rPr>
        <w:t>Baudžiamojo proceso kodekso</w:t>
      </w:r>
      <w:r w:rsidRPr="008D5260">
        <w:rPr>
          <w:rFonts w:ascii="Times New Roman" w:hAnsi="Times New Roman"/>
          <w:iCs/>
          <w:sz w:val="24"/>
          <w:szCs w:val="24"/>
        </w:rPr>
        <w:t xml:space="preserve"> teisinio reguliavimo modelis, kuris nuo Konstitucinio Teismo 2011 m. balandžio 7 d. nutarimo priėmimo dienos iš esmės nepasikeitė, įgaliojimus pradėti ikiteisminį tyrimą deleguoja išimtinai prokuroro (be kita ko, ir ikiteisminio tyrimo pareigūno) kompetencijai, suteikiant ikiteisminio tyrimo teisėjui įgaliojimus nagrinėti skundus dėl minėtų procesinių sprendimų pagrįstumo ir nustačius atitinkamus pažeidimus juos panaikinti.</w:t>
      </w:r>
    </w:p>
    <w:p w:rsidR="0023430A" w:rsidRPr="00DD7604" w:rsidRDefault="0023430A" w:rsidP="0023430A">
      <w:pPr>
        <w:spacing w:line="360" w:lineRule="auto"/>
        <w:ind w:firstLine="851"/>
        <w:jc w:val="both"/>
        <w:rPr>
          <w:rFonts w:ascii="Times New Roman" w:hAnsi="Times New Roman"/>
          <w:iCs/>
          <w:sz w:val="24"/>
          <w:szCs w:val="24"/>
        </w:rPr>
      </w:pPr>
      <w:r w:rsidRPr="0023430A">
        <w:rPr>
          <w:rFonts w:ascii="Times New Roman" w:hAnsi="Times New Roman"/>
          <w:iCs/>
          <w:sz w:val="24"/>
          <w:szCs w:val="24"/>
        </w:rPr>
        <w:t xml:space="preserve">Konstitucinis Teismas, 2011 m. balandžio 7 d. nutarime išanalizavęs </w:t>
      </w:r>
      <w:r w:rsidR="00415A86" w:rsidRPr="00415A86">
        <w:rPr>
          <w:rFonts w:ascii="Times New Roman" w:hAnsi="Times New Roman"/>
          <w:iCs/>
          <w:sz w:val="24"/>
          <w:szCs w:val="24"/>
        </w:rPr>
        <w:t>Baudžiamojo proceso kodekso</w:t>
      </w:r>
      <w:r w:rsidRPr="0023430A">
        <w:rPr>
          <w:rFonts w:ascii="Times New Roman" w:hAnsi="Times New Roman"/>
          <w:iCs/>
          <w:sz w:val="24"/>
          <w:szCs w:val="24"/>
        </w:rPr>
        <w:t xml:space="preserve"> nustatytą ikiteisminio tyrimo teisėjo procesinių sprendimų dėl ikiteisminio tyrimo pareigūnų (ar) prokuroro nutarimų atsisakyti pradėti ikiteisminį tyrimą apskundimo tvarką aukštesniajam teismui (be kita ko, </w:t>
      </w:r>
      <w:r w:rsidRPr="00122ECC">
        <w:rPr>
          <w:rFonts w:ascii="Times New Roman" w:hAnsi="Times New Roman"/>
          <w:sz w:val="24"/>
          <w:szCs w:val="24"/>
        </w:rPr>
        <w:t xml:space="preserve">aiškinama kartu su </w:t>
      </w:r>
      <w:r w:rsidR="00415A86" w:rsidRPr="00122ECC">
        <w:rPr>
          <w:rFonts w:ascii="Times New Roman" w:hAnsi="Times New Roman"/>
          <w:sz w:val="24"/>
          <w:szCs w:val="24"/>
        </w:rPr>
        <w:t>Baudžiamojo proceso kodekso</w:t>
      </w:r>
      <w:r w:rsidRPr="00122ECC">
        <w:rPr>
          <w:rFonts w:ascii="Times New Roman" w:hAnsi="Times New Roman"/>
          <w:sz w:val="24"/>
          <w:szCs w:val="24"/>
        </w:rPr>
        <w:t xml:space="preserve"> 64 straipsnio nuostatomis</w:t>
      </w:r>
      <w:r w:rsidRPr="0023430A">
        <w:rPr>
          <w:rFonts w:ascii="Times New Roman" w:hAnsi="Times New Roman"/>
          <w:iCs/>
          <w:sz w:val="24"/>
          <w:szCs w:val="24"/>
        </w:rPr>
        <w:t xml:space="preserve">), nurodė, kad pagal </w:t>
      </w:r>
      <w:r w:rsidR="00415A86" w:rsidRPr="00415A86">
        <w:rPr>
          <w:rFonts w:ascii="Times New Roman" w:hAnsi="Times New Roman"/>
          <w:iCs/>
          <w:sz w:val="24"/>
          <w:szCs w:val="24"/>
        </w:rPr>
        <w:t>Baudžiamojo proceso kodekso</w:t>
      </w:r>
      <w:r w:rsidRPr="0023430A">
        <w:rPr>
          <w:rFonts w:ascii="Times New Roman" w:hAnsi="Times New Roman"/>
          <w:iCs/>
          <w:sz w:val="24"/>
          <w:szCs w:val="24"/>
        </w:rPr>
        <w:t xml:space="preserve"> 168 straipsnio 4 dalyje (2007 m. birželio 28 d. redakcija) nustatytą teisinį reguliavimą, ginčijamą šioje konstitucinės justicijos byloje, aukštesniajam teismui </w:t>
      </w:r>
      <w:r w:rsidRPr="00F50FB7">
        <w:rPr>
          <w:rFonts w:ascii="Times New Roman" w:hAnsi="Times New Roman"/>
          <w:sz w:val="24"/>
          <w:szCs w:val="24"/>
        </w:rPr>
        <w:t>nesudaroma prielaidų perimti konstitucinių prokuroro įgaliojimų organizuoti ikiteisminį tyrimą ir jam vadovauti</w:t>
      </w:r>
      <w:r w:rsidRPr="00F50FB7">
        <w:rPr>
          <w:rFonts w:ascii="Times New Roman" w:hAnsi="Times New Roman"/>
          <w:iCs/>
          <w:sz w:val="24"/>
          <w:szCs w:val="24"/>
        </w:rPr>
        <w:t>.</w:t>
      </w:r>
      <w:r w:rsidRPr="0023430A">
        <w:rPr>
          <w:rFonts w:ascii="Times New Roman" w:hAnsi="Times New Roman"/>
          <w:iCs/>
          <w:sz w:val="24"/>
          <w:szCs w:val="24"/>
        </w:rPr>
        <w:t xml:space="preserve"> Vadinasi, nėra teisinių argumentų teigti, jog </w:t>
      </w:r>
      <w:r w:rsidR="00415A86" w:rsidRPr="00415A86">
        <w:rPr>
          <w:rFonts w:ascii="Times New Roman" w:hAnsi="Times New Roman"/>
          <w:iCs/>
          <w:sz w:val="24"/>
          <w:szCs w:val="24"/>
        </w:rPr>
        <w:t xml:space="preserve">Baudžiamojo proceso kodekso </w:t>
      </w:r>
      <w:r w:rsidRPr="0023430A">
        <w:rPr>
          <w:rFonts w:ascii="Times New Roman" w:hAnsi="Times New Roman"/>
          <w:iCs/>
          <w:sz w:val="24"/>
          <w:szCs w:val="24"/>
        </w:rPr>
        <w:t xml:space="preserve">168 straipsnio 4 dalyje (2007 m. birželio 28 d. redakcija) nustatytu teisiniu reguliavimu, pagal kurį ikiteisminio tyrimo teisėjo sprendimas dėl prokuroro nutarimo atsisakyti pradėti ikiteisminį tyrimą ar prokuroro sprendimo nepanaikinti ikiteisminio tyrimo pareigūno nutarimo atsisakyti pradėti ikiteisminį tyrimą skundžiamas aukštesniajam teismui, paneigiami iš Konstitucijos, </w:t>
      </w:r>
      <w:proofErr w:type="spellStart"/>
      <w:r w:rsidRPr="0023430A">
        <w:rPr>
          <w:rFonts w:ascii="Times New Roman" w:hAnsi="Times New Roman"/>
          <w:i/>
          <w:sz w:val="24"/>
          <w:szCs w:val="24"/>
        </w:rPr>
        <w:t>inter</w:t>
      </w:r>
      <w:proofErr w:type="spellEnd"/>
      <w:r w:rsidRPr="0023430A">
        <w:rPr>
          <w:rFonts w:ascii="Times New Roman" w:hAnsi="Times New Roman"/>
          <w:i/>
          <w:sz w:val="24"/>
          <w:szCs w:val="24"/>
        </w:rPr>
        <w:t xml:space="preserve"> alia</w:t>
      </w:r>
      <w:r w:rsidRPr="0023430A">
        <w:rPr>
          <w:rFonts w:ascii="Times New Roman" w:hAnsi="Times New Roman"/>
          <w:iCs/>
          <w:sz w:val="24"/>
          <w:szCs w:val="24"/>
        </w:rPr>
        <w:t xml:space="preserve"> jos 109 straipsnio 1 dalies, 118 straipsnio 1 dalies, kylantys imperatyvai. Atsižvelg</w:t>
      </w:r>
      <w:r w:rsidR="007614DE">
        <w:rPr>
          <w:rFonts w:ascii="Times New Roman" w:hAnsi="Times New Roman"/>
          <w:iCs/>
          <w:sz w:val="24"/>
          <w:szCs w:val="24"/>
        </w:rPr>
        <w:t>damas</w:t>
      </w:r>
      <w:r w:rsidRPr="0023430A">
        <w:rPr>
          <w:rFonts w:ascii="Times New Roman" w:hAnsi="Times New Roman"/>
          <w:iCs/>
          <w:sz w:val="24"/>
          <w:szCs w:val="24"/>
        </w:rPr>
        <w:t xml:space="preserve">, be kita ko, į išdėstytus motyvus, Konstitucinis Teismas konstatavo, kad </w:t>
      </w:r>
      <w:r w:rsidR="000473A6" w:rsidRPr="000473A6">
        <w:rPr>
          <w:rFonts w:ascii="Times New Roman" w:hAnsi="Times New Roman"/>
          <w:iCs/>
          <w:sz w:val="24"/>
          <w:szCs w:val="24"/>
        </w:rPr>
        <w:t>Baudžiamojo proceso kodekso</w:t>
      </w:r>
      <w:r w:rsidRPr="0023430A">
        <w:rPr>
          <w:rFonts w:ascii="Times New Roman" w:hAnsi="Times New Roman"/>
          <w:iCs/>
          <w:sz w:val="24"/>
          <w:szCs w:val="24"/>
        </w:rPr>
        <w:t xml:space="preserve"> 168 straipsnio 4 dalis (2007 m. birželio 28 d. redakcija) tiek, kiek pagal joje nustatytą reguliavimą ikiteisminio tyrimo teisėjo sprendimas dėl prokuroro nutarimo atsisakyti pradėti ikiteisminį tyrimą ar prokuroro sprendimo nepanaikinti ikiteisminio tyrimo pareigūno nutarimo atsisakyti pradėti ikiteisminį tyrimą skundžiamas aukštesniajam teismui, </w:t>
      </w:r>
      <w:r w:rsidRPr="00DD7604">
        <w:rPr>
          <w:rFonts w:ascii="Times New Roman" w:hAnsi="Times New Roman"/>
          <w:sz w:val="24"/>
          <w:szCs w:val="24"/>
        </w:rPr>
        <w:t>neprieštarauja</w:t>
      </w:r>
      <w:r w:rsidRPr="00DD7604">
        <w:rPr>
          <w:rFonts w:ascii="Times New Roman" w:hAnsi="Times New Roman"/>
          <w:iCs/>
          <w:sz w:val="24"/>
          <w:szCs w:val="24"/>
        </w:rPr>
        <w:t xml:space="preserve"> </w:t>
      </w:r>
      <w:r w:rsidRPr="00DD7604">
        <w:rPr>
          <w:rFonts w:ascii="Times New Roman" w:hAnsi="Times New Roman"/>
          <w:sz w:val="24"/>
          <w:szCs w:val="24"/>
        </w:rPr>
        <w:t>1 dalies nuostatai „Ikiteisminį tyrimą organizuoja ir jam vadovauja &lt;...&gt; prokuroras“</w:t>
      </w:r>
      <w:r w:rsidRPr="00DD7604">
        <w:rPr>
          <w:rFonts w:ascii="Times New Roman" w:hAnsi="Times New Roman"/>
          <w:iCs/>
          <w:sz w:val="24"/>
          <w:szCs w:val="24"/>
        </w:rPr>
        <w:t>.</w:t>
      </w:r>
    </w:p>
    <w:p w:rsidR="0023430A" w:rsidRPr="0023430A" w:rsidRDefault="0023430A" w:rsidP="0023430A">
      <w:pPr>
        <w:spacing w:line="360" w:lineRule="auto"/>
        <w:ind w:firstLine="851"/>
        <w:jc w:val="both"/>
        <w:rPr>
          <w:rFonts w:ascii="Times New Roman" w:hAnsi="Times New Roman"/>
          <w:iCs/>
          <w:sz w:val="24"/>
          <w:szCs w:val="24"/>
        </w:rPr>
      </w:pPr>
      <w:r w:rsidRPr="0023430A">
        <w:rPr>
          <w:rFonts w:ascii="Times New Roman" w:hAnsi="Times New Roman"/>
          <w:iCs/>
          <w:sz w:val="24"/>
          <w:szCs w:val="24"/>
        </w:rPr>
        <w:t xml:space="preserve">Atsižvelgiant į išdėstytus argumentus tikslinga pastebėti, kad Konstitucinis Teismas 2011 m. balandžio 7 d. nutarime konstatavo, </w:t>
      </w:r>
      <w:r w:rsidR="00C01990">
        <w:rPr>
          <w:rFonts w:ascii="Times New Roman" w:hAnsi="Times New Roman"/>
          <w:iCs/>
          <w:sz w:val="24"/>
          <w:szCs w:val="24"/>
        </w:rPr>
        <w:t>kad</w:t>
      </w:r>
      <w:r w:rsidRPr="0023430A">
        <w:rPr>
          <w:rFonts w:ascii="Times New Roman" w:hAnsi="Times New Roman"/>
          <w:iCs/>
          <w:sz w:val="24"/>
          <w:szCs w:val="24"/>
        </w:rPr>
        <w:t xml:space="preserve"> peticijoje kritikuojamas ir siūlomas keisti teisinio reguliavimo modelis yra pagrįstas ir teisėtas – juo užtikrinama </w:t>
      </w:r>
      <w:r w:rsidRPr="00492A48">
        <w:rPr>
          <w:rFonts w:ascii="Times New Roman" w:hAnsi="Times New Roman"/>
          <w:sz w:val="24"/>
          <w:szCs w:val="24"/>
        </w:rPr>
        <w:t>konstitucinė asmens teisė kreiptis į teismą</w:t>
      </w:r>
      <w:r w:rsidRPr="00492A48">
        <w:rPr>
          <w:rFonts w:ascii="Times New Roman" w:hAnsi="Times New Roman"/>
          <w:iCs/>
          <w:sz w:val="24"/>
          <w:szCs w:val="24"/>
        </w:rPr>
        <w:t>,</w:t>
      </w:r>
      <w:r w:rsidRPr="0023430A">
        <w:rPr>
          <w:rFonts w:ascii="Times New Roman" w:hAnsi="Times New Roman"/>
          <w:iCs/>
          <w:sz w:val="24"/>
          <w:szCs w:val="24"/>
        </w:rPr>
        <w:t xml:space="preserve"> be kita ko, </w:t>
      </w:r>
      <w:r w:rsidRPr="00172C61">
        <w:rPr>
          <w:rFonts w:ascii="Times New Roman" w:hAnsi="Times New Roman"/>
          <w:sz w:val="24"/>
          <w:szCs w:val="24"/>
        </w:rPr>
        <w:t>nesudaroma prielaidų teismui perimti prokuroro konstitucinių įgaliojimų organizuoti ikiteisminį tyrimą ir jam vadovauti</w:t>
      </w:r>
      <w:r w:rsidRPr="00172C61">
        <w:rPr>
          <w:rFonts w:ascii="Times New Roman" w:hAnsi="Times New Roman"/>
          <w:iCs/>
          <w:sz w:val="24"/>
          <w:szCs w:val="24"/>
        </w:rPr>
        <w:t>.</w:t>
      </w:r>
      <w:r w:rsidRPr="0023430A">
        <w:rPr>
          <w:rFonts w:ascii="Times New Roman" w:hAnsi="Times New Roman"/>
          <w:iCs/>
          <w:sz w:val="24"/>
          <w:szCs w:val="24"/>
        </w:rPr>
        <w:t xml:space="preserve"> Savo ruožtu, įtvirtintos </w:t>
      </w:r>
      <w:r w:rsidR="00415A86" w:rsidRPr="00415A86">
        <w:rPr>
          <w:rFonts w:ascii="Times New Roman" w:hAnsi="Times New Roman"/>
          <w:iCs/>
          <w:sz w:val="24"/>
          <w:szCs w:val="24"/>
        </w:rPr>
        <w:t>Baudžiamojo proceso kodekso</w:t>
      </w:r>
      <w:r w:rsidRPr="0023430A">
        <w:rPr>
          <w:rFonts w:ascii="Times New Roman" w:hAnsi="Times New Roman"/>
          <w:iCs/>
          <w:sz w:val="24"/>
          <w:szCs w:val="24"/>
        </w:rPr>
        <w:t xml:space="preserve"> nuostatos nenumato įgaliojimų ikiteisminio tyrimo teisėjui ar teismui savarankiškai pradėti ikiteisminio tyrimo – tokia prerogatyva atskirta nuo teisminės valdžios funkcijų ir deleguota kitiems baudžiamajame procese dalyvaujantiems dalyviams, t. y. prokurorui (be kita ko, ir ikiteisminio tyrimo pareigūnui). Tačiau tai neužkerta kelio teismui vykdyti ikiteisminio tyrimo pareigūno ar prokuroro priimtų procesinių sprendimų procesinės kontrolės nagrinėjant skundus dėl minėtų sprendimų ir juos panaikinti, taip, be kita ko, užtikrinant ir konstitucinę asmenų teisę kreiptis į teismą bei ginti</w:t>
      </w:r>
      <w:r w:rsidR="007621D2">
        <w:rPr>
          <w:rFonts w:ascii="Times New Roman" w:hAnsi="Times New Roman"/>
          <w:iCs/>
          <w:sz w:val="24"/>
          <w:szCs w:val="24"/>
        </w:rPr>
        <w:t>,</w:t>
      </w:r>
      <w:r w:rsidRPr="0023430A">
        <w:rPr>
          <w:rFonts w:ascii="Times New Roman" w:hAnsi="Times New Roman"/>
          <w:iCs/>
          <w:sz w:val="24"/>
          <w:szCs w:val="24"/>
        </w:rPr>
        <w:t xml:space="preserve"> jų manymu</w:t>
      </w:r>
      <w:r w:rsidR="007621D2">
        <w:rPr>
          <w:rFonts w:ascii="Times New Roman" w:hAnsi="Times New Roman"/>
          <w:iCs/>
          <w:sz w:val="24"/>
          <w:szCs w:val="24"/>
        </w:rPr>
        <w:t>,</w:t>
      </w:r>
      <w:r w:rsidRPr="0023430A">
        <w:rPr>
          <w:rFonts w:ascii="Times New Roman" w:hAnsi="Times New Roman"/>
          <w:iCs/>
          <w:sz w:val="24"/>
          <w:szCs w:val="24"/>
        </w:rPr>
        <w:t xml:space="preserve"> pažeistas teises. Pastebėtina, kad toks teisinio reguliavimo modelis išlaiko balansą tarp dviejų konstitucinių nuostatų, t. y. absoliučios asmenų teisės kreiptis į teismą ir prokuroro konstitucinių įgaliojimų bei nepriklausomumo. </w:t>
      </w:r>
    </w:p>
    <w:p w:rsidR="0023430A" w:rsidRPr="0023430A" w:rsidRDefault="0023430A" w:rsidP="0023430A">
      <w:pPr>
        <w:spacing w:line="360" w:lineRule="auto"/>
        <w:ind w:firstLine="851"/>
        <w:jc w:val="both"/>
        <w:rPr>
          <w:rFonts w:ascii="Times New Roman" w:hAnsi="Times New Roman"/>
          <w:iCs/>
          <w:sz w:val="24"/>
          <w:szCs w:val="24"/>
        </w:rPr>
      </w:pPr>
      <w:r w:rsidRPr="0023430A">
        <w:rPr>
          <w:rFonts w:ascii="Times New Roman" w:hAnsi="Times New Roman"/>
          <w:iCs/>
          <w:sz w:val="24"/>
          <w:szCs w:val="24"/>
        </w:rPr>
        <w:t>Vis dėlto tai nereiškia, kad pagal galiojantį teisinį reglamentavimą prokurorai (be kita ko</w:t>
      </w:r>
      <w:r w:rsidR="007272F1">
        <w:rPr>
          <w:rFonts w:ascii="Times New Roman" w:hAnsi="Times New Roman"/>
          <w:iCs/>
          <w:sz w:val="24"/>
          <w:szCs w:val="24"/>
        </w:rPr>
        <w:t>,</w:t>
      </w:r>
      <w:r w:rsidRPr="0023430A">
        <w:rPr>
          <w:rFonts w:ascii="Times New Roman" w:hAnsi="Times New Roman"/>
          <w:iCs/>
          <w:sz w:val="24"/>
          <w:szCs w:val="24"/>
        </w:rPr>
        <w:t xml:space="preserve"> ir ikiteisminio tyrimo pareigūnai) neprivalo laikytis įstatymų, vykdyti jiems deleguotų pareigų ir nepiktnaudžiauti turimais įgaliojimais. </w:t>
      </w:r>
      <w:r w:rsidR="008C7E48" w:rsidRPr="008C7E48">
        <w:rPr>
          <w:rFonts w:ascii="Times New Roman" w:hAnsi="Times New Roman"/>
          <w:iCs/>
          <w:sz w:val="24"/>
          <w:szCs w:val="24"/>
        </w:rPr>
        <w:t xml:space="preserve">Baudžiamojo proceso kodekso </w:t>
      </w:r>
      <w:r w:rsidRPr="0023430A">
        <w:rPr>
          <w:rFonts w:ascii="Times New Roman" w:hAnsi="Times New Roman"/>
          <w:iCs/>
          <w:sz w:val="24"/>
          <w:szCs w:val="24"/>
        </w:rPr>
        <w:t xml:space="preserve">2 straipsnyje yra numatyta, kad prokuroras ir ikiteisminio tyrimo įstaigos kiekvienu atveju, kai paaiškėja nusikalstamos veikos požymių, </w:t>
      </w:r>
      <w:r w:rsidRPr="006C2F7E">
        <w:rPr>
          <w:rFonts w:ascii="Times New Roman" w:hAnsi="Times New Roman"/>
          <w:sz w:val="24"/>
          <w:szCs w:val="24"/>
        </w:rPr>
        <w:t>privalo</w:t>
      </w:r>
      <w:r w:rsidRPr="0023430A">
        <w:rPr>
          <w:rFonts w:ascii="Times New Roman" w:hAnsi="Times New Roman"/>
          <w:iCs/>
          <w:sz w:val="24"/>
          <w:szCs w:val="24"/>
        </w:rPr>
        <w:t xml:space="preserve"> pagal savo kompetenciją imtis visų įstatymų numatytų priemonių, kad per trumpiausią laiką būtų atliktas tyrimas ir atskleista nusikalstama veika. Be kita ko, </w:t>
      </w:r>
      <w:r w:rsidR="008C7E48" w:rsidRPr="008C7E48">
        <w:rPr>
          <w:rFonts w:ascii="Times New Roman" w:hAnsi="Times New Roman"/>
          <w:iCs/>
          <w:sz w:val="24"/>
          <w:szCs w:val="24"/>
        </w:rPr>
        <w:t>Baudžiamojo proceso kodekso</w:t>
      </w:r>
      <w:r w:rsidRPr="0023430A">
        <w:rPr>
          <w:rFonts w:ascii="Times New Roman" w:hAnsi="Times New Roman"/>
          <w:iCs/>
          <w:sz w:val="24"/>
          <w:szCs w:val="24"/>
        </w:rPr>
        <w:t xml:space="preserve"> 168 straipsnio 1 dalyje yra nurodoma ir tai, kad prokuroras ar ikiteisminio tyrimo pareigūnas, gavęs skundą, pareiškimą ar pranešimą, o reikiamais atvejais – ir jų patikslinimą, atsisako pradėti ikiteisminį tyrimą </w:t>
      </w:r>
      <w:r w:rsidRPr="006C2F7E">
        <w:rPr>
          <w:rFonts w:ascii="Times New Roman" w:hAnsi="Times New Roman"/>
          <w:sz w:val="24"/>
          <w:szCs w:val="24"/>
        </w:rPr>
        <w:t>tik tuo atveju</w:t>
      </w:r>
      <w:r w:rsidRPr="0023430A">
        <w:rPr>
          <w:rFonts w:ascii="Times New Roman" w:hAnsi="Times New Roman"/>
          <w:iCs/>
          <w:sz w:val="24"/>
          <w:szCs w:val="24"/>
        </w:rPr>
        <w:t xml:space="preserve">, kai nurodyti duomenys apie nusikalstamą veiką yra </w:t>
      </w:r>
      <w:r w:rsidRPr="007E34F2">
        <w:rPr>
          <w:rFonts w:ascii="Times New Roman" w:hAnsi="Times New Roman"/>
          <w:sz w:val="24"/>
          <w:szCs w:val="24"/>
        </w:rPr>
        <w:t>akivaizdžiai</w:t>
      </w:r>
      <w:r w:rsidRPr="007E34F2">
        <w:rPr>
          <w:rFonts w:ascii="Times New Roman" w:hAnsi="Times New Roman"/>
          <w:iCs/>
          <w:sz w:val="24"/>
          <w:szCs w:val="24"/>
        </w:rPr>
        <w:t xml:space="preserve"> neteisingi ar yra </w:t>
      </w:r>
      <w:r w:rsidRPr="007E34F2">
        <w:rPr>
          <w:rFonts w:ascii="Times New Roman" w:hAnsi="Times New Roman"/>
          <w:sz w:val="24"/>
          <w:szCs w:val="24"/>
        </w:rPr>
        <w:t>aiškios</w:t>
      </w:r>
      <w:r w:rsidRPr="0023430A">
        <w:rPr>
          <w:rFonts w:ascii="Times New Roman" w:hAnsi="Times New Roman"/>
          <w:iCs/>
          <w:sz w:val="24"/>
          <w:szCs w:val="24"/>
        </w:rPr>
        <w:t xml:space="preserve"> šio </w:t>
      </w:r>
      <w:r w:rsidR="008C7E48" w:rsidRPr="008C7E48">
        <w:rPr>
          <w:rFonts w:ascii="Times New Roman" w:hAnsi="Times New Roman"/>
          <w:iCs/>
          <w:sz w:val="24"/>
          <w:szCs w:val="24"/>
        </w:rPr>
        <w:t>Baudžiamojo proceso kodekso</w:t>
      </w:r>
      <w:r w:rsidRPr="0023430A">
        <w:rPr>
          <w:rFonts w:ascii="Times New Roman" w:hAnsi="Times New Roman"/>
          <w:iCs/>
          <w:sz w:val="24"/>
          <w:szCs w:val="24"/>
        </w:rPr>
        <w:t xml:space="preserve"> 3 straipsnio 1 dalyje nurodytos aplinkybės. Pastarosios nuostatos suponuoja, kad ikiteisminio tyrimo pareigūnai ir prokurorai</w:t>
      </w:r>
      <w:r w:rsidR="007621D2">
        <w:rPr>
          <w:rFonts w:ascii="Times New Roman" w:hAnsi="Times New Roman"/>
          <w:iCs/>
          <w:sz w:val="24"/>
          <w:szCs w:val="24"/>
        </w:rPr>
        <w:t>,</w:t>
      </w:r>
      <w:r w:rsidRPr="0023430A">
        <w:rPr>
          <w:rFonts w:ascii="Times New Roman" w:hAnsi="Times New Roman"/>
          <w:iCs/>
          <w:sz w:val="24"/>
          <w:szCs w:val="24"/>
        </w:rPr>
        <w:t xml:space="preserve"> esant bent menkiausiai tikimybei, </w:t>
      </w:r>
      <w:r w:rsidR="00CE1458">
        <w:rPr>
          <w:rFonts w:ascii="Times New Roman" w:hAnsi="Times New Roman"/>
          <w:iCs/>
          <w:sz w:val="24"/>
          <w:szCs w:val="24"/>
        </w:rPr>
        <w:t>kad</w:t>
      </w:r>
      <w:r w:rsidRPr="0023430A">
        <w:rPr>
          <w:rFonts w:ascii="Times New Roman" w:hAnsi="Times New Roman"/>
          <w:iCs/>
          <w:sz w:val="24"/>
          <w:szCs w:val="24"/>
        </w:rPr>
        <w:t xml:space="preserve"> yra padaryta nusikalstama veika</w:t>
      </w:r>
      <w:r w:rsidR="007621D2">
        <w:rPr>
          <w:rFonts w:ascii="Times New Roman" w:hAnsi="Times New Roman"/>
          <w:iCs/>
          <w:sz w:val="24"/>
          <w:szCs w:val="24"/>
        </w:rPr>
        <w:t>,</w:t>
      </w:r>
      <w:r w:rsidRPr="0023430A">
        <w:rPr>
          <w:rFonts w:ascii="Times New Roman" w:hAnsi="Times New Roman"/>
          <w:iCs/>
          <w:sz w:val="24"/>
          <w:szCs w:val="24"/>
        </w:rPr>
        <w:t xml:space="preserve"> privalo pradėti ikiteisminį tyrimą ir atlikti visus būtinus procesinius veiksmus, siekiant patikrinti ar buvo įvykdyta nusikalstama veika, nustatyti ją padariusius asmenis ir esant pagrindui imtis priemonių šių asmenų baudžiamajai atsakomybei realizuoti. </w:t>
      </w:r>
      <w:r w:rsidR="005C546E">
        <w:rPr>
          <w:rFonts w:ascii="Times New Roman" w:hAnsi="Times New Roman"/>
          <w:iCs/>
          <w:sz w:val="24"/>
          <w:szCs w:val="24"/>
        </w:rPr>
        <w:t>Pažymėtina</w:t>
      </w:r>
      <w:r w:rsidRPr="0023430A">
        <w:rPr>
          <w:rFonts w:ascii="Times New Roman" w:hAnsi="Times New Roman"/>
          <w:iCs/>
          <w:sz w:val="24"/>
          <w:szCs w:val="24"/>
        </w:rPr>
        <w:t xml:space="preserve"> ir tai, kad Rekomendacijų dėl ikiteisminio tyrimo pradžios ir jos registravimo tvarkos</w:t>
      </w:r>
      <w:r w:rsidR="005D0165">
        <w:rPr>
          <w:rFonts w:ascii="Times New Roman" w:hAnsi="Times New Roman"/>
          <w:iCs/>
          <w:sz w:val="24"/>
          <w:szCs w:val="24"/>
        </w:rPr>
        <w:t xml:space="preserve">, patvirtintų </w:t>
      </w:r>
      <w:r w:rsidR="005D0165" w:rsidRPr="005D0165">
        <w:rPr>
          <w:rFonts w:ascii="Times New Roman" w:hAnsi="Times New Roman"/>
          <w:iCs/>
          <w:sz w:val="24"/>
          <w:szCs w:val="24"/>
        </w:rPr>
        <w:t>Lietuvos Respublikos generalinio prokuroro 2008 m. rugpj</w:t>
      </w:r>
      <w:r w:rsidR="005D0165" w:rsidRPr="005D0165">
        <w:rPr>
          <w:rFonts w:ascii="Times New Roman" w:hAnsi="Times New Roman" w:hint="eastAsia"/>
          <w:iCs/>
          <w:sz w:val="24"/>
          <w:szCs w:val="24"/>
        </w:rPr>
        <w:t>ūč</w:t>
      </w:r>
      <w:r w:rsidR="005D0165" w:rsidRPr="005D0165">
        <w:rPr>
          <w:rFonts w:ascii="Times New Roman" w:hAnsi="Times New Roman"/>
          <w:iCs/>
          <w:sz w:val="24"/>
          <w:szCs w:val="24"/>
        </w:rPr>
        <w:t xml:space="preserve">io 11 d. </w:t>
      </w:r>
      <w:r w:rsidR="005D0165" w:rsidRPr="005D0165">
        <w:rPr>
          <w:rFonts w:ascii="Times New Roman" w:hAnsi="Times New Roman" w:hint="eastAsia"/>
          <w:iCs/>
          <w:sz w:val="24"/>
          <w:szCs w:val="24"/>
        </w:rPr>
        <w:t>į</w:t>
      </w:r>
      <w:r w:rsidR="005D0165" w:rsidRPr="005D0165">
        <w:rPr>
          <w:rFonts w:ascii="Times New Roman" w:hAnsi="Times New Roman"/>
          <w:iCs/>
          <w:sz w:val="24"/>
          <w:szCs w:val="24"/>
        </w:rPr>
        <w:t xml:space="preserve">sakymu Nr. I-110 (Lietuvos Respublikos generalinio prokuroro 2020 m. gruodžio 23 d. </w:t>
      </w:r>
      <w:r w:rsidR="005D0165" w:rsidRPr="005D0165">
        <w:rPr>
          <w:rFonts w:ascii="Times New Roman" w:hAnsi="Times New Roman" w:hint="eastAsia"/>
          <w:iCs/>
          <w:sz w:val="24"/>
          <w:szCs w:val="24"/>
        </w:rPr>
        <w:t>į</w:t>
      </w:r>
      <w:r w:rsidR="005D0165" w:rsidRPr="005D0165">
        <w:rPr>
          <w:rFonts w:ascii="Times New Roman" w:hAnsi="Times New Roman"/>
          <w:iCs/>
          <w:sz w:val="24"/>
          <w:szCs w:val="24"/>
        </w:rPr>
        <w:t>sakymo Nr. I-391 redakcija)</w:t>
      </w:r>
      <w:r w:rsidR="00FA1CFD">
        <w:rPr>
          <w:rFonts w:ascii="Times New Roman" w:hAnsi="Times New Roman"/>
          <w:iCs/>
          <w:sz w:val="24"/>
          <w:szCs w:val="24"/>
        </w:rPr>
        <w:t xml:space="preserve"> </w:t>
      </w:r>
      <w:r w:rsidRPr="0023430A">
        <w:rPr>
          <w:rFonts w:ascii="Times New Roman" w:hAnsi="Times New Roman"/>
          <w:iCs/>
          <w:sz w:val="24"/>
          <w:szCs w:val="24"/>
        </w:rPr>
        <w:t xml:space="preserve">(toliau – Rekomendacijos) </w:t>
      </w:r>
      <w:r w:rsidRPr="0023430A">
        <w:rPr>
          <w:rFonts w:ascii="Times New Roman" w:hAnsi="Times New Roman"/>
          <w:color w:val="000000"/>
          <w:sz w:val="24"/>
          <w:szCs w:val="24"/>
        </w:rPr>
        <w:t>11 punkte nurodyta, kad</w:t>
      </w:r>
      <w:r w:rsidR="00B93381">
        <w:rPr>
          <w:rFonts w:ascii="Times New Roman" w:hAnsi="Times New Roman"/>
          <w:color w:val="000000"/>
          <w:sz w:val="24"/>
          <w:szCs w:val="24"/>
        </w:rPr>
        <w:t>,</w:t>
      </w:r>
      <w:r w:rsidRPr="0023430A">
        <w:rPr>
          <w:rFonts w:ascii="Times New Roman" w:hAnsi="Times New Roman"/>
          <w:color w:val="000000"/>
          <w:sz w:val="24"/>
          <w:szCs w:val="24"/>
        </w:rPr>
        <w:t xml:space="preserve"> kai nutarimas atsisakyti pradėti ikiteisminį tyrimą panaikinamas ikiteisminio tyrimo teisėjo ar teismo sprendimu, kuriame nurodyti galimai padarytos nusikalstamos veikos požymiai, patikslinimo veiksmai </w:t>
      </w:r>
      <w:r w:rsidRPr="00605098">
        <w:rPr>
          <w:rFonts w:ascii="Times New Roman" w:hAnsi="Times New Roman"/>
          <w:iCs/>
          <w:color w:val="000000"/>
          <w:sz w:val="24"/>
          <w:szCs w:val="24"/>
        </w:rPr>
        <w:t>paprastai</w:t>
      </w:r>
      <w:r w:rsidRPr="0023430A">
        <w:rPr>
          <w:rFonts w:ascii="Times New Roman" w:hAnsi="Times New Roman"/>
          <w:color w:val="000000"/>
          <w:sz w:val="24"/>
          <w:szCs w:val="24"/>
        </w:rPr>
        <w:t xml:space="preserve"> neatliekami. </w:t>
      </w:r>
      <w:r w:rsidRPr="007E34F2">
        <w:rPr>
          <w:rFonts w:ascii="Times New Roman" w:hAnsi="Times New Roman"/>
          <w:iCs/>
          <w:color w:val="000000"/>
          <w:sz w:val="24"/>
          <w:szCs w:val="24"/>
        </w:rPr>
        <w:t>Tokiu atveju priimamas sprendimas pradėti ikiteisminį tyrimą</w:t>
      </w:r>
      <w:r w:rsidRPr="007E34F2">
        <w:rPr>
          <w:rFonts w:ascii="Times New Roman" w:hAnsi="Times New Roman"/>
          <w:color w:val="000000"/>
          <w:sz w:val="24"/>
          <w:szCs w:val="24"/>
        </w:rPr>
        <w:t>.</w:t>
      </w:r>
      <w:r w:rsidRPr="0023430A">
        <w:rPr>
          <w:rFonts w:ascii="Times New Roman" w:hAnsi="Times New Roman"/>
          <w:color w:val="000000"/>
          <w:sz w:val="24"/>
          <w:szCs w:val="24"/>
        </w:rPr>
        <w:t xml:space="preserve"> Rekomendacijų 45 punkte nurodoma, kad</w:t>
      </w:r>
      <w:r w:rsidR="00B14C23">
        <w:rPr>
          <w:rFonts w:ascii="Times New Roman" w:hAnsi="Times New Roman"/>
          <w:color w:val="000000"/>
          <w:sz w:val="24"/>
          <w:szCs w:val="24"/>
        </w:rPr>
        <w:t>,</w:t>
      </w:r>
      <w:r w:rsidRPr="0023430A">
        <w:rPr>
          <w:rFonts w:ascii="Times New Roman" w:hAnsi="Times New Roman"/>
          <w:color w:val="000000"/>
          <w:sz w:val="24"/>
          <w:szCs w:val="24"/>
        </w:rPr>
        <w:t xml:space="preserve"> </w:t>
      </w:r>
      <w:r w:rsidRPr="0023430A">
        <w:rPr>
          <w:rFonts w:ascii="Times New Roman" w:hAnsi="Times New Roman"/>
          <w:iCs/>
          <w:sz w:val="24"/>
          <w:szCs w:val="24"/>
        </w:rPr>
        <w:t xml:space="preserve">jei aukštesnysis prokuroras, ikiteisminio tyrimo teisėjas ar teismas panaikina nutarimą atsisakyti pradėti ikiteisminį tyrimą ir grąžina surinktą medžiagą patikslinti, </w:t>
      </w:r>
      <w:r w:rsidR="008C7E48" w:rsidRPr="008C7E48">
        <w:rPr>
          <w:rFonts w:ascii="Times New Roman" w:hAnsi="Times New Roman"/>
          <w:iCs/>
          <w:sz w:val="24"/>
          <w:szCs w:val="24"/>
        </w:rPr>
        <w:t xml:space="preserve">Baudžiamojo proceso kodekso </w:t>
      </w:r>
      <w:r w:rsidRPr="0023430A">
        <w:rPr>
          <w:rFonts w:ascii="Times New Roman" w:hAnsi="Times New Roman"/>
          <w:iCs/>
          <w:sz w:val="24"/>
          <w:szCs w:val="24"/>
        </w:rPr>
        <w:t>168 straipsnio 1 dalyje nustatytas 10 dienų terminas proceso veiksmams atlikti ir sprendimui priimti skaičiuojamas iš naujo nuo sprendimo gavimo papildomai vertinti prokuratūroje ar ikiteisminio tyrimo įstaigoje dienos. Iš pateiktų nuostatų matyti, kad šiuo metu galiojantis teisinis reglamentavimas įpareigoja prokurorus, be kita ko, ikiteisminio tyrimo pareigūnus</w:t>
      </w:r>
      <w:r w:rsidR="007621D2">
        <w:rPr>
          <w:rFonts w:ascii="Times New Roman" w:hAnsi="Times New Roman"/>
          <w:iCs/>
          <w:sz w:val="24"/>
          <w:szCs w:val="24"/>
        </w:rPr>
        <w:t>,</w:t>
      </w:r>
      <w:r w:rsidRPr="0023430A">
        <w:rPr>
          <w:rFonts w:ascii="Times New Roman" w:hAnsi="Times New Roman"/>
          <w:iCs/>
          <w:sz w:val="24"/>
          <w:szCs w:val="24"/>
        </w:rPr>
        <w:t xml:space="preserve"> ne tik savarankiškai nustačius nusikalstamos veikos požymius imtis atitinkamų procesinių veiksmų – esant pagrindui pradėti ikiteisminį tyrimą arba priimti procesinį sprendimą atsisakyti jį pradėti, bet ir atsižvelgti į ikiteisminio tyrimo teisėjo, be kita ko</w:t>
      </w:r>
      <w:r w:rsidR="005D0165">
        <w:rPr>
          <w:rFonts w:ascii="Times New Roman" w:hAnsi="Times New Roman"/>
          <w:iCs/>
          <w:sz w:val="24"/>
          <w:szCs w:val="24"/>
        </w:rPr>
        <w:t>,</w:t>
      </w:r>
      <w:r w:rsidRPr="0023430A">
        <w:rPr>
          <w:rFonts w:ascii="Times New Roman" w:hAnsi="Times New Roman"/>
          <w:iCs/>
          <w:sz w:val="24"/>
          <w:szCs w:val="24"/>
        </w:rPr>
        <w:t xml:space="preserve"> ir teismo priimtus procesinius sprendimus, kuriais pastarieji panaikina skundžiamus nutarimus dėl ikiteisminio tyrimo pareigūnų ar prokurorų nutarimų atsisakyti pradėti ikiteisminį tyrimą, pasiūlydami ištaisyti nustatytus procesinius pažeidimus. Teisingumo ministerijos vertinimu, </w:t>
      </w:r>
      <w:r w:rsidRPr="00234DBE">
        <w:rPr>
          <w:rFonts w:ascii="Times New Roman" w:hAnsi="Times New Roman"/>
          <w:sz w:val="24"/>
          <w:szCs w:val="24"/>
        </w:rPr>
        <w:t>be pagrįstų motyvų</w:t>
      </w:r>
      <w:r w:rsidRPr="0023430A">
        <w:rPr>
          <w:rFonts w:ascii="Times New Roman" w:hAnsi="Times New Roman"/>
          <w:i/>
          <w:sz w:val="24"/>
          <w:szCs w:val="24"/>
        </w:rPr>
        <w:t xml:space="preserve"> </w:t>
      </w:r>
      <w:r w:rsidRPr="0023430A">
        <w:rPr>
          <w:rFonts w:ascii="Times New Roman" w:hAnsi="Times New Roman"/>
          <w:iCs/>
          <w:sz w:val="24"/>
          <w:szCs w:val="24"/>
        </w:rPr>
        <w:t>nevykdant anksčiau nurodytų pareigų</w:t>
      </w:r>
      <w:r w:rsidR="005D0165">
        <w:rPr>
          <w:rFonts w:ascii="Times New Roman" w:hAnsi="Times New Roman"/>
          <w:iCs/>
          <w:sz w:val="24"/>
          <w:szCs w:val="24"/>
        </w:rPr>
        <w:t>,</w:t>
      </w:r>
      <w:r w:rsidRPr="0023430A">
        <w:rPr>
          <w:rFonts w:ascii="Times New Roman" w:hAnsi="Times New Roman"/>
          <w:iCs/>
          <w:sz w:val="24"/>
          <w:szCs w:val="24"/>
        </w:rPr>
        <w:t xml:space="preserve"> turėtų būti keliamas ne analizuojamo teisinio reguliavimo pakeitimo klausimas, o inicijuojamos pareigūnų drausminės atsakomybės procedūros</w:t>
      </w:r>
      <w:r w:rsidR="000F7CAE">
        <w:rPr>
          <w:rFonts w:ascii="Times New Roman" w:hAnsi="Times New Roman"/>
          <w:iCs/>
          <w:sz w:val="24"/>
          <w:szCs w:val="24"/>
        </w:rPr>
        <w:t>,</w:t>
      </w:r>
      <w:r w:rsidRPr="0023430A">
        <w:rPr>
          <w:rFonts w:ascii="Times New Roman" w:hAnsi="Times New Roman"/>
          <w:iCs/>
          <w:sz w:val="24"/>
          <w:szCs w:val="24"/>
        </w:rPr>
        <w:t xml:space="preserve"> be kita ko, esant pagrindui turėtų būti taikytinos ir griežtesnės atsakomybės realizavimo formos.</w:t>
      </w:r>
    </w:p>
    <w:p w:rsidR="0023430A" w:rsidRPr="0023430A" w:rsidRDefault="00A37B65" w:rsidP="0023430A">
      <w:pPr>
        <w:spacing w:line="360" w:lineRule="auto"/>
        <w:ind w:firstLine="851"/>
        <w:jc w:val="both"/>
        <w:rPr>
          <w:rFonts w:ascii="Times New Roman" w:hAnsi="Times New Roman"/>
          <w:iCs/>
          <w:sz w:val="24"/>
          <w:szCs w:val="24"/>
        </w:rPr>
      </w:pPr>
      <w:r>
        <w:rPr>
          <w:rFonts w:ascii="Times New Roman" w:hAnsi="Times New Roman"/>
          <w:iCs/>
          <w:sz w:val="24"/>
          <w:szCs w:val="24"/>
        </w:rPr>
        <w:t>Tuo tarpu p</w:t>
      </w:r>
      <w:r w:rsidR="0023430A" w:rsidRPr="0023430A">
        <w:rPr>
          <w:rFonts w:ascii="Times New Roman" w:hAnsi="Times New Roman"/>
          <w:iCs/>
          <w:sz w:val="24"/>
          <w:szCs w:val="24"/>
        </w:rPr>
        <w:t xml:space="preserve">areiškėjos siūlomas </w:t>
      </w:r>
      <w:r w:rsidR="000473A6" w:rsidRPr="000473A6">
        <w:rPr>
          <w:rFonts w:ascii="Times New Roman" w:hAnsi="Times New Roman"/>
          <w:iCs/>
          <w:sz w:val="24"/>
          <w:szCs w:val="24"/>
        </w:rPr>
        <w:t>Baudžiamojo proceso kodekso</w:t>
      </w:r>
      <w:r w:rsidR="0023430A" w:rsidRPr="0023430A">
        <w:rPr>
          <w:rFonts w:ascii="Times New Roman" w:hAnsi="Times New Roman"/>
          <w:iCs/>
          <w:sz w:val="24"/>
          <w:szCs w:val="24"/>
        </w:rPr>
        <w:t xml:space="preserve"> 166 straipsnio 1 dalies papildymas nauju 3 punktu iš esmės reformuotų šiuo metu galiojantį teisinį reglamentavimą, t. y. suteiktų galimybę teisminės valdžios atstovams perimti dalį prokurorų (be kita ko, ir ikiteisminio tyrimo pareigūnų) išimtinių įgaliojimų ir savarankiškai priimti sprendimus dėl ikiteisminio tyrimo pradėjimo – kas galimai pažeistų Konstitucijos</w:t>
      </w:r>
      <w:r w:rsidR="0023430A" w:rsidRPr="0023430A">
        <w:rPr>
          <w:rFonts w:ascii="Times New Roman" w:hAnsi="Times New Roman"/>
          <w:i/>
          <w:sz w:val="24"/>
          <w:szCs w:val="24"/>
        </w:rPr>
        <w:t xml:space="preserve"> </w:t>
      </w:r>
      <w:r w:rsidR="0023430A" w:rsidRPr="0023430A">
        <w:rPr>
          <w:rFonts w:ascii="Times New Roman" w:hAnsi="Times New Roman"/>
          <w:iCs/>
          <w:sz w:val="24"/>
          <w:szCs w:val="24"/>
        </w:rPr>
        <w:t xml:space="preserve">109 straipsnio 1 dalies ir 118 straipsnio nuostatas, be kita ko, neatitiktų teismo ir kitų valstybės institucijų (pareigūnų), dalyvaujančių baudžiamajame procese, funkcijų atskyrimo principo turinio, bet ir prieštarautų kitoms </w:t>
      </w:r>
      <w:r w:rsidR="008C7E48" w:rsidRPr="008C7E48">
        <w:rPr>
          <w:rFonts w:ascii="Times New Roman" w:hAnsi="Times New Roman"/>
          <w:iCs/>
          <w:sz w:val="24"/>
          <w:szCs w:val="24"/>
        </w:rPr>
        <w:t>Baudžiamojo proceso kodekso</w:t>
      </w:r>
      <w:r w:rsidR="0023430A" w:rsidRPr="0023430A">
        <w:rPr>
          <w:rFonts w:ascii="Times New Roman" w:hAnsi="Times New Roman"/>
          <w:iCs/>
          <w:sz w:val="24"/>
          <w:szCs w:val="24"/>
        </w:rPr>
        <w:t xml:space="preserve"> nuostatoms (pavyzdžiui,</w:t>
      </w:r>
      <w:r w:rsidR="008C7E48" w:rsidRPr="008C7E48">
        <w:t xml:space="preserve"> </w:t>
      </w:r>
      <w:r w:rsidR="008C7E48" w:rsidRPr="008C7E48">
        <w:rPr>
          <w:rFonts w:ascii="Times New Roman" w:hAnsi="Times New Roman"/>
          <w:iCs/>
          <w:sz w:val="24"/>
          <w:szCs w:val="24"/>
        </w:rPr>
        <w:t>Baudžiamojo proceso kodekso</w:t>
      </w:r>
      <w:r w:rsidR="0023430A" w:rsidRPr="0023430A">
        <w:rPr>
          <w:rFonts w:ascii="Times New Roman" w:hAnsi="Times New Roman"/>
          <w:iCs/>
          <w:sz w:val="24"/>
          <w:szCs w:val="24"/>
        </w:rPr>
        <w:t xml:space="preserve">  2, 64 </w:t>
      </w:r>
      <w:r w:rsidR="0013516C">
        <w:rPr>
          <w:rFonts w:ascii="Times New Roman" w:hAnsi="Times New Roman"/>
          <w:iCs/>
          <w:sz w:val="24"/>
          <w:szCs w:val="24"/>
        </w:rPr>
        <w:t xml:space="preserve">ir kt. </w:t>
      </w:r>
      <w:r w:rsidR="0023430A" w:rsidRPr="0023430A">
        <w:rPr>
          <w:rFonts w:ascii="Times New Roman" w:hAnsi="Times New Roman"/>
          <w:iCs/>
          <w:sz w:val="24"/>
          <w:szCs w:val="24"/>
        </w:rPr>
        <w:t>straipsniams)</w:t>
      </w:r>
      <w:r w:rsidR="0023430A" w:rsidRPr="0023430A">
        <w:rPr>
          <w:rFonts w:ascii="Times New Roman" w:hAnsi="Times New Roman"/>
          <w:i/>
          <w:sz w:val="24"/>
          <w:szCs w:val="24"/>
        </w:rPr>
        <w:t>.</w:t>
      </w:r>
      <w:r w:rsidR="0023430A" w:rsidRPr="0023430A">
        <w:rPr>
          <w:rFonts w:ascii="Times New Roman" w:hAnsi="Times New Roman"/>
          <w:iCs/>
          <w:sz w:val="24"/>
          <w:szCs w:val="24"/>
        </w:rPr>
        <w:t xml:space="preserve"> </w:t>
      </w:r>
    </w:p>
    <w:p w:rsidR="005B7B60" w:rsidRDefault="00512361" w:rsidP="0023430A">
      <w:pPr>
        <w:spacing w:line="360" w:lineRule="auto"/>
        <w:ind w:firstLine="851"/>
        <w:jc w:val="both"/>
        <w:rPr>
          <w:rFonts w:ascii="Times New Roman" w:hAnsi="Times New Roman"/>
          <w:iCs/>
          <w:sz w:val="24"/>
          <w:szCs w:val="24"/>
        </w:rPr>
      </w:pPr>
      <w:r>
        <w:rPr>
          <w:rFonts w:ascii="Times New Roman" w:hAnsi="Times New Roman"/>
          <w:iCs/>
          <w:sz w:val="24"/>
          <w:szCs w:val="24"/>
        </w:rPr>
        <w:t>A</w:t>
      </w:r>
      <w:r w:rsidR="00CF6904">
        <w:rPr>
          <w:rFonts w:ascii="Times New Roman" w:hAnsi="Times New Roman"/>
          <w:iCs/>
          <w:sz w:val="24"/>
          <w:szCs w:val="24"/>
        </w:rPr>
        <w:t>nalizuo</w:t>
      </w:r>
      <w:r>
        <w:rPr>
          <w:rFonts w:ascii="Times New Roman" w:hAnsi="Times New Roman"/>
          <w:iCs/>
          <w:sz w:val="24"/>
          <w:szCs w:val="24"/>
        </w:rPr>
        <w:t>jant</w:t>
      </w:r>
      <w:r w:rsidR="00CF6904">
        <w:rPr>
          <w:rFonts w:ascii="Times New Roman" w:hAnsi="Times New Roman"/>
          <w:iCs/>
          <w:sz w:val="24"/>
          <w:szCs w:val="24"/>
        </w:rPr>
        <w:t xml:space="preserve"> </w:t>
      </w:r>
      <w:r w:rsidR="0023430A" w:rsidRPr="0023430A">
        <w:rPr>
          <w:rFonts w:ascii="Times New Roman" w:hAnsi="Times New Roman"/>
          <w:iCs/>
          <w:sz w:val="24"/>
          <w:szCs w:val="24"/>
        </w:rPr>
        <w:t xml:space="preserve">peticijoje pateiktus siūlymus keisti </w:t>
      </w:r>
      <w:r w:rsidR="008C7E48" w:rsidRPr="008C7E48">
        <w:rPr>
          <w:rFonts w:ascii="Times New Roman" w:hAnsi="Times New Roman"/>
          <w:iCs/>
          <w:sz w:val="24"/>
          <w:szCs w:val="24"/>
        </w:rPr>
        <w:t>Baudžiamojo proceso kodekso</w:t>
      </w:r>
      <w:r w:rsidR="0023430A" w:rsidRPr="0023430A">
        <w:rPr>
          <w:rFonts w:ascii="Times New Roman" w:hAnsi="Times New Roman"/>
          <w:iCs/>
          <w:sz w:val="24"/>
          <w:szCs w:val="24"/>
        </w:rPr>
        <w:t xml:space="preserve"> 170 straipsnyje 4 dalyje numatyt</w:t>
      </w:r>
      <w:r w:rsidR="00CF6904">
        <w:rPr>
          <w:rFonts w:ascii="Times New Roman" w:hAnsi="Times New Roman"/>
          <w:iCs/>
          <w:sz w:val="24"/>
          <w:szCs w:val="24"/>
        </w:rPr>
        <w:t>ą teisinį reglamentavimą, atkreip</w:t>
      </w:r>
      <w:r>
        <w:rPr>
          <w:rFonts w:ascii="Times New Roman" w:hAnsi="Times New Roman"/>
          <w:iCs/>
          <w:sz w:val="24"/>
          <w:szCs w:val="24"/>
        </w:rPr>
        <w:t>tinas</w:t>
      </w:r>
      <w:r w:rsidR="00CF6904">
        <w:rPr>
          <w:rFonts w:ascii="Times New Roman" w:hAnsi="Times New Roman"/>
          <w:iCs/>
          <w:sz w:val="24"/>
          <w:szCs w:val="24"/>
        </w:rPr>
        <w:t xml:space="preserve"> dėmes</w:t>
      </w:r>
      <w:r>
        <w:rPr>
          <w:rFonts w:ascii="Times New Roman" w:hAnsi="Times New Roman"/>
          <w:iCs/>
          <w:sz w:val="24"/>
          <w:szCs w:val="24"/>
        </w:rPr>
        <w:t>ys</w:t>
      </w:r>
      <w:r w:rsidR="00CF6904">
        <w:rPr>
          <w:rFonts w:ascii="Times New Roman" w:hAnsi="Times New Roman"/>
          <w:iCs/>
          <w:sz w:val="24"/>
          <w:szCs w:val="24"/>
        </w:rPr>
        <w:t xml:space="preserve"> į tai</w:t>
      </w:r>
      <w:r w:rsidR="0023430A" w:rsidRPr="0023430A">
        <w:rPr>
          <w:rFonts w:ascii="Times New Roman" w:hAnsi="Times New Roman"/>
          <w:iCs/>
          <w:sz w:val="24"/>
          <w:szCs w:val="24"/>
        </w:rPr>
        <w:t xml:space="preserve">, kad nurodytose nuostatose įtvirtinti procesiniai sprendimai taip pat yra priskirtini prokuroro išimtinei kompetencijai – jiems yra taikoma iš esmės panaši apskundimo tvarka, todėl pateikti siūlymai pakeisti </w:t>
      </w:r>
      <w:r w:rsidR="008C7E48" w:rsidRPr="008C7E48">
        <w:rPr>
          <w:rFonts w:ascii="Times New Roman" w:hAnsi="Times New Roman"/>
          <w:iCs/>
          <w:sz w:val="24"/>
          <w:szCs w:val="24"/>
        </w:rPr>
        <w:t>Baudžiamojo proceso kodekso</w:t>
      </w:r>
      <w:r w:rsidR="0023430A" w:rsidRPr="0023430A">
        <w:rPr>
          <w:rFonts w:ascii="Times New Roman" w:hAnsi="Times New Roman"/>
          <w:iCs/>
          <w:sz w:val="24"/>
          <w:szCs w:val="24"/>
        </w:rPr>
        <w:t xml:space="preserve"> 170 straipsnio 4 dalį, išbraukiant žodį </w:t>
      </w:r>
      <w:r w:rsidR="0023430A" w:rsidRPr="008708FA">
        <w:rPr>
          <w:rFonts w:ascii="Times New Roman" w:hAnsi="Times New Roman"/>
          <w:iCs/>
          <w:sz w:val="24"/>
          <w:szCs w:val="24"/>
        </w:rPr>
        <w:t>„</w:t>
      </w:r>
      <w:r w:rsidR="0023430A" w:rsidRPr="008708FA">
        <w:rPr>
          <w:rFonts w:ascii="Times New Roman" w:hAnsi="Times New Roman"/>
          <w:sz w:val="24"/>
          <w:szCs w:val="24"/>
        </w:rPr>
        <w:t>tik</w:t>
      </w:r>
      <w:r w:rsidR="0023430A" w:rsidRPr="008708FA">
        <w:rPr>
          <w:rFonts w:ascii="Times New Roman" w:hAnsi="Times New Roman"/>
          <w:iCs/>
          <w:sz w:val="24"/>
          <w:szCs w:val="24"/>
        </w:rPr>
        <w:t>“</w:t>
      </w:r>
      <w:r w:rsidR="0023430A" w:rsidRPr="0023430A">
        <w:rPr>
          <w:rFonts w:ascii="Times New Roman" w:hAnsi="Times New Roman"/>
          <w:iCs/>
          <w:sz w:val="24"/>
          <w:szCs w:val="24"/>
        </w:rPr>
        <w:t xml:space="preserve"> [prokuroras priima sprendimą: &lt;...&gt;] kritikuotini analogiškais aspektais. Be kita ko, iš esmės tapačios teisėkūros iniciatyvos net du kartus buvo svarstomos Seime ir abiem kartais joms nebuvo pritarta, identifikuojant rizikas, kad siūlomas teisinis reguliavimas galimai pažeistų Konstitucijoje įtvirtint</w:t>
      </w:r>
      <w:r w:rsidR="005B7CE5">
        <w:rPr>
          <w:rFonts w:ascii="Times New Roman" w:hAnsi="Times New Roman"/>
          <w:iCs/>
          <w:sz w:val="24"/>
          <w:szCs w:val="24"/>
        </w:rPr>
        <w:t>ą</w:t>
      </w:r>
      <w:r w:rsidR="0023430A" w:rsidRPr="0023430A">
        <w:rPr>
          <w:rFonts w:ascii="Times New Roman" w:hAnsi="Times New Roman"/>
          <w:iCs/>
          <w:sz w:val="24"/>
          <w:szCs w:val="24"/>
        </w:rPr>
        <w:t xml:space="preserve"> prokuroro išimtinę kompetenciją – organizuoti ikiteisminį tyrimą ir jam vadovauti. </w:t>
      </w:r>
    </w:p>
    <w:p w:rsidR="0023430A" w:rsidRPr="0023430A" w:rsidRDefault="0023430A" w:rsidP="0023430A">
      <w:pPr>
        <w:spacing w:line="360" w:lineRule="auto"/>
        <w:ind w:firstLine="851"/>
        <w:jc w:val="both"/>
        <w:rPr>
          <w:rFonts w:ascii="Times New Roman" w:hAnsi="Times New Roman"/>
          <w:iCs/>
          <w:sz w:val="24"/>
          <w:szCs w:val="24"/>
        </w:rPr>
      </w:pPr>
      <w:r w:rsidRPr="0023430A">
        <w:rPr>
          <w:rFonts w:ascii="Times New Roman" w:hAnsi="Times New Roman"/>
          <w:iCs/>
          <w:sz w:val="24"/>
          <w:szCs w:val="24"/>
        </w:rPr>
        <w:t xml:space="preserve">Atsižvelgiant į išdėstytus </w:t>
      </w:r>
      <w:r w:rsidR="00512361">
        <w:rPr>
          <w:rFonts w:ascii="Times New Roman" w:hAnsi="Times New Roman"/>
          <w:iCs/>
          <w:sz w:val="24"/>
          <w:szCs w:val="24"/>
        </w:rPr>
        <w:t>argumentus</w:t>
      </w:r>
      <w:r w:rsidRPr="0023430A">
        <w:rPr>
          <w:rFonts w:ascii="Times New Roman" w:hAnsi="Times New Roman"/>
          <w:iCs/>
          <w:sz w:val="24"/>
          <w:szCs w:val="24"/>
        </w:rPr>
        <w:t xml:space="preserve">, darytina išvada, kad </w:t>
      </w:r>
      <w:r w:rsidR="007A720C">
        <w:rPr>
          <w:rFonts w:ascii="Times New Roman" w:hAnsi="Times New Roman"/>
          <w:iCs/>
          <w:sz w:val="24"/>
          <w:szCs w:val="24"/>
        </w:rPr>
        <w:t>p</w:t>
      </w:r>
      <w:r w:rsidRPr="0023430A">
        <w:rPr>
          <w:rFonts w:ascii="Times New Roman" w:hAnsi="Times New Roman"/>
          <w:iCs/>
          <w:sz w:val="24"/>
          <w:szCs w:val="24"/>
        </w:rPr>
        <w:t xml:space="preserve">areiškėjos pateikti </w:t>
      </w:r>
      <w:r w:rsidR="00512361">
        <w:rPr>
          <w:rFonts w:ascii="Times New Roman" w:hAnsi="Times New Roman"/>
          <w:iCs/>
          <w:sz w:val="24"/>
          <w:szCs w:val="24"/>
        </w:rPr>
        <w:t>pa</w:t>
      </w:r>
      <w:r w:rsidRPr="0023430A">
        <w:rPr>
          <w:rFonts w:ascii="Times New Roman" w:hAnsi="Times New Roman"/>
          <w:iCs/>
          <w:sz w:val="24"/>
          <w:szCs w:val="24"/>
        </w:rPr>
        <w:t>siūlymai reformuoti šiuo metu esantį teisinį reguliavimą yra nepagrįsti.</w:t>
      </w:r>
    </w:p>
    <w:p w:rsidR="0023430A" w:rsidRPr="0023430A" w:rsidRDefault="0023430A" w:rsidP="0023430A">
      <w:pPr>
        <w:spacing w:line="360" w:lineRule="auto"/>
        <w:ind w:firstLine="851"/>
        <w:jc w:val="both"/>
        <w:rPr>
          <w:rFonts w:ascii="Times New Roman" w:hAnsi="Times New Roman"/>
          <w:iCs/>
          <w:sz w:val="24"/>
          <w:szCs w:val="24"/>
        </w:rPr>
      </w:pPr>
      <w:r w:rsidRPr="0023430A">
        <w:rPr>
          <w:rFonts w:ascii="Times New Roman" w:hAnsi="Times New Roman"/>
          <w:i/>
          <w:sz w:val="24"/>
          <w:szCs w:val="24"/>
        </w:rPr>
        <w:t xml:space="preserve">Dėl siūlymo panaikinti </w:t>
      </w:r>
      <w:r w:rsidR="008C7E48" w:rsidRPr="008C7E48">
        <w:rPr>
          <w:rFonts w:ascii="Times New Roman" w:hAnsi="Times New Roman"/>
          <w:i/>
          <w:sz w:val="24"/>
          <w:szCs w:val="24"/>
        </w:rPr>
        <w:t>Baudžiamojo proceso kodekso</w:t>
      </w:r>
      <w:r w:rsidRPr="0023430A">
        <w:rPr>
          <w:rFonts w:ascii="Times New Roman" w:hAnsi="Times New Roman"/>
          <w:i/>
          <w:sz w:val="24"/>
          <w:szCs w:val="24"/>
        </w:rPr>
        <w:t xml:space="preserve"> 168 straipsnio 4 dalį </w:t>
      </w:r>
    </w:p>
    <w:p w:rsidR="0023430A" w:rsidRPr="0023430A" w:rsidRDefault="0023430A" w:rsidP="0023430A">
      <w:pPr>
        <w:spacing w:line="360" w:lineRule="auto"/>
        <w:ind w:firstLine="851"/>
        <w:jc w:val="both"/>
        <w:rPr>
          <w:rFonts w:ascii="Times New Roman" w:hAnsi="Times New Roman"/>
          <w:iCs/>
          <w:sz w:val="24"/>
          <w:szCs w:val="24"/>
        </w:rPr>
      </w:pPr>
      <w:r w:rsidRPr="0023430A">
        <w:rPr>
          <w:rFonts w:ascii="Times New Roman" w:hAnsi="Times New Roman"/>
          <w:iCs/>
          <w:sz w:val="24"/>
          <w:szCs w:val="24"/>
        </w:rPr>
        <w:t xml:space="preserve">Pažymėtina, kad peticijoje nurodoma, kad šiuo metu galiojančios </w:t>
      </w:r>
      <w:r w:rsidR="008C7E48" w:rsidRPr="008C7E48">
        <w:rPr>
          <w:rFonts w:ascii="Times New Roman" w:hAnsi="Times New Roman"/>
          <w:iCs/>
          <w:sz w:val="24"/>
          <w:szCs w:val="24"/>
        </w:rPr>
        <w:t>Baudžiamojo proceso kodekso</w:t>
      </w:r>
      <w:r w:rsidRPr="0023430A">
        <w:rPr>
          <w:rFonts w:ascii="Times New Roman" w:hAnsi="Times New Roman"/>
          <w:iCs/>
          <w:sz w:val="24"/>
          <w:szCs w:val="24"/>
        </w:rPr>
        <w:t xml:space="preserve"> 168 straipsnio 4 dalies nuostatos, kuriose numatyta skundą, pareiškimą ar pranešimą padavusio asmens teisė susipažinti su visa medžiaga, kurios pagrindu buvo priimtas ikiteisminio tyrimo pareigūno ar prokuroro nutarimas atsisakyti pradėti ikiteisminį tyrimą, sudaro pagrindą piktnaudžiauti procesinėmis teisėmis (pavyzdžiui, tuo atveju, kai pranešama apie nebūtą nusikaltimą) ir nepagrįstai susipažinti su ikiteisminio tyrimo institucijų surinkta informacija apie trečiuosius asmenis. Tuo tarpu asmenys, kurių veiksmai ar neveikimas buvo nepagrįstai skundžiami</w:t>
      </w:r>
      <w:r w:rsidR="007621D2">
        <w:rPr>
          <w:rFonts w:ascii="Times New Roman" w:hAnsi="Times New Roman"/>
          <w:iCs/>
          <w:sz w:val="24"/>
          <w:szCs w:val="24"/>
        </w:rPr>
        <w:t>,</w:t>
      </w:r>
      <w:r w:rsidRPr="0023430A">
        <w:rPr>
          <w:rFonts w:ascii="Times New Roman" w:hAnsi="Times New Roman"/>
          <w:iCs/>
          <w:sz w:val="24"/>
          <w:szCs w:val="24"/>
        </w:rPr>
        <w:t xml:space="preserve"> ne tik negali susipažinti su ikiteisminio tyrimo medžiaga, bet gali net nežinoti apie tai, kad apie jį, jo veiklą buvo renkami duomenys pagal nepagrįstą pareiškėjo skundą. Be kita ko, ikiteisminio tyrimo pradėjimo ar atsisakymo jį pradėti procesinėje stadijoje asmuo, pateikęs skundą, pareiškimą ar pranešimą apie nusikalstamą veiką, netampa baudžiamojo proceso dalyviu arba ikiteisminio tyrimo dalyviu, todėl naikintina šiuo metu galiojan</w:t>
      </w:r>
      <w:r w:rsidR="007621D2">
        <w:rPr>
          <w:rFonts w:ascii="Times New Roman" w:hAnsi="Times New Roman"/>
          <w:iCs/>
          <w:sz w:val="24"/>
          <w:szCs w:val="24"/>
        </w:rPr>
        <w:t xml:space="preserve">čios </w:t>
      </w:r>
      <w:r w:rsidR="008C7E48" w:rsidRPr="008C7E48">
        <w:rPr>
          <w:rFonts w:ascii="Times New Roman" w:hAnsi="Times New Roman"/>
          <w:iCs/>
          <w:sz w:val="24"/>
          <w:szCs w:val="24"/>
        </w:rPr>
        <w:t>Baudžiamojo proceso kodekso</w:t>
      </w:r>
      <w:r w:rsidR="007621D2">
        <w:rPr>
          <w:rFonts w:ascii="Times New Roman" w:hAnsi="Times New Roman"/>
          <w:iCs/>
          <w:sz w:val="24"/>
          <w:szCs w:val="24"/>
        </w:rPr>
        <w:t xml:space="preserve"> 168 straipsnio 4 dalis, </w:t>
      </w:r>
      <w:r w:rsidRPr="0023430A">
        <w:rPr>
          <w:rFonts w:ascii="Times New Roman" w:hAnsi="Times New Roman"/>
          <w:iCs/>
          <w:sz w:val="24"/>
          <w:szCs w:val="24"/>
        </w:rPr>
        <w:t>numatanti teisę skundą, pareiškimą ar pranešimą padavusiam asmeniui susipažinti su visa medžiaga, kurios pagrindu buvo atsisakyta pradėti ikiteisminį tyrimą.</w:t>
      </w:r>
    </w:p>
    <w:p w:rsidR="0023430A" w:rsidRPr="0023430A" w:rsidRDefault="0023430A" w:rsidP="0023430A">
      <w:pPr>
        <w:spacing w:line="360" w:lineRule="auto"/>
        <w:ind w:firstLine="851"/>
        <w:jc w:val="both"/>
        <w:rPr>
          <w:rFonts w:ascii="Times New Roman" w:hAnsi="Times New Roman"/>
          <w:iCs/>
          <w:sz w:val="24"/>
          <w:szCs w:val="24"/>
        </w:rPr>
      </w:pPr>
      <w:r w:rsidRPr="0023430A">
        <w:rPr>
          <w:rFonts w:ascii="Times New Roman" w:hAnsi="Times New Roman"/>
          <w:iCs/>
          <w:sz w:val="24"/>
          <w:szCs w:val="24"/>
        </w:rPr>
        <w:t xml:space="preserve">Kaip jau buvo minėta, Konstitucinis Teismas ne kartą yra išaiškinęs, </w:t>
      </w:r>
      <w:r w:rsidR="004C6A2B">
        <w:rPr>
          <w:rFonts w:ascii="Times New Roman" w:hAnsi="Times New Roman"/>
          <w:iCs/>
          <w:sz w:val="24"/>
          <w:szCs w:val="24"/>
        </w:rPr>
        <w:t>kad</w:t>
      </w:r>
      <w:r w:rsidRPr="0023430A">
        <w:rPr>
          <w:rFonts w:ascii="Times New Roman" w:hAnsi="Times New Roman"/>
          <w:iCs/>
          <w:sz w:val="24"/>
          <w:szCs w:val="24"/>
        </w:rPr>
        <w:t xml:space="preserve"> asmenų teisė kreiptis </w:t>
      </w:r>
      <w:r w:rsidRPr="0020504F">
        <w:rPr>
          <w:rFonts w:ascii="Times New Roman" w:hAnsi="Times New Roman"/>
          <w:sz w:val="24"/>
          <w:szCs w:val="24"/>
        </w:rPr>
        <w:t>į teismą yra absoliuti</w:t>
      </w:r>
      <w:r w:rsidRPr="0023430A">
        <w:rPr>
          <w:rFonts w:ascii="Times New Roman" w:hAnsi="Times New Roman"/>
          <w:iCs/>
          <w:sz w:val="24"/>
          <w:szCs w:val="24"/>
        </w:rPr>
        <w:t xml:space="preserve">. Konstitucijos 30 straipsnio 1 dalies nuostata, kad asmuo, kurio konstitucinės teisės ar laisvės pažeidžiamos, turi teisę kreiptis į teismą, reiškia, </w:t>
      </w:r>
      <w:r w:rsidR="004C6A2B">
        <w:rPr>
          <w:rFonts w:ascii="Times New Roman" w:hAnsi="Times New Roman"/>
          <w:iCs/>
          <w:sz w:val="24"/>
          <w:szCs w:val="24"/>
        </w:rPr>
        <w:t>kad</w:t>
      </w:r>
      <w:r w:rsidRPr="0023430A">
        <w:rPr>
          <w:rFonts w:ascii="Times New Roman" w:hAnsi="Times New Roman"/>
          <w:iCs/>
          <w:sz w:val="24"/>
          <w:szCs w:val="24"/>
        </w:rPr>
        <w:t xml:space="preserve"> Lietuvoje, kaip teisinėje valstybėje, kiekvienam turi būti užtikrinta galimybė savo teises ginti teisme tiek nuo kitų asmenų, tiek nuo neteisėtų valstybės institucijų ar pareigūnų veiksmų</w:t>
      </w:r>
      <w:r w:rsidR="00DE4D49">
        <w:rPr>
          <w:rFonts w:ascii="Times New Roman" w:hAnsi="Times New Roman"/>
          <w:iCs/>
          <w:sz w:val="24"/>
          <w:szCs w:val="24"/>
        </w:rPr>
        <w:t xml:space="preserve"> (</w:t>
      </w:r>
      <w:r w:rsidR="00DE4D49" w:rsidRPr="00DE4D49">
        <w:rPr>
          <w:rFonts w:ascii="Times New Roman" w:hAnsi="Times New Roman"/>
          <w:iCs/>
          <w:sz w:val="24"/>
          <w:szCs w:val="24"/>
        </w:rPr>
        <w:t>Konstitucinio Teismo 1997 m. spalio 1 d., 2003 m. kovo 4 d., 2004 m. rugpj</w:t>
      </w:r>
      <w:r w:rsidR="00DE4D49" w:rsidRPr="00DE4D49">
        <w:rPr>
          <w:rFonts w:ascii="Times New Roman" w:hAnsi="Times New Roman" w:hint="eastAsia"/>
          <w:iCs/>
          <w:sz w:val="24"/>
          <w:szCs w:val="24"/>
        </w:rPr>
        <w:t>ūč</w:t>
      </w:r>
      <w:r w:rsidR="00DE4D49">
        <w:rPr>
          <w:rFonts w:ascii="Times New Roman" w:hAnsi="Times New Roman"/>
          <w:iCs/>
          <w:sz w:val="24"/>
          <w:szCs w:val="24"/>
        </w:rPr>
        <w:t>io 17 d. nutarimai)</w:t>
      </w:r>
      <w:r w:rsidRPr="0023430A">
        <w:rPr>
          <w:rFonts w:ascii="Times New Roman" w:hAnsi="Times New Roman"/>
          <w:iCs/>
          <w:sz w:val="24"/>
          <w:szCs w:val="24"/>
        </w:rPr>
        <w:t>. Teisę ginti savo teises ir laisves teisme turi kiekvienas asmuo, manantis, kad jo teisės ar laisvės pažeistos, – teisės kreiptis į teismą įgyvendinimą lemia paties asmens suvokimas, kad jo teisės ar laisvės pažeidžiamos. Asmens konstitucinė teisė kreiptis į teismą negali būti dirbtinai suvaržoma, taip pat negali būti nepagrįstai pasunkinamas jos įgyvendinimas</w:t>
      </w:r>
      <w:r w:rsidR="00DE4D49">
        <w:rPr>
          <w:rFonts w:ascii="Times New Roman" w:hAnsi="Times New Roman"/>
          <w:iCs/>
          <w:sz w:val="24"/>
          <w:szCs w:val="24"/>
        </w:rPr>
        <w:t xml:space="preserve"> (</w:t>
      </w:r>
      <w:r w:rsidR="00DE4D49" w:rsidRPr="00DE4D49">
        <w:rPr>
          <w:rFonts w:ascii="Times New Roman" w:hAnsi="Times New Roman"/>
          <w:iCs/>
          <w:sz w:val="24"/>
          <w:szCs w:val="24"/>
        </w:rPr>
        <w:t>Konstitucinio Teismo 2000 m. birželio 30 d., 2004 m. rugpj</w:t>
      </w:r>
      <w:r w:rsidR="00DE4D49" w:rsidRPr="00DE4D49">
        <w:rPr>
          <w:rFonts w:ascii="Times New Roman" w:hAnsi="Times New Roman" w:hint="eastAsia"/>
          <w:iCs/>
          <w:sz w:val="24"/>
          <w:szCs w:val="24"/>
        </w:rPr>
        <w:t>ūč</w:t>
      </w:r>
      <w:r w:rsidR="00DE4D49" w:rsidRPr="00DE4D49">
        <w:rPr>
          <w:rFonts w:ascii="Times New Roman" w:hAnsi="Times New Roman"/>
          <w:iCs/>
          <w:sz w:val="24"/>
          <w:szCs w:val="24"/>
        </w:rPr>
        <w:t>io 17 d., 2004 m. gruodžio 13 d.,</w:t>
      </w:r>
      <w:r w:rsidR="00DE4D49">
        <w:rPr>
          <w:rFonts w:ascii="Times New Roman" w:hAnsi="Times New Roman"/>
          <w:iCs/>
          <w:sz w:val="24"/>
          <w:szCs w:val="24"/>
        </w:rPr>
        <w:t xml:space="preserve"> 2005 m. vasario 7 d. nutarimai)</w:t>
      </w:r>
      <w:r w:rsidRPr="0023430A">
        <w:rPr>
          <w:rFonts w:ascii="Times New Roman" w:hAnsi="Times New Roman"/>
          <w:iCs/>
          <w:sz w:val="24"/>
          <w:szCs w:val="24"/>
        </w:rPr>
        <w:t>.</w:t>
      </w:r>
      <w:r w:rsidR="009A15E1">
        <w:rPr>
          <w:rFonts w:ascii="Times New Roman" w:hAnsi="Times New Roman"/>
          <w:iCs/>
          <w:sz w:val="24"/>
          <w:szCs w:val="24"/>
        </w:rPr>
        <w:t xml:space="preserve"> </w:t>
      </w:r>
      <w:r w:rsidRPr="0023430A">
        <w:rPr>
          <w:rFonts w:ascii="Times New Roman" w:hAnsi="Times New Roman"/>
          <w:iCs/>
          <w:sz w:val="24"/>
          <w:szCs w:val="24"/>
        </w:rPr>
        <w:t xml:space="preserve"> Priešingu atveju tektų konstatuoti šios konstitucinės teisės </w:t>
      </w:r>
      <w:proofErr w:type="spellStart"/>
      <w:r w:rsidRPr="0023430A">
        <w:rPr>
          <w:rFonts w:ascii="Times New Roman" w:hAnsi="Times New Roman"/>
          <w:iCs/>
          <w:sz w:val="24"/>
          <w:szCs w:val="24"/>
        </w:rPr>
        <w:t>deklaratyvumą</w:t>
      </w:r>
      <w:proofErr w:type="spellEnd"/>
      <w:r w:rsidR="00DE4D49">
        <w:rPr>
          <w:rFonts w:ascii="Times New Roman" w:hAnsi="Times New Roman"/>
          <w:iCs/>
          <w:sz w:val="24"/>
          <w:szCs w:val="24"/>
        </w:rPr>
        <w:t xml:space="preserve"> (</w:t>
      </w:r>
      <w:r w:rsidR="00DE4D49" w:rsidRPr="00DE4D49">
        <w:rPr>
          <w:rFonts w:ascii="Times New Roman" w:hAnsi="Times New Roman"/>
          <w:iCs/>
          <w:sz w:val="24"/>
          <w:szCs w:val="24"/>
        </w:rPr>
        <w:t>Konstitucinio Teismo 1994 m. vasario 14 d., 200</w:t>
      </w:r>
      <w:r w:rsidR="00DE4D49">
        <w:rPr>
          <w:rFonts w:ascii="Times New Roman" w:hAnsi="Times New Roman"/>
          <w:iCs/>
          <w:sz w:val="24"/>
          <w:szCs w:val="24"/>
        </w:rPr>
        <w:t>1 m. vasario 22 d. nutarimai)</w:t>
      </w:r>
      <w:r w:rsidRPr="0023430A">
        <w:rPr>
          <w:rFonts w:ascii="Times New Roman" w:hAnsi="Times New Roman"/>
          <w:iCs/>
          <w:sz w:val="24"/>
          <w:szCs w:val="24"/>
        </w:rPr>
        <w:t xml:space="preserve">. Be kita ko, Konstitucinis Teismas yra pažymėjęs ir tai, kad demokratinėje teisinėje valstybėje pareigūnai ir institucijos turi vadovautis įstatymu ir teise. &lt;...&gt; Valdžios atsakomybė visuomenei – teisinės valstybės principas, kuris konstituciškai įtvirtinamas nustatant, kad valdžios įstaigos tarnauja žmonėms, o piliečiai turi teisę &lt;...&gt; kritikuoti valstybės įstaigų ar pareigūnų darbą, </w:t>
      </w:r>
      <w:r w:rsidRPr="005B6C28">
        <w:rPr>
          <w:rFonts w:ascii="Times New Roman" w:hAnsi="Times New Roman"/>
          <w:sz w:val="24"/>
          <w:szCs w:val="24"/>
        </w:rPr>
        <w:t>apskųsti jų sprendimus, taip pat garantuojant piliečiams galimybę ginti savo teises teisme</w:t>
      </w:r>
      <w:r w:rsidR="00DE4D49">
        <w:rPr>
          <w:rFonts w:ascii="Times New Roman" w:hAnsi="Times New Roman"/>
          <w:i/>
          <w:sz w:val="24"/>
          <w:szCs w:val="24"/>
        </w:rPr>
        <w:t xml:space="preserve"> </w:t>
      </w:r>
      <w:r w:rsidR="00DE4D49" w:rsidRPr="009A15E1">
        <w:rPr>
          <w:rFonts w:ascii="Times New Roman" w:hAnsi="Times New Roman"/>
          <w:sz w:val="24"/>
          <w:szCs w:val="24"/>
        </w:rPr>
        <w:t>(Konstitucinio Teismo 1999 m. geguž</w:t>
      </w:r>
      <w:r w:rsidR="00DE4D49" w:rsidRPr="009A15E1">
        <w:rPr>
          <w:rFonts w:ascii="Times New Roman" w:hAnsi="Times New Roman" w:hint="eastAsia"/>
          <w:sz w:val="24"/>
          <w:szCs w:val="24"/>
        </w:rPr>
        <w:t>ė</w:t>
      </w:r>
      <w:r w:rsidR="00DE4D49" w:rsidRPr="009A15E1">
        <w:rPr>
          <w:rFonts w:ascii="Times New Roman" w:hAnsi="Times New Roman"/>
          <w:sz w:val="24"/>
          <w:szCs w:val="24"/>
        </w:rPr>
        <w:t>s 11 d. nutarimas)</w:t>
      </w:r>
      <w:r w:rsidRPr="009A15E1">
        <w:rPr>
          <w:rFonts w:ascii="Times New Roman" w:hAnsi="Times New Roman"/>
          <w:iCs/>
          <w:sz w:val="24"/>
          <w:szCs w:val="24"/>
        </w:rPr>
        <w:t>.</w:t>
      </w:r>
      <w:r w:rsidRPr="0023430A">
        <w:rPr>
          <w:rFonts w:ascii="Times New Roman" w:hAnsi="Times New Roman"/>
          <w:iCs/>
          <w:sz w:val="24"/>
          <w:szCs w:val="24"/>
        </w:rPr>
        <w:t xml:space="preserve"> </w:t>
      </w:r>
    </w:p>
    <w:p w:rsidR="0023430A" w:rsidRPr="0023430A" w:rsidRDefault="0023430A" w:rsidP="0023430A">
      <w:pPr>
        <w:spacing w:line="360" w:lineRule="auto"/>
        <w:ind w:firstLine="851"/>
        <w:jc w:val="both"/>
        <w:rPr>
          <w:rFonts w:ascii="Times New Roman" w:hAnsi="Times New Roman"/>
          <w:iCs/>
          <w:sz w:val="24"/>
          <w:szCs w:val="24"/>
        </w:rPr>
      </w:pPr>
      <w:r w:rsidRPr="0023430A">
        <w:rPr>
          <w:rFonts w:ascii="Times New Roman" w:hAnsi="Times New Roman"/>
          <w:iCs/>
          <w:sz w:val="24"/>
          <w:szCs w:val="24"/>
        </w:rPr>
        <w:t xml:space="preserve">Savo ruožtu, </w:t>
      </w:r>
      <w:r w:rsidR="008C7E48" w:rsidRPr="008C7E48">
        <w:rPr>
          <w:rFonts w:ascii="Times New Roman" w:hAnsi="Times New Roman"/>
          <w:iCs/>
          <w:sz w:val="24"/>
          <w:szCs w:val="24"/>
        </w:rPr>
        <w:t>Baudžiamojo proceso kodekso</w:t>
      </w:r>
      <w:r w:rsidRPr="0023430A">
        <w:rPr>
          <w:rFonts w:ascii="Times New Roman" w:hAnsi="Times New Roman"/>
          <w:iCs/>
          <w:sz w:val="24"/>
          <w:szCs w:val="24"/>
        </w:rPr>
        <w:t xml:space="preserve"> 168 straipsnio 4 dalyje teigiama, kad atsisakius pradėti ikiteisminį tyrimą, skundą, pareiškimą ar pranešimą padavęs asmuo turi teisę susipažinti su visa medžiaga, kurios pagrindu buvo priimtas ikiteisminio tyrimo pareigūno ar prokuroro nutarimas atsisakyti pradėti ikiteisminį tyrimą, ar jos dalimi, taip pat susipažinimo metu daryti šios medžiagos kopijas ar išrašus. &lt;...&gt; Ikiteisminio tyrimo įstaigos (jos padalinio) vadovas ar prokuroras nurodo, </w:t>
      </w:r>
      <w:r w:rsidRPr="005B66A5">
        <w:rPr>
          <w:rFonts w:ascii="Times New Roman" w:hAnsi="Times New Roman"/>
          <w:sz w:val="24"/>
          <w:szCs w:val="24"/>
        </w:rPr>
        <w:t>su kokios apimties medžiaga skundą, pareiškimą ar pranešimą padavusiam asmeniui leidžiama susipažinti</w:t>
      </w:r>
      <w:r w:rsidRPr="005B66A5">
        <w:rPr>
          <w:rFonts w:ascii="Times New Roman" w:hAnsi="Times New Roman"/>
          <w:iCs/>
          <w:sz w:val="24"/>
          <w:szCs w:val="24"/>
        </w:rPr>
        <w:t>.</w:t>
      </w:r>
      <w:r w:rsidRPr="0023430A">
        <w:rPr>
          <w:rFonts w:ascii="Times New Roman" w:hAnsi="Times New Roman"/>
          <w:iCs/>
          <w:sz w:val="24"/>
          <w:szCs w:val="24"/>
        </w:rPr>
        <w:t xml:space="preserve"> Susipažinimo su šioje dalyje nurodyta medžiaga metu taip pat taikomi šio Kodekso 181 straipsnio 6 dalyje nurodyti draudimai. </w:t>
      </w:r>
      <w:r w:rsidR="008C7E48" w:rsidRPr="008C7E48">
        <w:rPr>
          <w:rFonts w:ascii="Times New Roman" w:hAnsi="Times New Roman"/>
          <w:iCs/>
          <w:sz w:val="24"/>
          <w:szCs w:val="24"/>
        </w:rPr>
        <w:t>Baudžiamojo proceso kodekso</w:t>
      </w:r>
      <w:r w:rsidRPr="0023430A">
        <w:rPr>
          <w:rFonts w:ascii="Times New Roman" w:hAnsi="Times New Roman"/>
          <w:iCs/>
          <w:sz w:val="24"/>
          <w:szCs w:val="24"/>
        </w:rPr>
        <w:t xml:space="preserve"> 181 straipsnio 6 dalyje teigiama, kad susipažinimo su ikiteisminio tyrimo medžiaga metu draudžiama daryti ikiteisminio tyrimo medžiagos kopijas, kai duomenys yra: 1) apie nepilnamečius įtariamuosius ir nukentėjusiuosius; 2) apie privatų proceso dalyvių gyvenimą; 3) dėl nusikalstamų veikų žmogaus seksualinio apsisprendimo laisvei ir neliečiamumui; 4) užfiksuoti proceso veiksmų protokoluose ir jų prieduose (nuotraukose, negatyvuose, garso, vaizdo įrašuose, skaitmeninės informacijos laikmenose ir kitaip fiksuojant techninių priemonių panaudojimo rezultatus), kai informacija gauta panaudojus kriminalinės žvalgybos informacijos rinkimo būdus ir priemones Lietuvos Respublikos kriminalinės žvalgybos įstatymo ar šio Kodekso 154, 155, 158, 159, 160 straipsniuose nustatyta tvarka; 5) informacija, kuri sudaro valstybės, tarnybos, profesinę ar komercinę paslaptį. Šiuo atveju draudžiama daryti ir ikiteisminio tyrimo medžiagos išrašus.</w:t>
      </w:r>
    </w:p>
    <w:p w:rsidR="0023430A" w:rsidRDefault="006A5E91" w:rsidP="0023430A">
      <w:pPr>
        <w:spacing w:line="360" w:lineRule="auto"/>
        <w:ind w:firstLine="851"/>
        <w:jc w:val="both"/>
        <w:rPr>
          <w:rFonts w:ascii="Times New Roman" w:hAnsi="Times New Roman"/>
          <w:iCs/>
          <w:sz w:val="24"/>
          <w:szCs w:val="24"/>
        </w:rPr>
      </w:pPr>
      <w:r>
        <w:rPr>
          <w:rFonts w:ascii="Times New Roman" w:hAnsi="Times New Roman"/>
          <w:iCs/>
          <w:sz w:val="24"/>
          <w:szCs w:val="24"/>
        </w:rPr>
        <w:t>A</w:t>
      </w:r>
      <w:r w:rsidR="0023430A" w:rsidRPr="0023430A">
        <w:rPr>
          <w:rFonts w:ascii="Times New Roman" w:hAnsi="Times New Roman"/>
          <w:iCs/>
          <w:sz w:val="24"/>
          <w:szCs w:val="24"/>
        </w:rPr>
        <w:t>tkreip</w:t>
      </w:r>
      <w:r>
        <w:rPr>
          <w:rFonts w:ascii="Times New Roman" w:hAnsi="Times New Roman"/>
          <w:iCs/>
          <w:sz w:val="24"/>
          <w:szCs w:val="24"/>
        </w:rPr>
        <w:t>tina</w:t>
      </w:r>
      <w:r w:rsidR="008448D6">
        <w:rPr>
          <w:rFonts w:ascii="Times New Roman" w:hAnsi="Times New Roman"/>
          <w:iCs/>
          <w:sz w:val="24"/>
          <w:szCs w:val="24"/>
        </w:rPr>
        <w:t>s</w:t>
      </w:r>
      <w:r>
        <w:rPr>
          <w:rFonts w:ascii="Times New Roman" w:hAnsi="Times New Roman"/>
          <w:iCs/>
          <w:sz w:val="24"/>
          <w:szCs w:val="24"/>
        </w:rPr>
        <w:t xml:space="preserve"> </w:t>
      </w:r>
      <w:r w:rsidR="0023430A" w:rsidRPr="0023430A">
        <w:rPr>
          <w:rFonts w:ascii="Times New Roman" w:hAnsi="Times New Roman"/>
          <w:iCs/>
          <w:sz w:val="24"/>
          <w:szCs w:val="24"/>
        </w:rPr>
        <w:t>dėmes</w:t>
      </w:r>
      <w:r>
        <w:rPr>
          <w:rFonts w:ascii="Times New Roman" w:hAnsi="Times New Roman"/>
          <w:iCs/>
          <w:sz w:val="24"/>
          <w:szCs w:val="24"/>
        </w:rPr>
        <w:t>ys</w:t>
      </w:r>
      <w:r w:rsidR="0023430A" w:rsidRPr="0023430A">
        <w:rPr>
          <w:rFonts w:ascii="Times New Roman" w:hAnsi="Times New Roman"/>
          <w:iCs/>
          <w:sz w:val="24"/>
          <w:szCs w:val="24"/>
        </w:rPr>
        <w:t xml:space="preserve"> į tai, kad skundą, pareiškimą ar pranešimą padavusių asmenų teisė susipažinti su medžiaga, kurios pagrindu buvo priimtas procesinis sprendimas – atsisakyti pradėti ikiteisminį tyrimą, yra viena iš būtinų teisės kreiptis į teismą – teisės apskųsti procesinį sprendimą, įgyvendinimo sąlygų. Visiškai apribojus galimybes susipažinti su medžiaga, kurios pagrindu yra priimtas procesinis sprendimas, skundą, pareiški</w:t>
      </w:r>
      <w:r w:rsidR="00C07023">
        <w:rPr>
          <w:rFonts w:ascii="Times New Roman" w:hAnsi="Times New Roman"/>
          <w:iCs/>
          <w:sz w:val="24"/>
          <w:szCs w:val="24"/>
        </w:rPr>
        <w:t>mą ar pranešimą pateikęs asmuo</w:t>
      </w:r>
      <w:r w:rsidR="0023430A" w:rsidRPr="0023430A">
        <w:rPr>
          <w:rFonts w:ascii="Times New Roman" w:hAnsi="Times New Roman"/>
          <w:iCs/>
          <w:sz w:val="24"/>
          <w:szCs w:val="24"/>
        </w:rPr>
        <w:t xml:space="preserve"> negalėtų visapusiškai įvertinti priimto procesinio sprendimo pagrįstumo ir teisėtumo bei veiksmingai ginti</w:t>
      </w:r>
      <w:r w:rsidR="008448D6">
        <w:rPr>
          <w:rFonts w:ascii="Times New Roman" w:hAnsi="Times New Roman"/>
          <w:iCs/>
          <w:sz w:val="24"/>
          <w:szCs w:val="24"/>
        </w:rPr>
        <w:t>,</w:t>
      </w:r>
      <w:r w:rsidR="0023430A" w:rsidRPr="0023430A">
        <w:rPr>
          <w:rFonts w:ascii="Times New Roman" w:hAnsi="Times New Roman"/>
          <w:iCs/>
          <w:sz w:val="24"/>
          <w:szCs w:val="24"/>
        </w:rPr>
        <w:t xml:space="preserve"> jo manymu</w:t>
      </w:r>
      <w:r w:rsidR="008448D6">
        <w:rPr>
          <w:rFonts w:ascii="Times New Roman" w:hAnsi="Times New Roman"/>
          <w:iCs/>
          <w:sz w:val="24"/>
          <w:szCs w:val="24"/>
        </w:rPr>
        <w:t>,</w:t>
      </w:r>
      <w:r w:rsidR="0023430A" w:rsidRPr="0023430A">
        <w:rPr>
          <w:rFonts w:ascii="Times New Roman" w:hAnsi="Times New Roman"/>
          <w:iCs/>
          <w:sz w:val="24"/>
          <w:szCs w:val="24"/>
        </w:rPr>
        <w:t xml:space="preserve"> pažeist</w:t>
      </w:r>
      <w:r w:rsidR="009A15E1">
        <w:rPr>
          <w:rFonts w:ascii="Times New Roman" w:hAnsi="Times New Roman"/>
          <w:iCs/>
          <w:sz w:val="24"/>
          <w:szCs w:val="24"/>
        </w:rPr>
        <w:t>as</w:t>
      </w:r>
      <w:r w:rsidR="0023430A" w:rsidRPr="0023430A">
        <w:rPr>
          <w:rFonts w:ascii="Times New Roman" w:hAnsi="Times New Roman"/>
          <w:iCs/>
          <w:sz w:val="24"/>
          <w:szCs w:val="24"/>
        </w:rPr>
        <w:t xml:space="preserve"> teis</w:t>
      </w:r>
      <w:r w:rsidR="009A15E1">
        <w:rPr>
          <w:rFonts w:ascii="Times New Roman" w:hAnsi="Times New Roman"/>
          <w:iCs/>
          <w:sz w:val="24"/>
          <w:szCs w:val="24"/>
        </w:rPr>
        <w:t>es</w:t>
      </w:r>
      <w:r w:rsidR="0023430A" w:rsidRPr="0023430A">
        <w:rPr>
          <w:rFonts w:ascii="Times New Roman" w:hAnsi="Times New Roman"/>
          <w:iCs/>
          <w:sz w:val="24"/>
          <w:szCs w:val="24"/>
        </w:rPr>
        <w:t xml:space="preserve">, skundžiant nutarimą atsisakyti pradėti ikiteisminį tyrimą. Vertinant peticijoje pateiktus motyvus, pažymėtina ir tai, kad </w:t>
      </w:r>
      <w:r w:rsidR="008C7E48" w:rsidRPr="008C7E48">
        <w:rPr>
          <w:rFonts w:ascii="Times New Roman" w:hAnsi="Times New Roman"/>
          <w:iCs/>
          <w:sz w:val="24"/>
          <w:szCs w:val="24"/>
        </w:rPr>
        <w:t>Baudžiamojo proceso kodeks</w:t>
      </w:r>
      <w:r w:rsidR="00B808B3">
        <w:rPr>
          <w:rFonts w:ascii="Times New Roman" w:hAnsi="Times New Roman"/>
          <w:iCs/>
          <w:sz w:val="24"/>
          <w:szCs w:val="24"/>
        </w:rPr>
        <w:t>e</w:t>
      </w:r>
      <w:r w:rsidR="0023430A" w:rsidRPr="0023430A">
        <w:rPr>
          <w:rFonts w:ascii="Times New Roman" w:hAnsi="Times New Roman"/>
          <w:iCs/>
          <w:sz w:val="24"/>
          <w:szCs w:val="24"/>
        </w:rPr>
        <w:t xml:space="preserve"> yra įdiegti reikiami saugikliai, ribojantys galimybes piktnaudžiauti baudžiamojo proceso įstatymo garantuojamomis teisėmis ir nepagrįstai rinkti informaciją apie asmenis</w:t>
      </w:r>
      <w:r w:rsidR="004A25DE">
        <w:rPr>
          <w:rFonts w:ascii="Times New Roman" w:hAnsi="Times New Roman"/>
          <w:iCs/>
          <w:sz w:val="24"/>
          <w:szCs w:val="24"/>
        </w:rPr>
        <w:t>,</w:t>
      </w:r>
      <w:r w:rsidR="0023430A" w:rsidRPr="0023430A">
        <w:rPr>
          <w:rFonts w:ascii="Times New Roman" w:hAnsi="Times New Roman"/>
          <w:iCs/>
          <w:sz w:val="24"/>
          <w:szCs w:val="24"/>
        </w:rPr>
        <w:t xml:space="preserve"> dėl kurių buvo atlikti atitinkami procesiniai veiksmai bei surinkti duomen</w:t>
      </w:r>
      <w:r w:rsidR="004A25DE">
        <w:rPr>
          <w:rFonts w:ascii="Times New Roman" w:hAnsi="Times New Roman"/>
          <w:iCs/>
          <w:sz w:val="24"/>
          <w:szCs w:val="24"/>
        </w:rPr>
        <w:t>y</w:t>
      </w:r>
      <w:r w:rsidR="0023430A" w:rsidRPr="0023430A">
        <w:rPr>
          <w:rFonts w:ascii="Times New Roman" w:hAnsi="Times New Roman"/>
          <w:iCs/>
          <w:sz w:val="24"/>
          <w:szCs w:val="24"/>
        </w:rPr>
        <w:t xml:space="preserve">s, pagrindžiantys aplinkybes, kad baudžiamasis procesas negali būti pradėtas. Pavyzdžiui, </w:t>
      </w:r>
      <w:r w:rsidR="008C7E48" w:rsidRPr="008C7E48">
        <w:rPr>
          <w:rFonts w:ascii="Times New Roman" w:hAnsi="Times New Roman"/>
          <w:iCs/>
          <w:sz w:val="24"/>
          <w:szCs w:val="24"/>
        </w:rPr>
        <w:t>Baudžiamojo proceso kodekso</w:t>
      </w:r>
      <w:r w:rsidR="0023430A" w:rsidRPr="0023430A">
        <w:rPr>
          <w:rFonts w:ascii="Times New Roman" w:hAnsi="Times New Roman"/>
          <w:iCs/>
          <w:sz w:val="24"/>
          <w:szCs w:val="24"/>
        </w:rPr>
        <w:t xml:space="preserve"> 168 straipsnio 4 dalyje yra numatyta ikiteisminio tyrimo įstaigos (jos padalinio) vadovo ir prokuroro teisė motyvuotai apriboti galimybę susipažinti su medžiaga (ar jos dalimi), kurios pagrindu priimtas procesinis sprendimas atsisakyti pradėti ikiteisminį tyrimą arba apriboti teisę daryti šioje medžiagoje esančių duomenų kopijas. Kitaip tariant, kiekvienu atveju ikiteisminio tyrimo įstaigos (jos padalinio) vadovas ar prokuroras turi prerogatyvą įvertinti medžiagoje esančius duomenis ir nuspręsti, koki</w:t>
      </w:r>
      <w:r w:rsidR="008448D6">
        <w:rPr>
          <w:rFonts w:ascii="Times New Roman" w:hAnsi="Times New Roman"/>
          <w:iCs/>
          <w:sz w:val="24"/>
          <w:szCs w:val="24"/>
        </w:rPr>
        <w:t>a</w:t>
      </w:r>
      <w:r w:rsidR="0023430A" w:rsidRPr="0023430A">
        <w:rPr>
          <w:rFonts w:ascii="Times New Roman" w:hAnsi="Times New Roman"/>
          <w:iCs/>
          <w:sz w:val="24"/>
          <w:szCs w:val="24"/>
        </w:rPr>
        <w:t xml:space="preserve"> apimt</w:t>
      </w:r>
      <w:r w:rsidR="008448D6">
        <w:rPr>
          <w:rFonts w:ascii="Times New Roman" w:hAnsi="Times New Roman"/>
          <w:iCs/>
          <w:sz w:val="24"/>
          <w:szCs w:val="24"/>
        </w:rPr>
        <w:t>imi</w:t>
      </w:r>
      <w:r w:rsidR="0023430A" w:rsidRPr="0023430A">
        <w:rPr>
          <w:rFonts w:ascii="Times New Roman" w:hAnsi="Times New Roman"/>
          <w:iCs/>
          <w:sz w:val="24"/>
          <w:szCs w:val="24"/>
        </w:rPr>
        <w:t xml:space="preserve"> leidžiama su jais susipažinti. Be kita ko,</w:t>
      </w:r>
      <w:r w:rsidR="008C7E48" w:rsidRPr="008C7E48">
        <w:t xml:space="preserve"> </w:t>
      </w:r>
      <w:r w:rsidR="008C7E48" w:rsidRPr="008C7E48">
        <w:rPr>
          <w:rFonts w:ascii="Times New Roman" w:hAnsi="Times New Roman"/>
          <w:iCs/>
          <w:sz w:val="24"/>
          <w:szCs w:val="24"/>
        </w:rPr>
        <w:t>Baudžiamojo proceso kodekso</w:t>
      </w:r>
      <w:r w:rsidR="0023430A" w:rsidRPr="0023430A">
        <w:rPr>
          <w:rFonts w:ascii="Times New Roman" w:hAnsi="Times New Roman"/>
          <w:iCs/>
          <w:sz w:val="24"/>
          <w:szCs w:val="24"/>
        </w:rPr>
        <w:t xml:space="preserve">  181 straipsnio 6 dalyje yra reglamentuotas papildomas apsaugos </w:t>
      </w:r>
      <w:r w:rsidR="002A7A10">
        <w:rPr>
          <w:rFonts w:ascii="Times New Roman" w:hAnsi="Times New Roman"/>
          <w:iCs/>
          <w:sz w:val="24"/>
          <w:szCs w:val="24"/>
        </w:rPr>
        <w:t>mechanizmas – numatytos duomenų</w:t>
      </w:r>
      <w:r w:rsidR="0023430A" w:rsidRPr="0023430A">
        <w:rPr>
          <w:rFonts w:ascii="Times New Roman" w:hAnsi="Times New Roman"/>
          <w:iCs/>
          <w:sz w:val="24"/>
          <w:szCs w:val="24"/>
        </w:rPr>
        <w:t>, kurių kopijas draudžiama daryti skundą, pareiškimą ar pranešimą pateikusiam asmeniui</w:t>
      </w:r>
      <w:r w:rsidR="002A7A10">
        <w:rPr>
          <w:rFonts w:ascii="Times New Roman" w:hAnsi="Times New Roman"/>
          <w:iCs/>
          <w:sz w:val="24"/>
          <w:szCs w:val="24"/>
        </w:rPr>
        <w:t>, kategorijos</w:t>
      </w:r>
      <w:r w:rsidR="0023430A" w:rsidRPr="0023430A">
        <w:rPr>
          <w:rFonts w:ascii="Times New Roman" w:hAnsi="Times New Roman"/>
          <w:iCs/>
          <w:sz w:val="24"/>
          <w:szCs w:val="24"/>
        </w:rPr>
        <w:t>.</w:t>
      </w:r>
    </w:p>
    <w:p w:rsidR="000605CA" w:rsidRPr="009A15E1" w:rsidRDefault="007671B5" w:rsidP="0023430A">
      <w:pPr>
        <w:spacing w:line="360" w:lineRule="auto"/>
        <w:ind w:firstLine="851"/>
        <w:jc w:val="both"/>
        <w:rPr>
          <w:rFonts w:ascii="Times New Roman" w:hAnsi="Times New Roman"/>
          <w:iCs/>
          <w:sz w:val="24"/>
          <w:szCs w:val="24"/>
        </w:rPr>
      </w:pPr>
      <w:r w:rsidRPr="009A15E1">
        <w:rPr>
          <w:rFonts w:ascii="Times New Roman" w:hAnsi="Times New Roman"/>
          <w:iCs/>
          <w:sz w:val="24"/>
          <w:szCs w:val="24"/>
        </w:rPr>
        <w:t xml:space="preserve">Generalinė prokuratūra pažymi, kad </w:t>
      </w:r>
      <w:r w:rsidR="000605CA" w:rsidRPr="009A15E1">
        <w:rPr>
          <w:rFonts w:ascii="Times New Roman" w:hAnsi="Times New Roman"/>
          <w:iCs/>
          <w:sz w:val="24"/>
          <w:szCs w:val="24"/>
        </w:rPr>
        <w:t xml:space="preserve">prokuroras, ikiteisminio tyrimo </w:t>
      </w:r>
      <w:r w:rsidR="000605CA" w:rsidRPr="009A15E1">
        <w:rPr>
          <w:rFonts w:ascii="Times New Roman" w:hAnsi="Times New Roman" w:hint="eastAsia"/>
          <w:iCs/>
          <w:sz w:val="24"/>
          <w:szCs w:val="24"/>
        </w:rPr>
        <w:t>į</w:t>
      </w:r>
      <w:r w:rsidR="000605CA" w:rsidRPr="009A15E1">
        <w:rPr>
          <w:rFonts w:ascii="Times New Roman" w:hAnsi="Times New Roman"/>
          <w:iCs/>
          <w:sz w:val="24"/>
          <w:szCs w:val="24"/>
        </w:rPr>
        <w:t>staigos pareig</w:t>
      </w:r>
      <w:r w:rsidR="000605CA" w:rsidRPr="009A15E1">
        <w:rPr>
          <w:rFonts w:ascii="Times New Roman" w:hAnsi="Times New Roman" w:hint="eastAsia"/>
          <w:iCs/>
          <w:sz w:val="24"/>
          <w:szCs w:val="24"/>
        </w:rPr>
        <w:t>ū</w:t>
      </w:r>
      <w:r w:rsidR="000605CA" w:rsidRPr="009A15E1">
        <w:rPr>
          <w:rFonts w:ascii="Times New Roman" w:hAnsi="Times New Roman"/>
          <w:iCs/>
          <w:sz w:val="24"/>
          <w:szCs w:val="24"/>
        </w:rPr>
        <w:t>nai, vykdydami savo tiesiogines funkcijas ir pareigas, taip pat priimdami sprendimus d</w:t>
      </w:r>
      <w:r w:rsidR="000605CA" w:rsidRPr="009A15E1">
        <w:rPr>
          <w:rFonts w:ascii="Times New Roman" w:hAnsi="Times New Roman" w:hint="eastAsia"/>
          <w:iCs/>
          <w:sz w:val="24"/>
          <w:szCs w:val="24"/>
        </w:rPr>
        <w:t>ė</w:t>
      </w:r>
      <w:r w:rsidR="000605CA" w:rsidRPr="009A15E1">
        <w:rPr>
          <w:rFonts w:ascii="Times New Roman" w:hAnsi="Times New Roman"/>
          <w:iCs/>
          <w:sz w:val="24"/>
          <w:szCs w:val="24"/>
        </w:rPr>
        <w:t>l prašym</w:t>
      </w:r>
      <w:r w:rsidR="000605CA" w:rsidRPr="009A15E1">
        <w:rPr>
          <w:rFonts w:ascii="Times New Roman" w:hAnsi="Times New Roman" w:hint="eastAsia"/>
          <w:iCs/>
          <w:sz w:val="24"/>
          <w:szCs w:val="24"/>
        </w:rPr>
        <w:t>ų</w:t>
      </w:r>
      <w:r w:rsidR="000605CA" w:rsidRPr="009A15E1">
        <w:rPr>
          <w:rFonts w:ascii="Times New Roman" w:hAnsi="Times New Roman"/>
          <w:iCs/>
          <w:sz w:val="24"/>
          <w:szCs w:val="24"/>
        </w:rPr>
        <w:t xml:space="preserve"> susipažinti su bylos medžiaga ir daryti jos kopijas</w:t>
      </w:r>
      <w:r w:rsidR="00B808B3" w:rsidRPr="009A15E1">
        <w:rPr>
          <w:rFonts w:ascii="Times New Roman" w:hAnsi="Times New Roman"/>
          <w:iCs/>
          <w:sz w:val="24"/>
          <w:szCs w:val="24"/>
        </w:rPr>
        <w:t>,</w:t>
      </w:r>
      <w:r w:rsidR="000605CA" w:rsidRPr="009A15E1">
        <w:rPr>
          <w:rFonts w:ascii="Times New Roman" w:hAnsi="Times New Roman"/>
          <w:iCs/>
          <w:sz w:val="24"/>
          <w:szCs w:val="24"/>
        </w:rPr>
        <w:t xml:space="preserve"> laik</w:t>
      </w:r>
      <w:r w:rsidRPr="009A15E1">
        <w:rPr>
          <w:rFonts w:ascii="Times New Roman" w:hAnsi="Times New Roman"/>
          <w:iCs/>
          <w:sz w:val="24"/>
          <w:szCs w:val="24"/>
        </w:rPr>
        <w:t>osi</w:t>
      </w:r>
      <w:r w:rsidR="000605CA" w:rsidRPr="009A15E1">
        <w:rPr>
          <w:rFonts w:ascii="Times New Roman" w:hAnsi="Times New Roman"/>
          <w:iCs/>
          <w:sz w:val="24"/>
          <w:szCs w:val="24"/>
        </w:rPr>
        <w:t xml:space="preserve"> pagrindini</w:t>
      </w:r>
      <w:r w:rsidR="000605CA" w:rsidRPr="009A15E1">
        <w:rPr>
          <w:rFonts w:ascii="Times New Roman" w:hAnsi="Times New Roman" w:hint="eastAsia"/>
          <w:iCs/>
          <w:sz w:val="24"/>
          <w:szCs w:val="24"/>
        </w:rPr>
        <w:t>ų</w:t>
      </w:r>
      <w:r w:rsidR="000605CA" w:rsidRPr="009A15E1">
        <w:rPr>
          <w:rFonts w:ascii="Times New Roman" w:hAnsi="Times New Roman"/>
          <w:iCs/>
          <w:sz w:val="24"/>
          <w:szCs w:val="24"/>
        </w:rPr>
        <w:t xml:space="preserve"> asmens duomen</w:t>
      </w:r>
      <w:r w:rsidR="000605CA" w:rsidRPr="009A15E1">
        <w:rPr>
          <w:rFonts w:ascii="Times New Roman" w:hAnsi="Times New Roman" w:hint="eastAsia"/>
          <w:iCs/>
          <w:sz w:val="24"/>
          <w:szCs w:val="24"/>
        </w:rPr>
        <w:t>ų</w:t>
      </w:r>
      <w:r w:rsidR="000605CA" w:rsidRPr="009A15E1">
        <w:rPr>
          <w:rFonts w:ascii="Times New Roman" w:hAnsi="Times New Roman"/>
          <w:iCs/>
          <w:sz w:val="24"/>
          <w:szCs w:val="24"/>
        </w:rPr>
        <w:t xml:space="preserve"> tvarkymo ir saugumo reikalavim</w:t>
      </w:r>
      <w:r w:rsidR="000605CA" w:rsidRPr="009A15E1">
        <w:rPr>
          <w:rFonts w:ascii="Times New Roman" w:hAnsi="Times New Roman" w:hint="eastAsia"/>
          <w:iCs/>
          <w:sz w:val="24"/>
          <w:szCs w:val="24"/>
        </w:rPr>
        <w:t>ų</w:t>
      </w:r>
      <w:r w:rsidR="000605CA" w:rsidRPr="009A15E1">
        <w:rPr>
          <w:rFonts w:ascii="Times New Roman" w:hAnsi="Times New Roman"/>
          <w:iCs/>
          <w:sz w:val="24"/>
          <w:szCs w:val="24"/>
        </w:rPr>
        <w:t xml:space="preserve">, </w:t>
      </w:r>
      <w:r w:rsidR="000605CA" w:rsidRPr="009A15E1">
        <w:rPr>
          <w:rFonts w:ascii="Times New Roman" w:hAnsi="Times New Roman" w:hint="eastAsia"/>
          <w:iCs/>
          <w:sz w:val="24"/>
          <w:szCs w:val="24"/>
        </w:rPr>
        <w:t>į</w:t>
      </w:r>
      <w:r w:rsidR="000605CA" w:rsidRPr="009A15E1">
        <w:rPr>
          <w:rFonts w:ascii="Times New Roman" w:hAnsi="Times New Roman"/>
          <w:iCs/>
          <w:sz w:val="24"/>
          <w:szCs w:val="24"/>
        </w:rPr>
        <w:t>tvirtint</w:t>
      </w:r>
      <w:r w:rsidR="000605CA" w:rsidRPr="009A15E1">
        <w:rPr>
          <w:rFonts w:ascii="Times New Roman" w:hAnsi="Times New Roman" w:hint="eastAsia"/>
          <w:iCs/>
          <w:sz w:val="24"/>
          <w:szCs w:val="24"/>
        </w:rPr>
        <w:t>ų</w:t>
      </w:r>
      <w:r w:rsidR="000605CA" w:rsidRPr="009A15E1">
        <w:rPr>
          <w:rFonts w:ascii="Times New Roman" w:hAnsi="Times New Roman"/>
          <w:iCs/>
          <w:sz w:val="24"/>
          <w:szCs w:val="24"/>
        </w:rPr>
        <w:t xml:space="preserve"> </w:t>
      </w:r>
      <w:r w:rsidRPr="009A15E1">
        <w:rPr>
          <w:rFonts w:ascii="Times New Roman" w:hAnsi="Times New Roman"/>
          <w:iCs/>
          <w:sz w:val="24"/>
          <w:szCs w:val="24"/>
        </w:rPr>
        <w:t>Bendrajame duomen</w:t>
      </w:r>
      <w:r w:rsidRPr="009A15E1">
        <w:rPr>
          <w:rFonts w:ascii="Times New Roman" w:hAnsi="Times New Roman" w:hint="eastAsia"/>
          <w:iCs/>
          <w:sz w:val="24"/>
          <w:szCs w:val="24"/>
        </w:rPr>
        <w:t>ų</w:t>
      </w:r>
      <w:r w:rsidRPr="009A15E1">
        <w:rPr>
          <w:rFonts w:ascii="Times New Roman" w:hAnsi="Times New Roman"/>
          <w:iCs/>
          <w:sz w:val="24"/>
          <w:szCs w:val="24"/>
        </w:rPr>
        <w:t xml:space="preserve"> apsaugos reglamente (BDAR), </w:t>
      </w:r>
      <w:r w:rsidR="000605CA" w:rsidRPr="009A15E1">
        <w:rPr>
          <w:rFonts w:ascii="Times New Roman" w:hAnsi="Times New Roman"/>
          <w:iCs/>
          <w:sz w:val="24"/>
          <w:szCs w:val="24"/>
        </w:rPr>
        <w:t>Lietuvos Respublikos asmens duomen</w:t>
      </w:r>
      <w:r w:rsidR="000605CA" w:rsidRPr="009A15E1">
        <w:rPr>
          <w:rFonts w:ascii="Times New Roman" w:hAnsi="Times New Roman" w:hint="eastAsia"/>
          <w:iCs/>
          <w:sz w:val="24"/>
          <w:szCs w:val="24"/>
        </w:rPr>
        <w:t>ų</w:t>
      </w:r>
      <w:r w:rsidR="000605CA" w:rsidRPr="009A15E1">
        <w:rPr>
          <w:rFonts w:ascii="Times New Roman" w:hAnsi="Times New Roman"/>
          <w:iCs/>
          <w:sz w:val="24"/>
          <w:szCs w:val="24"/>
        </w:rPr>
        <w:t>, tvarkom</w:t>
      </w:r>
      <w:r w:rsidR="000605CA" w:rsidRPr="009A15E1">
        <w:rPr>
          <w:rFonts w:ascii="Times New Roman" w:hAnsi="Times New Roman" w:hint="eastAsia"/>
          <w:iCs/>
          <w:sz w:val="24"/>
          <w:szCs w:val="24"/>
        </w:rPr>
        <w:t>ų</w:t>
      </w:r>
      <w:r w:rsidR="000605CA" w:rsidRPr="009A15E1">
        <w:rPr>
          <w:rFonts w:ascii="Times New Roman" w:hAnsi="Times New Roman"/>
          <w:iCs/>
          <w:sz w:val="24"/>
          <w:szCs w:val="24"/>
        </w:rPr>
        <w:t xml:space="preserve"> nusikalstam</w:t>
      </w:r>
      <w:r w:rsidR="000605CA" w:rsidRPr="009A15E1">
        <w:rPr>
          <w:rFonts w:ascii="Times New Roman" w:hAnsi="Times New Roman" w:hint="eastAsia"/>
          <w:iCs/>
          <w:sz w:val="24"/>
          <w:szCs w:val="24"/>
        </w:rPr>
        <w:t>ų</w:t>
      </w:r>
      <w:r w:rsidR="000605CA" w:rsidRPr="009A15E1">
        <w:rPr>
          <w:rFonts w:ascii="Times New Roman" w:hAnsi="Times New Roman"/>
          <w:iCs/>
          <w:sz w:val="24"/>
          <w:szCs w:val="24"/>
        </w:rPr>
        <w:t xml:space="preserve"> veik</w:t>
      </w:r>
      <w:r w:rsidR="000605CA" w:rsidRPr="009A15E1">
        <w:rPr>
          <w:rFonts w:ascii="Times New Roman" w:hAnsi="Times New Roman" w:hint="eastAsia"/>
          <w:iCs/>
          <w:sz w:val="24"/>
          <w:szCs w:val="24"/>
        </w:rPr>
        <w:t>ų</w:t>
      </w:r>
      <w:r w:rsidR="000605CA" w:rsidRPr="009A15E1">
        <w:rPr>
          <w:rFonts w:ascii="Times New Roman" w:hAnsi="Times New Roman"/>
          <w:iCs/>
          <w:sz w:val="24"/>
          <w:szCs w:val="24"/>
        </w:rPr>
        <w:t xml:space="preserve"> prevencijos, tyrimo, atskleidimo ar baudžiamojo persekiojimo už jas, bausmi</w:t>
      </w:r>
      <w:r w:rsidR="000605CA" w:rsidRPr="009A15E1">
        <w:rPr>
          <w:rFonts w:ascii="Times New Roman" w:hAnsi="Times New Roman" w:hint="eastAsia"/>
          <w:iCs/>
          <w:sz w:val="24"/>
          <w:szCs w:val="24"/>
        </w:rPr>
        <w:t>ų</w:t>
      </w:r>
      <w:r w:rsidR="000605CA" w:rsidRPr="009A15E1">
        <w:rPr>
          <w:rFonts w:ascii="Times New Roman" w:hAnsi="Times New Roman"/>
          <w:iCs/>
          <w:sz w:val="24"/>
          <w:szCs w:val="24"/>
        </w:rPr>
        <w:t xml:space="preserve"> vykdymo arba nacionalinio saugumo ar gynybos tikslais, teisin</w:t>
      </w:r>
      <w:r w:rsidR="000605CA" w:rsidRPr="009A15E1">
        <w:rPr>
          <w:rFonts w:ascii="Times New Roman" w:hAnsi="Times New Roman" w:hint="eastAsia"/>
          <w:iCs/>
          <w:sz w:val="24"/>
          <w:szCs w:val="24"/>
        </w:rPr>
        <w:t>ė</w:t>
      </w:r>
      <w:r w:rsidR="000605CA" w:rsidRPr="009A15E1">
        <w:rPr>
          <w:rFonts w:ascii="Times New Roman" w:hAnsi="Times New Roman"/>
          <w:iCs/>
          <w:sz w:val="24"/>
          <w:szCs w:val="24"/>
        </w:rPr>
        <w:t xml:space="preserve">s apsaugos </w:t>
      </w:r>
      <w:r w:rsidR="000605CA" w:rsidRPr="009A15E1">
        <w:rPr>
          <w:rFonts w:ascii="Times New Roman" w:hAnsi="Times New Roman" w:hint="eastAsia"/>
          <w:iCs/>
          <w:sz w:val="24"/>
          <w:szCs w:val="24"/>
        </w:rPr>
        <w:t>į</w:t>
      </w:r>
      <w:r w:rsidR="000605CA" w:rsidRPr="009A15E1">
        <w:rPr>
          <w:rFonts w:ascii="Times New Roman" w:hAnsi="Times New Roman"/>
          <w:iCs/>
          <w:sz w:val="24"/>
          <w:szCs w:val="24"/>
        </w:rPr>
        <w:t xml:space="preserve">statyme, </w:t>
      </w:r>
      <w:r w:rsidRPr="009A15E1">
        <w:rPr>
          <w:rFonts w:ascii="Times New Roman" w:hAnsi="Times New Roman"/>
          <w:iCs/>
          <w:sz w:val="24"/>
          <w:szCs w:val="24"/>
        </w:rPr>
        <w:t xml:space="preserve"> Lietuvos Respublikos</w:t>
      </w:r>
      <w:r w:rsidR="000605CA" w:rsidRPr="009A15E1">
        <w:rPr>
          <w:rFonts w:ascii="Times New Roman" w:hAnsi="Times New Roman"/>
          <w:iCs/>
          <w:sz w:val="24"/>
          <w:szCs w:val="24"/>
        </w:rPr>
        <w:t xml:space="preserve"> </w:t>
      </w:r>
      <w:r w:rsidRPr="009A15E1">
        <w:rPr>
          <w:rFonts w:ascii="Times New Roman" w:hAnsi="Times New Roman"/>
          <w:iCs/>
          <w:sz w:val="24"/>
          <w:szCs w:val="24"/>
        </w:rPr>
        <w:t>a</w:t>
      </w:r>
      <w:r w:rsidR="000605CA" w:rsidRPr="009A15E1">
        <w:rPr>
          <w:rFonts w:ascii="Times New Roman" w:hAnsi="Times New Roman"/>
          <w:iCs/>
          <w:sz w:val="24"/>
          <w:szCs w:val="24"/>
        </w:rPr>
        <w:t>smens duomen</w:t>
      </w:r>
      <w:r w:rsidR="000605CA" w:rsidRPr="009A15E1">
        <w:rPr>
          <w:rFonts w:ascii="Times New Roman" w:hAnsi="Times New Roman" w:hint="eastAsia"/>
          <w:iCs/>
          <w:sz w:val="24"/>
          <w:szCs w:val="24"/>
        </w:rPr>
        <w:t>ų</w:t>
      </w:r>
      <w:r w:rsidR="000605CA" w:rsidRPr="009A15E1">
        <w:rPr>
          <w:rFonts w:ascii="Times New Roman" w:hAnsi="Times New Roman"/>
          <w:iCs/>
          <w:sz w:val="24"/>
          <w:szCs w:val="24"/>
        </w:rPr>
        <w:t xml:space="preserve"> teisin</w:t>
      </w:r>
      <w:r w:rsidR="000605CA" w:rsidRPr="009A15E1">
        <w:rPr>
          <w:rFonts w:ascii="Times New Roman" w:hAnsi="Times New Roman" w:hint="eastAsia"/>
          <w:iCs/>
          <w:sz w:val="24"/>
          <w:szCs w:val="24"/>
        </w:rPr>
        <w:t>ė</w:t>
      </w:r>
      <w:r w:rsidR="000605CA" w:rsidRPr="009A15E1">
        <w:rPr>
          <w:rFonts w:ascii="Times New Roman" w:hAnsi="Times New Roman"/>
          <w:iCs/>
          <w:sz w:val="24"/>
          <w:szCs w:val="24"/>
        </w:rPr>
        <w:t xml:space="preserve">s apsaugos </w:t>
      </w:r>
      <w:r w:rsidR="000605CA" w:rsidRPr="009A15E1">
        <w:rPr>
          <w:rFonts w:ascii="Times New Roman" w:hAnsi="Times New Roman" w:hint="eastAsia"/>
          <w:iCs/>
          <w:sz w:val="24"/>
          <w:szCs w:val="24"/>
        </w:rPr>
        <w:t>į</w:t>
      </w:r>
      <w:r w:rsidR="000605CA" w:rsidRPr="009A15E1">
        <w:rPr>
          <w:rFonts w:ascii="Times New Roman" w:hAnsi="Times New Roman"/>
          <w:iCs/>
          <w:sz w:val="24"/>
          <w:szCs w:val="24"/>
        </w:rPr>
        <w:t>statyme.</w:t>
      </w:r>
    </w:p>
    <w:p w:rsidR="0023430A" w:rsidRPr="0023430A" w:rsidRDefault="0023430A" w:rsidP="0023430A">
      <w:pPr>
        <w:spacing w:line="360" w:lineRule="auto"/>
        <w:ind w:firstLine="851"/>
        <w:jc w:val="both"/>
        <w:rPr>
          <w:rFonts w:ascii="Times New Roman" w:hAnsi="Times New Roman"/>
          <w:iCs/>
          <w:sz w:val="24"/>
          <w:szCs w:val="24"/>
        </w:rPr>
      </w:pPr>
      <w:r w:rsidRPr="0023430A">
        <w:rPr>
          <w:rFonts w:ascii="Times New Roman" w:hAnsi="Times New Roman"/>
          <w:iCs/>
          <w:sz w:val="24"/>
          <w:szCs w:val="24"/>
        </w:rPr>
        <w:t xml:space="preserve">Atsižvelgiant į tai, </w:t>
      </w:r>
      <w:r w:rsidR="008516A1">
        <w:rPr>
          <w:rFonts w:ascii="Times New Roman" w:hAnsi="Times New Roman"/>
          <w:iCs/>
          <w:sz w:val="24"/>
          <w:szCs w:val="24"/>
        </w:rPr>
        <w:t xml:space="preserve">kas išdėstyta, </w:t>
      </w:r>
      <w:r w:rsidRPr="0023430A">
        <w:rPr>
          <w:rFonts w:ascii="Times New Roman" w:hAnsi="Times New Roman"/>
          <w:iCs/>
          <w:sz w:val="24"/>
          <w:szCs w:val="24"/>
        </w:rPr>
        <w:t xml:space="preserve">manytina, kad šiuo metu </w:t>
      </w:r>
      <w:r w:rsidR="008C7E48" w:rsidRPr="008C7E48">
        <w:rPr>
          <w:rFonts w:ascii="Times New Roman" w:hAnsi="Times New Roman"/>
          <w:iCs/>
          <w:sz w:val="24"/>
          <w:szCs w:val="24"/>
        </w:rPr>
        <w:t>Baudžiamojo proceso kodekso</w:t>
      </w:r>
      <w:r w:rsidRPr="0023430A">
        <w:rPr>
          <w:rFonts w:ascii="Times New Roman" w:hAnsi="Times New Roman"/>
          <w:iCs/>
          <w:sz w:val="24"/>
          <w:szCs w:val="24"/>
        </w:rPr>
        <w:t xml:space="preserve"> 168 straipsnio 4 dalyje įtvirtintas teisinis mechanizmas, leidžiantis skundą, pareiškimą ar pranešimą pateikusiam asmeniui susipažinti su visa medžiaga, kurios pagrindu buvo priimtas procesinis sprendimas – atsisakyti pradėti ikiteisminį tyrimą, yra svarbi ir būtina asmenų teisės kreiptis į teismą bei teisės apskųsti valstybės pareigūnų ir institucijų priimamus sprendimus, realizavimo forma. Savo ruožtu, visiškai apribojus minėtas galimybes susipažinti su medžiaga, kurios pagrindu buvo priimtas procesinis sprendimas, būtų neproporcingai ribojamas ir apsu</w:t>
      </w:r>
      <w:r w:rsidR="007A3666">
        <w:rPr>
          <w:rFonts w:ascii="Times New Roman" w:hAnsi="Times New Roman"/>
          <w:iCs/>
          <w:sz w:val="24"/>
          <w:szCs w:val="24"/>
        </w:rPr>
        <w:t>n</w:t>
      </w:r>
      <w:r w:rsidRPr="0023430A">
        <w:rPr>
          <w:rFonts w:ascii="Times New Roman" w:hAnsi="Times New Roman"/>
          <w:iCs/>
          <w:sz w:val="24"/>
          <w:szCs w:val="24"/>
        </w:rPr>
        <w:t>kinamas pažeistų teisių g</w:t>
      </w:r>
      <w:r w:rsidR="00BA19F2">
        <w:rPr>
          <w:rFonts w:ascii="Times New Roman" w:hAnsi="Times New Roman"/>
          <w:iCs/>
          <w:sz w:val="24"/>
          <w:szCs w:val="24"/>
        </w:rPr>
        <w:t>y</w:t>
      </w:r>
      <w:r w:rsidRPr="0023430A">
        <w:rPr>
          <w:rFonts w:ascii="Times New Roman" w:hAnsi="Times New Roman"/>
          <w:iCs/>
          <w:sz w:val="24"/>
          <w:szCs w:val="24"/>
        </w:rPr>
        <w:t xml:space="preserve">nimas, be kita ko, mažinamas pareigūnų priimamų procesinių sprendimų skaidrumas. Atsižvelgiant į tai, kad  </w:t>
      </w:r>
      <w:r w:rsidR="000473A6" w:rsidRPr="000473A6">
        <w:rPr>
          <w:rFonts w:ascii="Times New Roman" w:hAnsi="Times New Roman"/>
          <w:iCs/>
          <w:sz w:val="24"/>
          <w:szCs w:val="24"/>
        </w:rPr>
        <w:t xml:space="preserve">Baudžiamojo proceso kodekso </w:t>
      </w:r>
      <w:r w:rsidRPr="0023430A">
        <w:rPr>
          <w:rFonts w:ascii="Times New Roman" w:hAnsi="Times New Roman"/>
          <w:iCs/>
          <w:sz w:val="24"/>
          <w:szCs w:val="24"/>
        </w:rPr>
        <w:t>168 straipsnio 4 dal</w:t>
      </w:r>
      <w:r w:rsidR="00B808B3">
        <w:rPr>
          <w:rFonts w:ascii="Times New Roman" w:hAnsi="Times New Roman"/>
          <w:iCs/>
          <w:sz w:val="24"/>
          <w:szCs w:val="24"/>
        </w:rPr>
        <w:t>ies</w:t>
      </w:r>
      <w:r w:rsidRPr="0023430A">
        <w:rPr>
          <w:rFonts w:ascii="Times New Roman" w:hAnsi="Times New Roman"/>
          <w:iCs/>
          <w:sz w:val="24"/>
          <w:szCs w:val="24"/>
        </w:rPr>
        <w:t xml:space="preserve"> nuostatose yra įdiegti reikiami saugikliai, leidžiantys užkirsti keli</w:t>
      </w:r>
      <w:r w:rsidR="00BA19F2">
        <w:rPr>
          <w:rFonts w:ascii="Times New Roman" w:hAnsi="Times New Roman"/>
          <w:iCs/>
          <w:sz w:val="24"/>
          <w:szCs w:val="24"/>
        </w:rPr>
        <w:t>ą</w:t>
      </w:r>
      <w:r w:rsidRPr="0023430A">
        <w:rPr>
          <w:rFonts w:ascii="Times New Roman" w:hAnsi="Times New Roman"/>
          <w:iCs/>
          <w:sz w:val="24"/>
          <w:szCs w:val="24"/>
        </w:rPr>
        <w:t xml:space="preserve"> piktnaudžiavimui procesinėmis teisėmis, peticijoje pateikti siūlymai panaikinti </w:t>
      </w:r>
      <w:r w:rsidR="008C7E48" w:rsidRPr="008C7E48">
        <w:rPr>
          <w:rFonts w:ascii="Times New Roman" w:hAnsi="Times New Roman"/>
          <w:iCs/>
          <w:sz w:val="24"/>
          <w:szCs w:val="24"/>
        </w:rPr>
        <w:t>Baudžiamojo proceso kodekso</w:t>
      </w:r>
      <w:r w:rsidRPr="0023430A">
        <w:rPr>
          <w:rFonts w:ascii="Times New Roman" w:hAnsi="Times New Roman"/>
          <w:iCs/>
          <w:sz w:val="24"/>
          <w:szCs w:val="24"/>
        </w:rPr>
        <w:t xml:space="preserve"> 168 straipsnio 4 dalį laikytini nepagrįstais.</w:t>
      </w:r>
    </w:p>
    <w:p w:rsidR="008B00C5" w:rsidRPr="00E33292" w:rsidRDefault="008B00C5" w:rsidP="00E33292">
      <w:pPr>
        <w:pStyle w:val="Betarp"/>
        <w:tabs>
          <w:tab w:val="left" w:pos="1134"/>
        </w:tabs>
        <w:spacing w:line="360" w:lineRule="auto"/>
        <w:ind w:firstLine="851"/>
        <w:jc w:val="both"/>
        <w:rPr>
          <w:rFonts w:ascii="Times New Roman" w:hAnsi="Times New Roman"/>
          <w:color w:val="000000" w:themeColor="text1"/>
          <w:sz w:val="24"/>
          <w:szCs w:val="24"/>
          <w:lang w:eastAsia="ar-SA"/>
        </w:rPr>
      </w:pPr>
      <w:r w:rsidRPr="00E33292">
        <w:rPr>
          <w:rFonts w:ascii="Times New Roman" w:hAnsi="Times New Roman"/>
          <w:color w:val="000000" w:themeColor="text1"/>
          <w:sz w:val="24"/>
          <w:szCs w:val="24"/>
          <w:lang w:eastAsia="ar-SA"/>
        </w:rPr>
        <w:t xml:space="preserve">Vadovaujantis Lietuvos Respublikos peticijų įstatymo 12 straipsnio 3 dalimi ir Seimo Peticijų komisijos nuostatų, patvirtintų Lietuvos Respublikos Seimo 1999 m. lapkričio 11 d. nutarimu Nr. VIII-1408 „Dėl Seimo Peticijų komisijos nuostatų patvirtinimo“, 28 punktu, Seimo Peticijų komisijos išvada dėl </w:t>
      </w:r>
      <w:r w:rsidR="001D69AA">
        <w:rPr>
          <w:rFonts w:ascii="Times New Roman" w:hAnsi="Times New Roman"/>
          <w:color w:val="000000" w:themeColor="text1"/>
          <w:sz w:val="24"/>
          <w:szCs w:val="24"/>
          <w:lang w:eastAsia="ar-SA"/>
        </w:rPr>
        <w:t xml:space="preserve">K. </w:t>
      </w:r>
      <w:proofErr w:type="spellStart"/>
      <w:r w:rsidR="001D69AA">
        <w:rPr>
          <w:rFonts w:ascii="Times New Roman" w:hAnsi="Times New Roman"/>
          <w:color w:val="000000" w:themeColor="text1"/>
          <w:sz w:val="24"/>
          <w:szCs w:val="24"/>
          <w:lang w:eastAsia="ar-SA"/>
        </w:rPr>
        <w:t>Žalėnaitės</w:t>
      </w:r>
      <w:proofErr w:type="spellEnd"/>
      <w:r w:rsidRPr="00E33292">
        <w:rPr>
          <w:rFonts w:ascii="Times New Roman" w:hAnsi="Times New Roman"/>
          <w:color w:val="000000" w:themeColor="text1"/>
          <w:sz w:val="24"/>
          <w:szCs w:val="24"/>
          <w:lang w:eastAsia="ar-SA"/>
        </w:rPr>
        <w:t xml:space="preserve"> peticijoje pateikt</w:t>
      </w:r>
      <w:r w:rsidR="001D69AA">
        <w:rPr>
          <w:rFonts w:ascii="Times New Roman" w:hAnsi="Times New Roman"/>
          <w:color w:val="000000" w:themeColor="text1"/>
          <w:sz w:val="24"/>
          <w:szCs w:val="24"/>
          <w:lang w:eastAsia="ar-SA"/>
        </w:rPr>
        <w:t>ų</w:t>
      </w:r>
      <w:r w:rsidRPr="00E33292">
        <w:rPr>
          <w:rFonts w:ascii="Times New Roman" w:hAnsi="Times New Roman"/>
          <w:color w:val="000000" w:themeColor="text1"/>
          <w:sz w:val="24"/>
          <w:szCs w:val="24"/>
          <w:lang w:eastAsia="ar-SA"/>
        </w:rPr>
        <w:t xml:space="preserve"> </w:t>
      </w:r>
      <w:r w:rsidR="00A43BD0" w:rsidRPr="00E33292">
        <w:rPr>
          <w:rFonts w:ascii="Times New Roman" w:hAnsi="Times New Roman"/>
          <w:color w:val="000000" w:themeColor="text1"/>
          <w:sz w:val="24"/>
          <w:szCs w:val="24"/>
          <w:lang w:eastAsia="ar-SA"/>
        </w:rPr>
        <w:t>pa</w:t>
      </w:r>
      <w:r w:rsidRPr="00E33292">
        <w:rPr>
          <w:rFonts w:ascii="Times New Roman" w:hAnsi="Times New Roman"/>
          <w:color w:val="000000" w:themeColor="text1"/>
          <w:sz w:val="24"/>
          <w:szCs w:val="24"/>
          <w:lang w:eastAsia="ar-SA"/>
        </w:rPr>
        <w:t>siūlym</w:t>
      </w:r>
      <w:r w:rsidR="001D69AA">
        <w:rPr>
          <w:rFonts w:ascii="Times New Roman" w:hAnsi="Times New Roman"/>
          <w:color w:val="000000" w:themeColor="text1"/>
          <w:sz w:val="24"/>
          <w:szCs w:val="24"/>
          <w:lang w:eastAsia="ar-SA"/>
        </w:rPr>
        <w:t>ų</w:t>
      </w:r>
      <w:r w:rsidRPr="00E33292">
        <w:rPr>
          <w:rFonts w:ascii="Times New Roman" w:hAnsi="Times New Roman"/>
          <w:color w:val="000000" w:themeColor="text1"/>
          <w:sz w:val="24"/>
          <w:szCs w:val="24"/>
          <w:lang w:eastAsia="ar-SA"/>
        </w:rPr>
        <w:t xml:space="preserve"> </w:t>
      </w:r>
      <w:r w:rsidR="00EA4491">
        <w:rPr>
          <w:rFonts w:ascii="Times New Roman" w:hAnsi="Times New Roman"/>
          <w:color w:val="000000" w:themeColor="text1"/>
          <w:sz w:val="24"/>
          <w:szCs w:val="24"/>
          <w:lang w:eastAsia="ar-SA"/>
        </w:rPr>
        <w:t>atmetimo</w:t>
      </w:r>
      <w:r w:rsidR="00D84300">
        <w:rPr>
          <w:rFonts w:ascii="Times New Roman" w:hAnsi="Times New Roman"/>
          <w:color w:val="000000" w:themeColor="text1"/>
          <w:sz w:val="24"/>
          <w:szCs w:val="24"/>
          <w:lang w:eastAsia="ar-SA"/>
        </w:rPr>
        <w:t xml:space="preserve"> </w:t>
      </w:r>
      <w:r w:rsidRPr="00E33292">
        <w:rPr>
          <w:rFonts w:ascii="Times New Roman" w:hAnsi="Times New Roman"/>
          <w:color w:val="000000" w:themeColor="text1"/>
          <w:sz w:val="24"/>
          <w:szCs w:val="24"/>
          <w:lang w:eastAsia="ar-SA"/>
        </w:rPr>
        <w:t xml:space="preserve">teikiama Seimui, taip pat siūloma įtraukti </w:t>
      </w:r>
      <w:r w:rsidRPr="000434D4">
        <w:rPr>
          <w:rFonts w:ascii="Times New Roman" w:hAnsi="Times New Roman"/>
          <w:color w:val="000000" w:themeColor="text1"/>
          <w:sz w:val="24"/>
          <w:szCs w:val="24"/>
          <w:lang w:eastAsia="ar-SA"/>
        </w:rPr>
        <w:t xml:space="preserve">į Seimo </w:t>
      </w:r>
      <w:r w:rsidR="000C6FF7" w:rsidRPr="000434D4">
        <w:rPr>
          <w:rFonts w:ascii="Times New Roman" w:hAnsi="Times New Roman"/>
          <w:color w:val="000000" w:themeColor="text1"/>
          <w:sz w:val="24"/>
          <w:szCs w:val="24"/>
          <w:lang w:eastAsia="ar-SA"/>
        </w:rPr>
        <w:t>pavasario</w:t>
      </w:r>
      <w:r w:rsidR="00BA5940" w:rsidRPr="000434D4">
        <w:rPr>
          <w:rFonts w:ascii="Times New Roman" w:hAnsi="Times New Roman"/>
          <w:color w:val="000000" w:themeColor="text1"/>
          <w:sz w:val="24"/>
          <w:szCs w:val="24"/>
          <w:lang w:eastAsia="ar-SA"/>
        </w:rPr>
        <w:t xml:space="preserve"> </w:t>
      </w:r>
      <w:r w:rsidR="007D4E90" w:rsidRPr="000434D4">
        <w:rPr>
          <w:rFonts w:ascii="Times New Roman" w:hAnsi="Times New Roman"/>
          <w:color w:val="000000" w:themeColor="text1"/>
          <w:sz w:val="24"/>
          <w:szCs w:val="24"/>
          <w:lang w:eastAsia="ar-SA"/>
        </w:rPr>
        <w:t xml:space="preserve">(VI) </w:t>
      </w:r>
      <w:r w:rsidRPr="000434D4">
        <w:rPr>
          <w:rFonts w:ascii="Times New Roman" w:hAnsi="Times New Roman"/>
          <w:color w:val="000000" w:themeColor="text1"/>
          <w:sz w:val="24"/>
          <w:szCs w:val="24"/>
          <w:lang w:eastAsia="ar-SA"/>
        </w:rPr>
        <w:t>sesijos darbotvarkę</w:t>
      </w:r>
      <w:r w:rsidRPr="00E33292">
        <w:rPr>
          <w:rFonts w:ascii="Times New Roman" w:hAnsi="Times New Roman"/>
          <w:color w:val="000000" w:themeColor="text1"/>
          <w:sz w:val="24"/>
          <w:szCs w:val="24"/>
          <w:lang w:eastAsia="ar-SA"/>
        </w:rPr>
        <w:t xml:space="preserve"> Seimo nutarimo „Dėl Lietuvos Respublikos Seimo Peticijų komisijos išvados dėl </w:t>
      </w:r>
      <w:r w:rsidR="001D69AA">
        <w:rPr>
          <w:rFonts w:ascii="Times New Roman" w:hAnsi="Times New Roman"/>
          <w:color w:val="000000" w:themeColor="text1"/>
          <w:sz w:val="24"/>
          <w:szCs w:val="24"/>
          <w:lang w:eastAsia="ar-SA"/>
        </w:rPr>
        <w:t xml:space="preserve">Kotrynos </w:t>
      </w:r>
      <w:proofErr w:type="spellStart"/>
      <w:r w:rsidR="001D69AA">
        <w:rPr>
          <w:rFonts w:ascii="Times New Roman" w:hAnsi="Times New Roman"/>
          <w:color w:val="000000" w:themeColor="text1"/>
          <w:sz w:val="24"/>
          <w:szCs w:val="24"/>
          <w:lang w:eastAsia="ar-SA"/>
        </w:rPr>
        <w:t>Žalėnaitės</w:t>
      </w:r>
      <w:proofErr w:type="spellEnd"/>
      <w:r w:rsidR="004A1E1A" w:rsidRPr="00E33292">
        <w:rPr>
          <w:rFonts w:ascii="Times New Roman" w:hAnsi="Times New Roman"/>
          <w:color w:val="000000" w:themeColor="text1"/>
          <w:sz w:val="24"/>
          <w:szCs w:val="24"/>
          <w:lang w:eastAsia="ar-SA"/>
        </w:rPr>
        <w:t xml:space="preserve"> </w:t>
      </w:r>
      <w:r w:rsidRPr="00E33292">
        <w:rPr>
          <w:rFonts w:ascii="Times New Roman" w:hAnsi="Times New Roman"/>
          <w:color w:val="000000" w:themeColor="text1"/>
          <w:sz w:val="24"/>
          <w:szCs w:val="24"/>
          <w:lang w:eastAsia="ar-SA"/>
        </w:rPr>
        <w:t>peticijos“ projektą.</w:t>
      </w:r>
    </w:p>
    <w:p w:rsidR="00B70DCA" w:rsidRDefault="00B70DCA" w:rsidP="00135346">
      <w:pPr>
        <w:pStyle w:val="Betarp"/>
        <w:tabs>
          <w:tab w:val="left" w:pos="1134"/>
        </w:tabs>
        <w:spacing w:line="360" w:lineRule="auto"/>
        <w:jc w:val="both"/>
        <w:rPr>
          <w:rFonts w:ascii="Times New Roman" w:hAnsi="Times New Roman"/>
          <w:sz w:val="24"/>
          <w:szCs w:val="24"/>
          <w:lang w:eastAsia="ar-SA"/>
        </w:rPr>
      </w:pPr>
    </w:p>
    <w:p w:rsidR="0048328A" w:rsidRDefault="0048328A" w:rsidP="00135346">
      <w:pPr>
        <w:pStyle w:val="Betarp"/>
        <w:tabs>
          <w:tab w:val="left" w:pos="1134"/>
        </w:tabs>
        <w:spacing w:line="360" w:lineRule="auto"/>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r w:rsidRPr="00135346">
        <w:rPr>
          <w:rFonts w:ascii="Times New Roman" w:hAnsi="Times New Roman"/>
          <w:sz w:val="24"/>
          <w:szCs w:val="24"/>
          <w:lang w:eastAsia="ar-SA"/>
        </w:rPr>
        <w:t>Komisijos pirminink</w:t>
      </w:r>
      <w:r w:rsidR="00AE3015">
        <w:rPr>
          <w:rFonts w:ascii="Times New Roman" w:hAnsi="Times New Roman"/>
          <w:sz w:val="24"/>
          <w:szCs w:val="24"/>
          <w:lang w:eastAsia="ar-SA"/>
        </w:rPr>
        <w:t>as</w:t>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t>E</w:t>
      </w:r>
      <w:r w:rsidR="005263DF">
        <w:rPr>
          <w:rFonts w:ascii="Times New Roman" w:hAnsi="Times New Roman"/>
          <w:sz w:val="24"/>
          <w:szCs w:val="24"/>
          <w:lang w:eastAsia="ar-SA"/>
        </w:rPr>
        <w:t>dmundas Pupinis</w:t>
      </w:r>
    </w:p>
    <w:p w:rsidR="00DA38BD" w:rsidRDefault="00DA38BD" w:rsidP="00883671">
      <w:pPr>
        <w:pStyle w:val="Betarp"/>
        <w:tabs>
          <w:tab w:val="left" w:pos="1134"/>
        </w:tabs>
        <w:spacing w:line="360" w:lineRule="auto"/>
        <w:jc w:val="both"/>
        <w:rPr>
          <w:rFonts w:ascii="Times New Roman" w:hAnsi="Times New Roman"/>
          <w:sz w:val="24"/>
          <w:szCs w:val="24"/>
          <w:lang w:eastAsia="ar-SA"/>
        </w:rPr>
      </w:pPr>
    </w:p>
    <w:p w:rsidR="002E6D8A" w:rsidRDefault="002E6D8A" w:rsidP="00883671">
      <w:pPr>
        <w:pStyle w:val="Betarp"/>
        <w:tabs>
          <w:tab w:val="left" w:pos="1134"/>
        </w:tabs>
        <w:spacing w:line="360" w:lineRule="auto"/>
        <w:jc w:val="both"/>
        <w:rPr>
          <w:rFonts w:ascii="Times New Roman" w:hAnsi="Times New Roman"/>
          <w:sz w:val="24"/>
          <w:szCs w:val="24"/>
          <w:lang w:eastAsia="ar-SA"/>
        </w:rPr>
      </w:pPr>
    </w:p>
    <w:p w:rsidR="00BB3866" w:rsidRDefault="00BB3866" w:rsidP="00883671">
      <w:pPr>
        <w:pStyle w:val="Betarp"/>
        <w:tabs>
          <w:tab w:val="left" w:pos="1134"/>
        </w:tabs>
        <w:spacing w:line="360" w:lineRule="auto"/>
        <w:jc w:val="both"/>
        <w:rPr>
          <w:rFonts w:ascii="Times New Roman" w:hAnsi="Times New Roman"/>
          <w:sz w:val="24"/>
          <w:szCs w:val="24"/>
          <w:lang w:eastAsia="ar-SA"/>
        </w:rPr>
      </w:pPr>
    </w:p>
    <w:p w:rsidR="00BB3866" w:rsidRDefault="00BB3866" w:rsidP="00883671">
      <w:pPr>
        <w:pStyle w:val="Betarp"/>
        <w:tabs>
          <w:tab w:val="left" w:pos="1134"/>
        </w:tabs>
        <w:spacing w:line="360" w:lineRule="auto"/>
        <w:jc w:val="both"/>
        <w:rPr>
          <w:rFonts w:ascii="Times New Roman" w:hAnsi="Times New Roman"/>
          <w:sz w:val="24"/>
          <w:szCs w:val="24"/>
          <w:lang w:eastAsia="ar-SA"/>
        </w:rPr>
      </w:pPr>
    </w:p>
    <w:p w:rsidR="003D702A" w:rsidRDefault="003D702A" w:rsidP="00883671">
      <w:pPr>
        <w:pStyle w:val="Betarp"/>
        <w:tabs>
          <w:tab w:val="left" w:pos="1134"/>
        </w:tabs>
        <w:spacing w:line="360" w:lineRule="auto"/>
        <w:jc w:val="both"/>
        <w:rPr>
          <w:rFonts w:ascii="Times New Roman" w:hAnsi="Times New Roman"/>
          <w:sz w:val="24"/>
          <w:szCs w:val="24"/>
          <w:lang w:eastAsia="ar-SA"/>
        </w:rPr>
      </w:pPr>
    </w:p>
    <w:p w:rsidR="003D702A" w:rsidRDefault="003D702A" w:rsidP="00883671">
      <w:pPr>
        <w:pStyle w:val="Betarp"/>
        <w:tabs>
          <w:tab w:val="left" w:pos="1134"/>
        </w:tabs>
        <w:spacing w:line="360" w:lineRule="auto"/>
        <w:jc w:val="both"/>
        <w:rPr>
          <w:rFonts w:ascii="Times New Roman" w:hAnsi="Times New Roman"/>
          <w:sz w:val="24"/>
          <w:szCs w:val="24"/>
          <w:lang w:eastAsia="ar-SA"/>
        </w:rPr>
      </w:pPr>
    </w:p>
    <w:p w:rsidR="003D702A" w:rsidRDefault="003D702A" w:rsidP="00883671">
      <w:pPr>
        <w:pStyle w:val="Betarp"/>
        <w:tabs>
          <w:tab w:val="left" w:pos="1134"/>
        </w:tabs>
        <w:spacing w:line="360" w:lineRule="auto"/>
        <w:jc w:val="both"/>
        <w:rPr>
          <w:rFonts w:ascii="Times New Roman" w:hAnsi="Times New Roman"/>
          <w:sz w:val="24"/>
          <w:szCs w:val="24"/>
          <w:lang w:eastAsia="ar-SA"/>
        </w:rPr>
      </w:pPr>
    </w:p>
    <w:p w:rsidR="003D702A" w:rsidRDefault="003D702A" w:rsidP="00883671">
      <w:pPr>
        <w:pStyle w:val="Betarp"/>
        <w:tabs>
          <w:tab w:val="left" w:pos="1134"/>
        </w:tabs>
        <w:spacing w:line="360" w:lineRule="auto"/>
        <w:jc w:val="both"/>
        <w:rPr>
          <w:rFonts w:ascii="Times New Roman" w:hAnsi="Times New Roman"/>
          <w:sz w:val="24"/>
          <w:szCs w:val="24"/>
          <w:lang w:eastAsia="ar-SA"/>
        </w:rPr>
      </w:pPr>
    </w:p>
    <w:p w:rsidR="003D702A" w:rsidRDefault="003D702A" w:rsidP="00883671">
      <w:pPr>
        <w:pStyle w:val="Betarp"/>
        <w:tabs>
          <w:tab w:val="left" w:pos="1134"/>
        </w:tabs>
        <w:spacing w:line="360" w:lineRule="auto"/>
        <w:jc w:val="both"/>
        <w:rPr>
          <w:rFonts w:ascii="Times New Roman" w:hAnsi="Times New Roman"/>
          <w:sz w:val="24"/>
          <w:szCs w:val="24"/>
          <w:lang w:eastAsia="ar-SA"/>
        </w:rPr>
      </w:pPr>
    </w:p>
    <w:p w:rsidR="003D702A" w:rsidRDefault="003D702A" w:rsidP="00883671">
      <w:pPr>
        <w:pStyle w:val="Betarp"/>
        <w:tabs>
          <w:tab w:val="left" w:pos="1134"/>
        </w:tabs>
        <w:spacing w:line="360" w:lineRule="auto"/>
        <w:jc w:val="both"/>
        <w:rPr>
          <w:rFonts w:ascii="Times New Roman" w:hAnsi="Times New Roman"/>
          <w:sz w:val="24"/>
          <w:szCs w:val="24"/>
          <w:lang w:eastAsia="ar-SA"/>
        </w:rPr>
      </w:pPr>
    </w:p>
    <w:p w:rsidR="003D702A" w:rsidRDefault="003D702A" w:rsidP="00883671">
      <w:pPr>
        <w:pStyle w:val="Betarp"/>
        <w:tabs>
          <w:tab w:val="left" w:pos="1134"/>
        </w:tabs>
        <w:spacing w:line="360" w:lineRule="auto"/>
        <w:jc w:val="both"/>
        <w:rPr>
          <w:rFonts w:ascii="Times New Roman" w:hAnsi="Times New Roman"/>
          <w:sz w:val="24"/>
          <w:szCs w:val="24"/>
          <w:lang w:eastAsia="ar-SA"/>
        </w:rPr>
      </w:pPr>
    </w:p>
    <w:p w:rsidR="003D702A" w:rsidRDefault="003D702A" w:rsidP="00883671">
      <w:pPr>
        <w:pStyle w:val="Betarp"/>
        <w:tabs>
          <w:tab w:val="left" w:pos="1134"/>
        </w:tabs>
        <w:spacing w:line="360" w:lineRule="auto"/>
        <w:jc w:val="both"/>
        <w:rPr>
          <w:rFonts w:ascii="Times New Roman" w:hAnsi="Times New Roman"/>
          <w:sz w:val="24"/>
          <w:szCs w:val="24"/>
          <w:lang w:eastAsia="ar-SA"/>
        </w:rPr>
      </w:pPr>
    </w:p>
    <w:p w:rsidR="003D702A" w:rsidRDefault="003D702A" w:rsidP="00883671">
      <w:pPr>
        <w:pStyle w:val="Betarp"/>
        <w:tabs>
          <w:tab w:val="left" w:pos="1134"/>
        </w:tabs>
        <w:spacing w:line="360" w:lineRule="auto"/>
        <w:jc w:val="both"/>
        <w:rPr>
          <w:rFonts w:ascii="Times New Roman" w:hAnsi="Times New Roman"/>
          <w:sz w:val="24"/>
          <w:szCs w:val="24"/>
          <w:lang w:eastAsia="ar-SA"/>
        </w:rPr>
      </w:pPr>
    </w:p>
    <w:p w:rsidR="003D702A" w:rsidRDefault="003D702A" w:rsidP="00883671">
      <w:pPr>
        <w:pStyle w:val="Betarp"/>
        <w:tabs>
          <w:tab w:val="left" w:pos="1134"/>
        </w:tabs>
        <w:spacing w:line="360" w:lineRule="auto"/>
        <w:jc w:val="both"/>
        <w:rPr>
          <w:rFonts w:ascii="Times New Roman" w:hAnsi="Times New Roman"/>
          <w:sz w:val="24"/>
          <w:szCs w:val="24"/>
          <w:lang w:eastAsia="ar-SA"/>
        </w:rPr>
      </w:pPr>
    </w:p>
    <w:p w:rsidR="003D702A" w:rsidRDefault="003D702A" w:rsidP="00883671">
      <w:pPr>
        <w:pStyle w:val="Betarp"/>
        <w:tabs>
          <w:tab w:val="left" w:pos="1134"/>
        </w:tabs>
        <w:spacing w:line="360" w:lineRule="auto"/>
        <w:jc w:val="both"/>
        <w:rPr>
          <w:rFonts w:ascii="Times New Roman" w:hAnsi="Times New Roman"/>
          <w:sz w:val="24"/>
          <w:szCs w:val="24"/>
          <w:lang w:eastAsia="ar-SA"/>
        </w:rPr>
      </w:pPr>
    </w:p>
    <w:p w:rsidR="003D702A" w:rsidRDefault="003D702A" w:rsidP="00883671">
      <w:pPr>
        <w:pStyle w:val="Betarp"/>
        <w:tabs>
          <w:tab w:val="left" w:pos="1134"/>
        </w:tabs>
        <w:spacing w:line="360" w:lineRule="auto"/>
        <w:jc w:val="both"/>
        <w:rPr>
          <w:rFonts w:ascii="Times New Roman" w:hAnsi="Times New Roman"/>
          <w:sz w:val="24"/>
          <w:szCs w:val="24"/>
          <w:lang w:eastAsia="ar-SA"/>
        </w:rPr>
      </w:pPr>
    </w:p>
    <w:p w:rsidR="003D702A" w:rsidRDefault="003D702A" w:rsidP="00883671">
      <w:pPr>
        <w:pStyle w:val="Betarp"/>
        <w:tabs>
          <w:tab w:val="left" w:pos="1134"/>
        </w:tabs>
        <w:spacing w:line="360" w:lineRule="auto"/>
        <w:jc w:val="both"/>
        <w:rPr>
          <w:rFonts w:ascii="Times New Roman" w:hAnsi="Times New Roman"/>
          <w:sz w:val="24"/>
          <w:szCs w:val="24"/>
          <w:lang w:eastAsia="ar-SA"/>
        </w:rPr>
      </w:pPr>
    </w:p>
    <w:p w:rsidR="003D702A" w:rsidRDefault="003D702A" w:rsidP="00883671">
      <w:pPr>
        <w:pStyle w:val="Betarp"/>
        <w:tabs>
          <w:tab w:val="left" w:pos="1134"/>
        </w:tabs>
        <w:spacing w:line="360" w:lineRule="auto"/>
        <w:jc w:val="both"/>
        <w:rPr>
          <w:rFonts w:ascii="Times New Roman" w:hAnsi="Times New Roman"/>
          <w:sz w:val="24"/>
          <w:szCs w:val="24"/>
          <w:lang w:eastAsia="ar-SA"/>
        </w:rPr>
      </w:pPr>
    </w:p>
    <w:p w:rsidR="003D702A" w:rsidRDefault="003D702A" w:rsidP="00883671">
      <w:pPr>
        <w:pStyle w:val="Betarp"/>
        <w:tabs>
          <w:tab w:val="left" w:pos="1134"/>
        </w:tabs>
        <w:spacing w:line="360" w:lineRule="auto"/>
        <w:jc w:val="both"/>
        <w:rPr>
          <w:rFonts w:ascii="Times New Roman" w:hAnsi="Times New Roman"/>
          <w:sz w:val="24"/>
          <w:szCs w:val="24"/>
          <w:lang w:eastAsia="ar-SA"/>
        </w:rPr>
      </w:pPr>
    </w:p>
    <w:p w:rsidR="00BB3866" w:rsidRDefault="00BB3866" w:rsidP="00883671">
      <w:pPr>
        <w:pStyle w:val="Betarp"/>
        <w:tabs>
          <w:tab w:val="left" w:pos="1134"/>
        </w:tabs>
        <w:spacing w:line="360" w:lineRule="auto"/>
        <w:jc w:val="both"/>
        <w:rPr>
          <w:rFonts w:ascii="Times New Roman" w:hAnsi="Times New Roman"/>
          <w:sz w:val="24"/>
          <w:szCs w:val="24"/>
          <w:lang w:eastAsia="ar-SA"/>
        </w:rPr>
      </w:pPr>
    </w:p>
    <w:p w:rsidR="00CA423F" w:rsidRDefault="00CA423F" w:rsidP="00883671">
      <w:pPr>
        <w:pStyle w:val="Betarp"/>
        <w:tabs>
          <w:tab w:val="left" w:pos="1134"/>
        </w:tabs>
        <w:spacing w:line="360" w:lineRule="auto"/>
        <w:jc w:val="both"/>
        <w:rPr>
          <w:rFonts w:ascii="Times New Roman" w:hAnsi="Times New Roman"/>
          <w:sz w:val="24"/>
          <w:szCs w:val="24"/>
          <w:lang w:eastAsia="ar-SA"/>
        </w:rPr>
      </w:pPr>
    </w:p>
    <w:p w:rsidR="003F5F33" w:rsidRDefault="00E466EA" w:rsidP="00883671">
      <w:pPr>
        <w:pStyle w:val="Betarp"/>
        <w:tabs>
          <w:tab w:val="left" w:pos="1134"/>
        </w:tabs>
        <w:spacing w:line="360" w:lineRule="auto"/>
        <w:jc w:val="both"/>
        <w:rPr>
          <w:rFonts w:ascii="Times New Roman" w:hAnsi="Times New Roman"/>
          <w:sz w:val="24"/>
          <w:szCs w:val="24"/>
        </w:rPr>
      </w:pPr>
      <w:r>
        <w:rPr>
          <w:rFonts w:ascii="Times New Roman" w:hAnsi="Times New Roman"/>
          <w:sz w:val="24"/>
          <w:szCs w:val="24"/>
          <w:lang w:eastAsia="ar-SA"/>
        </w:rPr>
        <w:t>R</w:t>
      </w:r>
      <w:r w:rsidR="00135346" w:rsidRPr="00135346">
        <w:rPr>
          <w:rFonts w:ascii="Times New Roman" w:hAnsi="Times New Roman"/>
          <w:sz w:val="24"/>
          <w:szCs w:val="24"/>
          <w:lang w:eastAsia="ar-SA"/>
        </w:rPr>
        <w:t>asa Grici</w:t>
      </w:r>
      <w:r w:rsidR="00135346" w:rsidRPr="00135346">
        <w:rPr>
          <w:rFonts w:ascii="Times New Roman" w:hAnsi="Times New Roman" w:hint="eastAsia"/>
          <w:sz w:val="24"/>
          <w:szCs w:val="24"/>
          <w:lang w:eastAsia="ar-SA"/>
        </w:rPr>
        <w:t>ū</w:t>
      </w:r>
      <w:r w:rsidR="00135346" w:rsidRPr="00135346">
        <w:rPr>
          <w:rFonts w:ascii="Times New Roman" w:hAnsi="Times New Roman"/>
          <w:sz w:val="24"/>
          <w:szCs w:val="24"/>
          <w:lang w:eastAsia="ar-SA"/>
        </w:rPr>
        <w:t>t</w:t>
      </w:r>
      <w:r w:rsidR="00135346" w:rsidRPr="00135346">
        <w:rPr>
          <w:rFonts w:ascii="Times New Roman" w:hAnsi="Times New Roman" w:hint="eastAsia"/>
          <w:sz w:val="24"/>
          <w:szCs w:val="24"/>
          <w:lang w:eastAsia="ar-SA"/>
        </w:rPr>
        <w:t>ė</w:t>
      </w:r>
      <w:r w:rsidR="00135346" w:rsidRPr="00135346">
        <w:rPr>
          <w:rFonts w:ascii="Times New Roman" w:hAnsi="Times New Roman"/>
          <w:sz w:val="24"/>
          <w:szCs w:val="24"/>
          <w:lang w:eastAsia="ar-SA"/>
        </w:rPr>
        <w:t>, tel. (8 5)  239 6817, el. p. rasa.griciute@lrs.lt</w:t>
      </w:r>
    </w:p>
    <w:sectPr w:rsidR="003F5F33" w:rsidSect="004624A4">
      <w:headerReference w:type="default" r:id="rId9"/>
      <w:pgSz w:w="11906" w:h="16838"/>
      <w:pgMar w:top="1134" w:right="851"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95B" w:rsidRDefault="001B595B" w:rsidP="00A618F7">
      <w:r>
        <w:separator/>
      </w:r>
    </w:p>
  </w:endnote>
  <w:endnote w:type="continuationSeparator" w:id="0">
    <w:p w:rsidR="001B595B" w:rsidRDefault="001B595B" w:rsidP="00A6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95B" w:rsidRDefault="001B595B" w:rsidP="00A618F7">
      <w:r>
        <w:separator/>
      </w:r>
    </w:p>
  </w:footnote>
  <w:footnote w:type="continuationSeparator" w:id="0">
    <w:p w:rsidR="001B595B" w:rsidRDefault="001B595B" w:rsidP="00A618F7">
      <w:r>
        <w:continuationSeparator/>
      </w:r>
    </w:p>
  </w:footnote>
  <w:footnote w:id="1">
    <w:p w:rsidR="0023430A" w:rsidRPr="0023430A" w:rsidRDefault="0023430A" w:rsidP="00595358">
      <w:pPr>
        <w:pStyle w:val="Puslapioinaostekstas"/>
        <w:jc w:val="both"/>
        <w:rPr>
          <w:iCs/>
          <w:lang w:val="lt-LT"/>
        </w:rPr>
      </w:pPr>
      <w:r w:rsidRPr="0023430A">
        <w:rPr>
          <w:rStyle w:val="Puslapioinaosnuoroda"/>
          <w:lang w:val="lt-LT"/>
        </w:rPr>
        <w:footnoteRef/>
      </w:r>
      <w:r w:rsidRPr="0023430A">
        <w:rPr>
          <w:lang w:val="lt-LT"/>
        </w:rPr>
        <w:t xml:space="preserve">Atkreiptinas dėmesys, kad </w:t>
      </w:r>
      <w:r w:rsidRPr="0023430A">
        <w:rPr>
          <w:iCs/>
          <w:lang w:val="lt-LT"/>
        </w:rPr>
        <w:t xml:space="preserve">galiojančiame </w:t>
      </w:r>
      <w:r w:rsidR="000473A6">
        <w:rPr>
          <w:iCs/>
          <w:lang w:val="lt-LT"/>
        </w:rPr>
        <w:t>Baudžiamojo proceso kodekse</w:t>
      </w:r>
      <w:r w:rsidRPr="0023430A">
        <w:rPr>
          <w:iCs/>
          <w:lang w:val="lt-LT"/>
        </w:rPr>
        <w:t xml:space="preserve"> šios nuostatos yra reglamentuotos 168 straipsnio 5 dalyje.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7565"/>
      <w:docPartObj>
        <w:docPartGallery w:val="Page Numbers (Top of Page)"/>
        <w:docPartUnique/>
      </w:docPartObj>
    </w:sdtPr>
    <w:sdtEndPr>
      <w:rPr>
        <w:rFonts w:ascii="Times New Roman" w:hAnsi="Times New Roman"/>
        <w:sz w:val="24"/>
        <w:szCs w:val="24"/>
      </w:rPr>
    </w:sdtEndPr>
    <w:sdtContent>
      <w:p w:rsidR="001B595B" w:rsidRPr="00A618F7" w:rsidRDefault="001B595B">
        <w:pPr>
          <w:pStyle w:val="Antrats"/>
          <w:jc w:val="center"/>
          <w:rPr>
            <w:rFonts w:ascii="Times New Roman" w:hAnsi="Times New Roman"/>
            <w:sz w:val="24"/>
            <w:szCs w:val="24"/>
          </w:rPr>
        </w:pPr>
        <w:r w:rsidRPr="00A618F7">
          <w:rPr>
            <w:rFonts w:ascii="Times New Roman" w:hAnsi="Times New Roman"/>
            <w:sz w:val="24"/>
            <w:szCs w:val="24"/>
          </w:rPr>
          <w:fldChar w:fldCharType="begin"/>
        </w:r>
        <w:r w:rsidRPr="00A618F7">
          <w:rPr>
            <w:rFonts w:ascii="Times New Roman" w:hAnsi="Times New Roman"/>
            <w:sz w:val="24"/>
            <w:szCs w:val="24"/>
          </w:rPr>
          <w:instrText>PAGE   \* MERGEFORMAT</w:instrText>
        </w:r>
        <w:r w:rsidRPr="00A618F7">
          <w:rPr>
            <w:rFonts w:ascii="Times New Roman" w:hAnsi="Times New Roman"/>
            <w:sz w:val="24"/>
            <w:szCs w:val="24"/>
          </w:rPr>
          <w:fldChar w:fldCharType="separate"/>
        </w:r>
        <w:r w:rsidR="00B31A89">
          <w:rPr>
            <w:rFonts w:ascii="Times New Roman" w:hAnsi="Times New Roman"/>
            <w:noProof/>
            <w:sz w:val="24"/>
            <w:szCs w:val="24"/>
          </w:rPr>
          <w:t>11</w:t>
        </w:r>
        <w:r w:rsidRPr="00A618F7">
          <w:rPr>
            <w:rFonts w:ascii="Times New Roman" w:hAnsi="Times New Roman"/>
            <w:sz w:val="24"/>
            <w:szCs w:val="24"/>
          </w:rPr>
          <w:fldChar w:fldCharType="end"/>
        </w:r>
      </w:p>
    </w:sdtContent>
  </w:sdt>
  <w:p w:rsidR="001B595B" w:rsidRDefault="001B595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13290"/>
    <w:multiLevelType w:val="hybridMultilevel"/>
    <w:tmpl w:val="342ABEB8"/>
    <w:lvl w:ilvl="0" w:tplc="D71284B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1298"/>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054F5"/>
    <w:rsid w:val="00005876"/>
    <w:rsid w:val="00007646"/>
    <w:rsid w:val="00013CD3"/>
    <w:rsid w:val="000317D4"/>
    <w:rsid w:val="00032E3D"/>
    <w:rsid w:val="00035763"/>
    <w:rsid w:val="00041A0D"/>
    <w:rsid w:val="00042A1C"/>
    <w:rsid w:val="000434D4"/>
    <w:rsid w:val="00043AB2"/>
    <w:rsid w:val="00043D82"/>
    <w:rsid w:val="0004523C"/>
    <w:rsid w:val="0004543A"/>
    <w:rsid w:val="000473A6"/>
    <w:rsid w:val="00054198"/>
    <w:rsid w:val="00054D78"/>
    <w:rsid w:val="00054FDF"/>
    <w:rsid w:val="00055048"/>
    <w:rsid w:val="000563F5"/>
    <w:rsid w:val="000605CA"/>
    <w:rsid w:val="00063562"/>
    <w:rsid w:val="00064507"/>
    <w:rsid w:val="00065AB6"/>
    <w:rsid w:val="00066455"/>
    <w:rsid w:val="000676F6"/>
    <w:rsid w:val="00074F1E"/>
    <w:rsid w:val="00075061"/>
    <w:rsid w:val="00094970"/>
    <w:rsid w:val="00096A36"/>
    <w:rsid w:val="000A1F59"/>
    <w:rsid w:val="000A2419"/>
    <w:rsid w:val="000A35AE"/>
    <w:rsid w:val="000B008F"/>
    <w:rsid w:val="000B29C8"/>
    <w:rsid w:val="000B30C4"/>
    <w:rsid w:val="000B50F2"/>
    <w:rsid w:val="000B5A0C"/>
    <w:rsid w:val="000C3DA6"/>
    <w:rsid w:val="000C6FF7"/>
    <w:rsid w:val="000D1836"/>
    <w:rsid w:val="000E1825"/>
    <w:rsid w:val="000F0F78"/>
    <w:rsid w:val="000F57E4"/>
    <w:rsid w:val="000F7CAE"/>
    <w:rsid w:val="00102ACA"/>
    <w:rsid w:val="001031E0"/>
    <w:rsid w:val="001048E0"/>
    <w:rsid w:val="001076F4"/>
    <w:rsid w:val="00107F15"/>
    <w:rsid w:val="00111A10"/>
    <w:rsid w:val="00111F6A"/>
    <w:rsid w:val="00112561"/>
    <w:rsid w:val="001143A8"/>
    <w:rsid w:val="001152E3"/>
    <w:rsid w:val="0011643A"/>
    <w:rsid w:val="00116E33"/>
    <w:rsid w:val="00117ACF"/>
    <w:rsid w:val="00122ECC"/>
    <w:rsid w:val="0013103A"/>
    <w:rsid w:val="00134578"/>
    <w:rsid w:val="0013516C"/>
    <w:rsid w:val="00135346"/>
    <w:rsid w:val="00137398"/>
    <w:rsid w:val="00140919"/>
    <w:rsid w:val="001427D0"/>
    <w:rsid w:val="00144359"/>
    <w:rsid w:val="00151C06"/>
    <w:rsid w:val="00157442"/>
    <w:rsid w:val="001612AF"/>
    <w:rsid w:val="00172476"/>
    <w:rsid w:val="00172C61"/>
    <w:rsid w:val="001764E1"/>
    <w:rsid w:val="0017707D"/>
    <w:rsid w:val="00184772"/>
    <w:rsid w:val="0018594A"/>
    <w:rsid w:val="0018768A"/>
    <w:rsid w:val="00190F20"/>
    <w:rsid w:val="00197428"/>
    <w:rsid w:val="001976D0"/>
    <w:rsid w:val="001A1864"/>
    <w:rsid w:val="001A2005"/>
    <w:rsid w:val="001B1B18"/>
    <w:rsid w:val="001B33A6"/>
    <w:rsid w:val="001B595B"/>
    <w:rsid w:val="001B5EC0"/>
    <w:rsid w:val="001C0504"/>
    <w:rsid w:val="001C09AE"/>
    <w:rsid w:val="001C1C6C"/>
    <w:rsid w:val="001C682D"/>
    <w:rsid w:val="001D06FE"/>
    <w:rsid w:val="001D0891"/>
    <w:rsid w:val="001D14A2"/>
    <w:rsid w:val="001D580C"/>
    <w:rsid w:val="001D6691"/>
    <w:rsid w:val="001D67C8"/>
    <w:rsid w:val="001D69AA"/>
    <w:rsid w:val="001E36B6"/>
    <w:rsid w:val="001E3FE2"/>
    <w:rsid w:val="001F2ABA"/>
    <w:rsid w:val="001F61D8"/>
    <w:rsid w:val="00204FA1"/>
    <w:rsid w:val="0020504F"/>
    <w:rsid w:val="00206987"/>
    <w:rsid w:val="00207995"/>
    <w:rsid w:val="00211FC6"/>
    <w:rsid w:val="00212538"/>
    <w:rsid w:val="0022684C"/>
    <w:rsid w:val="00227101"/>
    <w:rsid w:val="00230C3F"/>
    <w:rsid w:val="00233F42"/>
    <w:rsid w:val="0023430A"/>
    <w:rsid w:val="00234DBE"/>
    <w:rsid w:val="002368D3"/>
    <w:rsid w:val="00236F81"/>
    <w:rsid w:val="00237F5E"/>
    <w:rsid w:val="002442CA"/>
    <w:rsid w:val="002446FB"/>
    <w:rsid w:val="002452AA"/>
    <w:rsid w:val="00245E31"/>
    <w:rsid w:val="00246EB6"/>
    <w:rsid w:val="00247207"/>
    <w:rsid w:val="0025131C"/>
    <w:rsid w:val="00255C9E"/>
    <w:rsid w:val="002600BA"/>
    <w:rsid w:val="00261648"/>
    <w:rsid w:val="002658CB"/>
    <w:rsid w:val="00271439"/>
    <w:rsid w:val="00271F63"/>
    <w:rsid w:val="00273300"/>
    <w:rsid w:val="0027576D"/>
    <w:rsid w:val="00280B58"/>
    <w:rsid w:val="002821BF"/>
    <w:rsid w:val="00282617"/>
    <w:rsid w:val="00290605"/>
    <w:rsid w:val="00292C99"/>
    <w:rsid w:val="002944A5"/>
    <w:rsid w:val="002A2CA5"/>
    <w:rsid w:val="002A7A10"/>
    <w:rsid w:val="002A7DA2"/>
    <w:rsid w:val="002B23DA"/>
    <w:rsid w:val="002B39B0"/>
    <w:rsid w:val="002B4E3A"/>
    <w:rsid w:val="002B63E2"/>
    <w:rsid w:val="002B67D6"/>
    <w:rsid w:val="002C0240"/>
    <w:rsid w:val="002C094E"/>
    <w:rsid w:val="002C2F57"/>
    <w:rsid w:val="002C47F6"/>
    <w:rsid w:val="002D2770"/>
    <w:rsid w:val="002D61FF"/>
    <w:rsid w:val="002D6AC5"/>
    <w:rsid w:val="002E231E"/>
    <w:rsid w:val="002E6589"/>
    <w:rsid w:val="002E6D8A"/>
    <w:rsid w:val="002F513C"/>
    <w:rsid w:val="002F5F3E"/>
    <w:rsid w:val="002F63FA"/>
    <w:rsid w:val="00302517"/>
    <w:rsid w:val="00312705"/>
    <w:rsid w:val="00320508"/>
    <w:rsid w:val="0032176A"/>
    <w:rsid w:val="00333F29"/>
    <w:rsid w:val="00334E06"/>
    <w:rsid w:val="003364F0"/>
    <w:rsid w:val="00340CC8"/>
    <w:rsid w:val="00343064"/>
    <w:rsid w:val="00350191"/>
    <w:rsid w:val="003515CC"/>
    <w:rsid w:val="00355146"/>
    <w:rsid w:val="00373106"/>
    <w:rsid w:val="00382BF5"/>
    <w:rsid w:val="003878AD"/>
    <w:rsid w:val="003964E1"/>
    <w:rsid w:val="003B1E99"/>
    <w:rsid w:val="003B5D73"/>
    <w:rsid w:val="003B69A3"/>
    <w:rsid w:val="003C249C"/>
    <w:rsid w:val="003D0471"/>
    <w:rsid w:val="003D702A"/>
    <w:rsid w:val="003D7ED2"/>
    <w:rsid w:val="003E2370"/>
    <w:rsid w:val="003E4EC7"/>
    <w:rsid w:val="003E63B7"/>
    <w:rsid w:val="003E694D"/>
    <w:rsid w:val="003E7934"/>
    <w:rsid w:val="003F27A8"/>
    <w:rsid w:val="003F3B6E"/>
    <w:rsid w:val="003F54B5"/>
    <w:rsid w:val="003F5F33"/>
    <w:rsid w:val="003F685E"/>
    <w:rsid w:val="004022D3"/>
    <w:rsid w:val="00402F72"/>
    <w:rsid w:val="004107CD"/>
    <w:rsid w:val="00414E54"/>
    <w:rsid w:val="00415A86"/>
    <w:rsid w:val="00416206"/>
    <w:rsid w:val="004202F5"/>
    <w:rsid w:val="00422B75"/>
    <w:rsid w:val="00427FC2"/>
    <w:rsid w:val="004324C5"/>
    <w:rsid w:val="00432FD2"/>
    <w:rsid w:val="004334BF"/>
    <w:rsid w:val="004351D8"/>
    <w:rsid w:val="00435C07"/>
    <w:rsid w:val="0044187D"/>
    <w:rsid w:val="00447A41"/>
    <w:rsid w:val="00460840"/>
    <w:rsid w:val="004624A4"/>
    <w:rsid w:val="00471F84"/>
    <w:rsid w:val="004819E5"/>
    <w:rsid w:val="0048328A"/>
    <w:rsid w:val="00487756"/>
    <w:rsid w:val="00491F41"/>
    <w:rsid w:val="00492A48"/>
    <w:rsid w:val="00494994"/>
    <w:rsid w:val="004A1E1A"/>
    <w:rsid w:val="004A25DE"/>
    <w:rsid w:val="004A36FA"/>
    <w:rsid w:val="004A4BE9"/>
    <w:rsid w:val="004A4DF3"/>
    <w:rsid w:val="004B44DC"/>
    <w:rsid w:val="004B5B02"/>
    <w:rsid w:val="004B78C8"/>
    <w:rsid w:val="004B7ACE"/>
    <w:rsid w:val="004C0D4F"/>
    <w:rsid w:val="004C24E7"/>
    <w:rsid w:val="004C4A3F"/>
    <w:rsid w:val="004C6A2B"/>
    <w:rsid w:val="004D01F2"/>
    <w:rsid w:val="004D13DA"/>
    <w:rsid w:val="004D1791"/>
    <w:rsid w:val="004D6DEE"/>
    <w:rsid w:val="004E1287"/>
    <w:rsid w:val="004E3BBF"/>
    <w:rsid w:val="004F3132"/>
    <w:rsid w:val="004F49F5"/>
    <w:rsid w:val="0050358C"/>
    <w:rsid w:val="005038B2"/>
    <w:rsid w:val="00505204"/>
    <w:rsid w:val="0051109C"/>
    <w:rsid w:val="00512361"/>
    <w:rsid w:val="00512416"/>
    <w:rsid w:val="0051636C"/>
    <w:rsid w:val="005246AA"/>
    <w:rsid w:val="00524D2C"/>
    <w:rsid w:val="005263DF"/>
    <w:rsid w:val="00533925"/>
    <w:rsid w:val="00534504"/>
    <w:rsid w:val="00536470"/>
    <w:rsid w:val="005450CA"/>
    <w:rsid w:val="00545CA1"/>
    <w:rsid w:val="00547061"/>
    <w:rsid w:val="005502DA"/>
    <w:rsid w:val="005520F3"/>
    <w:rsid w:val="00556592"/>
    <w:rsid w:val="005619B5"/>
    <w:rsid w:val="00576E5E"/>
    <w:rsid w:val="00583C5F"/>
    <w:rsid w:val="00584987"/>
    <w:rsid w:val="00593A08"/>
    <w:rsid w:val="00595358"/>
    <w:rsid w:val="005977E0"/>
    <w:rsid w:val="005A10E2"/>
    <w:rsid w:val="005A4F8B"/>
    <w:rsid w:val="005A5045"/>
    <w:rsid w:val="005A5276"/>
    <w:rsid w:val="005B1920"/>
    <w:rsid w:val="005B66A5"/>
    <w:rsid w:val="005B6C28"/>
    <w:rsid w:val="005B7B60"/>
    <w:rsid w:val="005B7CE5"/>
    <w:rsid w:val="005C2B1F"/>
    <w:rsid w:val="005C441E"/>
    <w:rsid w:val="005C497B"/>
    <w:rsid w:val="005C546E"/>
    <w:rsid w:val="005C5AB0"/>
    <w:rsid w:val="005C5B44"/>
    <w:rsid w:val="005C6765"/>
    <w:rsid w:val="005D0165"/>
    <w:rsid w:val="005D314F"/>
    <w:rsid w:val="005D4877"/>
    <w:rsid w:val="005D5758"/>
    <w:rsid w:val="005E074A"/>
    <w:rsid w:val="005E0D50"/>
    <w:rsid w:val="005E2B10"/>
    <w:rsid w:val="005E41A0"/>
    <w:rsid w:val="005E4522"/>
    <w:rsid w:val="005F61EB"/>
    <w:rsid w:val="005F7F97"/>
    <w:rsid w:val="00605098"/>
    <w:rsid w:val="00611CBD"/>
    <w:rsid w:val="006163A4"/>
    <w:rsid w:val="00621034"/>
    <w:rsid w:val="00624568"/>
    <w:rsid w:val="00626E46"/>
    <w:rsid w:val="00632A07"/>
    <w:rsid w:val="00637B2E"/>
    <w:rsid w:val="00637B5A"/>
    <w:rsid w:val="0064094C"/>
    <w:rsid w:val="006431E2"/>
    <w:rsid w:val="0064594B"/>
    <w:rsid w:val="0064673D"/>
    <w:rsid w:val="00662E5D"/>
    <w:rsid w:val="00664A6A"/>
    <w:rsid w:val="006677DE"/>
    <w:rsid w:val="00672CE6"/>
    <w:rsid w:val="006775A3"/>
    <w:rsid w:val="006879E7"/>
    <w:rsid w:val="00691256"/>
    <w:rsid w:val="006A0963"/>
    <w:rsid w:val="006A5E91"/>
    <w:rsid w:val="006A714A"/>
    <w:rsid w:val="006B1114"/>
    <w:rsid w:val="006B7732"/>
    <w:rsid w:val="006C0447"/>
    <w:rsid w:val="006C2F7E"/>
    <w:rsid w:val="006C6CB5"/>
    <w:rsid w:val="006D60EA"/>
    <w:rsid w:val="006E15A2"/>
    <w:rsid w:val="006E3578"/>
    <w:rsid w:val="006E39CA"/>
    <w:rsid w:val="006E52E3"/>
    <w:rsid w:val="006E53DD"/>
    <w:rsid w:val="006E639B"/>
    <w:rsid w:val="006E7DC2"/>
    <w:rsid w:val="006F02AC"/>
    <w:rsid w:val="006F155E"/>
    <w:rsid w:val="006F6977"/>
    <w:rsid w:val="00704CE6"/>
    <w:rsid w:val="00714A6D"/>
    <w:rsid w:val="00716955"/>
    <w:rsid w:val="00716FAA"/>
    <w:rsid w:val="007244D3"/>
    <w:rsid w:val="0072480E"/>
    <w:rsid w:val="007272F1"/>
    <w:rsid w:val="0073085E"/>
    <w:rsid w:val="00746659"/>
    <w:rsid w:val="00752F22"/>
    <w:rsid w:val="007614DE"/>
    <w:rsid w:val="007616B6"/>
    <w:rsid w:val="00761D28"/>
    <w:rsid w:val="007621D2"/>
    <w:rsid w:val="007671B5"/>
    <w:rsid w:val="00767FBF"/>
    <w:rsid w:val="00776CE2"/>
    <w:rsid w:val="00777ADA"/>
    <w:rsid w:val="00781A5A"/>
    <w:rsid w:val="00783707"/>
    <w:rsid w:val="0079436F"/>
    <w:rsid w:val="00795533"/>
    <w:rsid w:val="007A0C13"/>
    <w:rsid w:val="007A3666"/>
    <w:rsid w:val="007A39F1"/>
    <w:rsid w:val="007A504A"/>
    <w:rsid w:val="007A6AD7"/>
    <w:rsid w:val="007A720C"/>
    <w:rsid w:val="007B2D21"/>
    <w:rsid w:val="007B4185"/>
    <w:rsid w:val="007B6AC5"/>
    <w:rsid w:val="007C0302"/>
    <w:rsid w:val="007C047B"/>
    <w:rsid w:val="007C1BF0"/>
    <w:rsid w:val="007C4C61"/>
    <w:rsid w:val="007D16B6"/>
    <w:rsid w:val="007D4E90"/>
    <w:rsid w:val="007E34F2"/>
    <w:rsid w:val="007E70EE"/>
    <w:rsid w:val="007F6A7C"/>
    <w:rsid w:val="007F7219"/>
    <w:rsid w:val="00802700"/>
    <w:rsid w:val="008030FD"/>
    <w:rsid w:val="00804BD5"/>
    <w:rsid w:val="00805CE1"/>
    <w:rsid w:val="0082085B"/>
    <w:rsid w:val="0082419F"/>
    <w:rsid w:val="00824773"/>
    <w:rsid w:val="00831ABF"/>
    <w:rsid w:val="00836489"/>
    <w:rsid w:val="00840CD9"/>
    <w:rsid w:val="008434FB"/>
    <w:rsid w:val="008448D6"/>
    <w:rsid w:val="008516A1"/>
    <w:rsid w:val="00854AEE"/>
    <w:rsid w:val="00861944"/>
    <w:rsid w:val="0086456E"/>
    <w:rsid w:val="008708FA"/>
    <w:rsid w:val="00871860"/>
    <w:rsid w:val="00873DCD"/>
    <w:rsid w:val="0087566D"/>
    <w:rsid w:val="0088091B"/>
    <w:rsid w:val="00881819"/>
    <w:rsid w:val="008831BA"/>
    <w:rsid w:val="00883671"/>
    <w:rsid w:val="008852EF"/>
    <w:rsid w:val="00886620"/>
    <w:rsid w:val="00890254"/>
    <w:rsid w:val="008945C5"/>
    <w:rsid w:val="00897545"/>
    <w:rsid w:val="008A43DB"/>
    <w:rsid w:val="008A5D53"/>
    <w:rsid w:val="008B00C5"/>
    <w:rsid w:val="008B40FD"/>
    <w:rsid w:val="008B46DE"/>
    <w:rsid w:val="008B7EB0"/>
    <w:rsid w:val="008C1E8D"/>
    <w:rsid w:val="008C1EA1"/>
    <w:rsid w:val="008C382A"/>
    <w:rsid w:val="008C7E48"/>
    <w:rsid w:val="008D0679"/>
    <w:rsid w:val="008D0BEC"/>
    <w:rsid w:val="008D27FA"/>
    <w:rsid w:val="008D3789"/>
    <w:rsid w:val="008D434F"/>
    <w:rsid w:val="008D5260"/>
    <w:rsid w:val="008E146F"/>
    <w:rsid w:val="008E6956"/>
    <w:rsid w:val="008E7B56"/>
    <w:rsid w:val="008F14D1"/>
    <w:rsid w:val="008F2D63"/>
    <w:rsid w:val="008F3913"/>
    <w:rsid w:val="009050D4"/>
    <w:rsid w:val="009130BE"/>
    <w:rsid w:val="00913592"/>
    <w:rsid w:val="00916F60"/>
    <w:rsid w:val="00917D6F"/>
    <w:rsid w:val="00926CA5"/>
    <w:rsid w:val="0093505E"/>
    <w:rsid w:val="0093798B"/>
    <w:rsid w:val="00940B8A"/>
    <w:rsid w:val="0094550E"/>
    <w:rsid w:val="00945932"/>
    <w:rsid w:val="00947680"/>
    <w:rsid w:val="00955C87"/>
    <w:rsid w:val="00960CD0"/>
    <w:rsid w:val="0096259C"/>
    <w:rsid w:val="00962D21"/>
    <w:rsid w:val="00963EF8"/>
    <w:rsid w:val="0096678A"/>
    <w:rsid w:val="00972156"/>
    <w:rsid w:val="00973FA4"/>
    <w:rsid w:val="009752C4"/>
    <w:rsid w:val="00990C68"/>
    <w:rsid w:val="00997E64"/>
    <w:rsid w:val="009A03F7"/>
    <w:rsid w:val="009A1042"/>
    <w:rsid w:val="009A15E1"/>
    <w:rsid w:val="009A28EC"/>
    <w:rsid w:val="009A7E45"/>
    <w:rsid w:val="009C6A49"/>
    <w:rsid w:val="009C7031"/>
    <w:rsid w:val="009D368A"/>
    <w:rsid w:val="009D44CA"/>
    <w:rsid w:val="009D61C9"/>
    <w:rsid w:val="009D78CE"/>
    <w:rsid w:val="009D7F95"/>
    <w:rsid w:val="009F2503"/>
    <w:rsid w:val="009F6A1C"/>
    <w:rsid w:val="009F74AC"/>
    <w:rsid w:val="00A01F84"/>
    <w:rsid w:val="00A0519B"/>
    <w:rsid w:val="00A11004"/>
    <w:rsid w:val="00A13A52"/>
    <w:rsid w:val="00A143BD"/>
    <w:rsid w:val="00A154AF"/>
    <w:rsid w:val="00A17B6D"/>
    <w:rsid w:val="00A17D8B"/>
    <w:rsid w:val="00A2083E"/>
    <w:rsid w:val="00A24DB6"/>
    <w:rsid w:val="00A30897"/>
    <w:rsid w:val="00A3110E"/>
    <w:rsid w:val="00A31867"/>
    <w:rsid w:val="00A37B65"/>
    <w:rsid w:val="00A40019"/>
    <w:rsid w:val="00A406FC"/>
    <w:rsid w:val="00A43BD0"/>
    <w:rsid w:val="00A441B6"/>
    <w:rsid w:val="00A44BB1"/>
    <w:rsid w:val="00A46800"/>
    <w:rsid w:val="00A47BDB"/>
    <w:rsid w:val="00A56BC2"/>
    <w:rsid w:val="00A61606"/>
    <w:rsid w:val="00A618F7"/>
    <w:rsid w:val="00A63DF8"/>
    <w:rsid w:val="00A63E72"/>
    <w:rsid w:val="00A65887"/>
    <w:rsid w:val="00A70B97"/>
    <w:rsid w:val="00A74C81"/>
    <w:rsid w:val="00A855F9"/>
    <w:rsid w:val="00A8642B"/>
    <w:rsid w:val="00A87C5E"/>
    <w:rsid w:val="00A906A7"/>
    <w:rsid w:val="00A90743"/>
    <w:rsid w:val="00A96801"/>
    <w:rsid w:val="00AA6CD6"/>
    <w:rsid w:val="00AB6A08"/>
    <w:rsid w:val="00AC06DA"/>
    <w:rsid w:val="00AC13D8"/>
    <w:rsid w:val="00AC33D7"/>
    <w:rsid w:val="00AC688B"/>
    <w:rsid w:val="00AC7D16"/>
    <w:rsid w:val="00AD200E"/>
    <w:rsid w:val="00AE2911"/>
    <w:rsid w:val="00AE3015"/>
    <w:rsid w:val="00AF1AF7"/>
    <w:rsid w:val="00AF1C09"/>
    <w:rsid w:val="00AF2260"/>
    <w:rsid w:val="00AF2ACD"/>
    <w:rsid w:val="00AF4A77"/>
    <w:rsid w:val="00AF6454"/>
    <w:rsid w:val="00B02FB0"/>
    <w:rsid w:val="00B053EC"/>
    <w:rsid w:val="00B05A20"/>
    <w:rsid w:val="00B10E22"/>
    <w:rsid w:val="00B12827"/>
    <w:rsid w:val="00B13BD9"/>
    <w:rsid w:val="00B13C0D"/>
    <w:rsid w:val="00B143F6"/>
    <w:rsid w:val="00B14C23"/>
    <w:rsid w:val="00B207BF"/>
    <w:rsid w:val="00B222B9"/>
    <w:rsid w:val="00B24F01"/>
    <w:rsid w:val="00B276DB"/>
    <w:rsid w:val="00B27A99"/>
    <w:rsid w:val="00B302D6"/>
    <w:rsid w:val="00B31A89"/>
    <w:rsid w:val="00B33D6A"/>
    <w:rsid w:val="00B3485B"/>
    <w:rsid w:val="00B34F8A"/>
    <w:rsid w:val="00B5127D"/>
    <w:rsid w:val="00B57CA2"/>
    <w:rsid w:val="00B57CFF"/>
    <w:rsid w:val="00B62255"/>
    <w:rsid w:val="00B623CC"/>
    <w:rsid w:val="00B63344"/>
    <w:rsid w:val="00B660A6"/>
    <w:rsid w:val="00B67951"/>
    <w:rsid w:val="00B70DCA"/>
    <w:rsid w:val="00B70E01"/>
    <w:rsid w:val="00B74E60"/>
    <w:rsid w:val="00B771B1"/>
    <w:rsid w:val="00B808B3"/>
    <w:rsid w:val="00B81CDD"/>
    <w:rsid w:val="00B833E8"/>
    <w:rsid w:val="00B876EF"/>
    <w:rsid w:val="00B93381"/>
    <w:rsid w:val="00B94054"/>
    <w:rsid w:val="00B9698B"/>
    <w:rsid w:val="00BA19F2"/>
    <w:rsid w:val="00BA5940"/>
    <w:rsid w:val="00BA62C8"/>
    <w:rsid w:val="00BB3866"/>
    <w:rsid w:val="00BB425D"/>
    <w:rsid w:val="00BC11D0"/>
    <w:rsid w:val="00BC3768"/>
    <w:rsid w:val="00BC4505"/>
    <w:rsid w:val="00BD507D"/>
    <w:rsid w:val="00BF1044"/>
    <w:rsid w:val="00BF7A90"/>
    <w:rsid w:val="00C01990"/>
    <w:rsid w:val="00C04105"/>
    <w:rsid w:val="00C07023"/>
    <w:rsid w:val="00C073E5"/>
    <w:rsid w:val="00C10528"/>
    <w:rsid w:val="00C22E5B"/>
    <w:rsid w:val="00C2424F"/>
    <w:rsid w:val="00C24D0F"/>
    <w:rsid w:val="00C24FAB"/>
    <w:rsid w:val="00C26A4F"/>
    <w:rsid w:val="00C36236"/>
    <w:rsid w:val="00C37AAF"/>
    <w:rsid w:val="00C41478"/>
    <w:rsid w:val="00C45FA7"/>
    <w:rsid w:val="00C5018C"/>
    <w:rsid w:val="00C51EED"/>
    <w:rsid w:val="00C572F8"/>
    <w:rsid w:val="00C61088"/>
    <w:rsid w:val="00C61D14"/>
    <w:rsid w:val="00C61F31"/>
    <w:rsid w:val="00C65C03"/>
    <w:rsid w:val="00C703AF"/>
    <w:rsid w:val="00C73F52"/>
    <w:rsid w:val="00C81970"/>
    <w:rsid w:val="00C84E99"/>
    <w:rsid w:val="00C85441"/>
    <w:rsid w:val="00C85EAA"/>
    <w:rsid w:val="00C907D7"/>
    <w:rsid w:val="00C90D1B"/>
    <w:rsid w:val="00C94265"/>
    <w:rsid w:val="00CA423F"/>
    <w:rsid w:val="00CA65A9"/>
    <w:rsid w:val="00CB491B"/>
    <w:rsid w:val="00CB6542"/>
    <w:rsid w:val="00CB65C3"/>
    <w:rsid w:val="00CC0E67"/>
    <w:rsid w:val="00CD1B33"/>
    <w:rsid w:val="00CD23CA"/>
    <w:rsid w:val="00CE1458"/>
    <w:rsid w:val="00CE3076"/>
    <w:rsid w:val="00CE3F3A"/>
    <w:rsid w:val="00CF2010"/>
    <w:rsid w:val="00CF3CF9"/>
    <w:rsid w:val="00CF6904"/>
    <w:rsid w:val="00CF6EE3"/>
    <w:rsid w:val="00D015ED"/>
    <w:rsid w:val="00D02573"/>
    <w:rsid w:val="00D10E52"/>
    <w:rsid w:val="00D3306C"/>
    <w:rsid w:val="00D34643"/>
    <w:rsid w:val="00D348F0"/>
    <w:rsid w:val="00D36574"/>
    <w:rsid w:val="00D36D0D"/>
    <w:rsid w:val="00D36FC3"/>
    <w:rsid w:val="00D41C81"/>
    <w:rsid w:val="00D430F1"/>
    <w:rsid w:val="00D513DA"/>
    <w:rsid w:val="00D54B2C"/>
    <w:rsid w:val="00D61B97"/>
    <w:rsid w:val="00D64B1B"/>
    <w:rsid w:val="00D70C59"/>
    <w:rsid w:val="00D73D0B"/>
    <w:rsid w:val="00D75803"/>
    <w:rsid w:val="00D84300"/>
    <w:rsid w:val="00D84646"/>
    <w:rsid w:val="00D861E5"/>
    <w:rsid w:val="00D93AB0"/>
    <w:rsid w:val="00DA0808"/>
    <w:rsid w:val="00DA0CCD"/>
    <w:rsid w:val="00DA38BD"/>
    <w:rsid w:val="00DB01FD"/>
    <w:rsid w:val="00DB602A"/>
    <w:rsid w:val="00DC3D3E"/>
    <w:rsid w:val="00DC4B9E"/>
    <w:rsid w:val="00DD0283"/>
    <w:rsid w:val="00DD1A64"/>
    <w:rsid w:val="00DD24C8"/>
    <w:rsid w:val="00DD3E52"/>
    <w:rsid w:val="00DD493D"/>
    <w:rsid w:val="00DD7604"/>
    <w:rsid w:val="00DE3D96"/>
    <w:rsid w:val="00DE4D49"/>
    <w:rsid w:val="00DF26D9"/>
    <w:rsid w:val="00DF4CDF"/>
    <w:rsid w:val="00E022DA"/>
    <w:rsid w:val="00E12ACA"/>
    <w:rsid w:val="00E16306"/>
    <w:rsid w:val="00E23527"/>
    <w:rsid w:val="00E24D2A"/>
    <w:rsid w:val="00E2504E"/>
    <w:rsid w:val="00E25CBC"/>
    <w:rsid w:val="00E277C8"/>
    <w:rsid w:val="00E32608"/>
    <w:rsid w:val="00E32764"/>
    <w:rsid w:val="00E33292"/>
    <w:rsid w:val="00E36EE3"/>
    <w:rsid w:val="00E42E79"/>
    <w:rsid w:val="00E43CC1"/>
    <w:rsid w:val="00E466EA"/>
    <w:rsid w:val="00E47179"/>
    <w:rsid w:val="00E47A43"/>
    <w:rsid w:val="00E5184F"/>
    <w:rsid w:val="00E628D9"/>
    <w:rsid w:val="00E63F36"/>
    <w:rsid w:val="00E64D8E"/>
    <w:rsid w:val="00E66D4B"/>
    <w:rsid w:val="00E74523"/>
    <w:rsid w:val="00E74FF5"/>
    <w:rsid w:val="00EA1CDA"/>
    <w:rsid w:val="00EA4491"/>
    <w:rsid w:val="00EB27D6"/>
    <w:rsid w:val="00EB2CBF"/>
    <w:rsid w:val="00EB4335"/>
    <w:rsid w:val="00EB4DC2"/>
    <w:rsid w:val="00EB5893"/>
    <w:rsid w:val="00EB605B"/>
    <w:rsid w:val="00EB72BC"/>
    <w:rsid w:val="00EC0B37"/>
    <w:rsid w:val="00EF5655"/>
    <w:rsid w:val="00F02558"/>
    <w:rsid w:val="00F05DBB"/>
    <w:rsid w:val="00F12000"/>
    <w:rsid w:val="00F13970"/>
    <w:rsid w:val="00F25EF4"/>
    <w:rsid w:val="00F30951"/>
    <w:rsid w:val="00F41C67"/>
    <w:rsid w:val="00F43C8D"/>
    <w:rsid w:val="00F45151"/>
    <w:rsid w:val="00F45F4F"/>
    <w:rsid w:val="00F50FB7"/>
    <w:rsid w:val="00F53F45"/>
    <w:rsid w:val="00F55B27"/>
    <w:rsid w:val="00F601D4"/>
    <w:rsid w:val="00F60698"/>
    <w:rsid w:val="00F60B44"/>
    <w:rsid w:val="00F63111"/>
    <w:rsid w:val="00F64267"/>
    <w:rsid w:val="00F700AE"/>
    <w:rsid w:val="00F71C44"/>
    <w:rsid w:val="00F74B23"/>
    <w:rsid w:val="00F80EAA"/>
    <w:rsid w:val="00F84B60"/>
    <w:rsid w:val="00F90586"/>
    <w:rsid w:val="00F91C94"/>
    <w:rsid w:val="00F91F9F"/>
    <w:rsid w:val="00FA1CFD"/>
    <w:rsid w:val="00FA1DF2"/>
    <w:rsid w:val="00FA218A"/>
    <w:rsid w:val="00FA7BD1"/>
    <w:rsid w:val="00FB2777"/>
    <w:rsid w:val="00FB44D3"/>
    <w:rsid w:val="00FD33C3"/>
    <w:rsid w:val="00FD59C1"/>
    <w:rsid w:val="00FD7F59"/>
    <w:rsid w:val="00FE23E1"/>
    <w:rsid w:val="00FE2A21"/>
    <w:rsid w:val="00FE6600"/>
    <w:rsid w:val="00FE71AE"/>
    <w:rsid w:val="00FE7736"/>
    <w:rsid w:val="00FF58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0F888"/>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276DB"/>
    <w:pPr>
      <w:spacing w:after="0" w:line="240" w:lineRule="auto"/>
    </w:pPr>
    <w:rPr>
      <w:rFonts w:ascii="CG Times" w:eastAsia="Times New Roman" w:hAnsi="CG Times"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76E5E"/>
    <w:pPr>
      <w:spacing w:after="0" w:line="240" w:lineRule="auto"/>
    </w:pPr>
    <w:rPr>
      <w:rFonts w:ascii="Calibri" w:eastAsia="Calibri" w:hAnsi="Calibri" w:cs="Times New Roman"/>
    </w:rPr>
  </w:style>
  <w:style w:type="paragraph" w:customStyle="1" w:styleId="AssecoParagraphNormalFirstLine">
    <w:name w:val="Asseco Paragraph Normal First Line"/>
    <w:basedOn w:val="prastasis"/>
    <w:qFormat/>
    <w:rsid w:val="00A30897"/>
    <w:pPr>
      <w:ind w:firstLine="709"/>
      <w:jc w:val="both"/>
    </w:pPr>
    <w:rPr>
      <w:rFonts w:ascii="Calibri" w:hAnsi="Calibri"/>
      <w:sz w:val="22"/>
      <w:lang w:eastAsia="pl-PL"/>
    </w:rPr>
  </w:style>
  <w:style w:type="paragraph" w:styleId="Antrats">
    <w:name w:val="header"/>
    <w:basedOn w:val="prastasis"/>
    <w:link w:val="AntratsDiagrama"/>
    <w:uiPriority w:val="99"/>
    <w:unhideWhenUsed/>
    <w:rsid w:val="00A618F7"/>
    <w:pPr>
      <w:tabs>
        <w:tab w:val="center" w:pos="4819"/>
        <w:tab w:val="right" w:pos="9638"/>
      </w:tabs>
    </w:pPr>
  </w:style>
  <w:style w:type="character" w:customStyle="1" w:styleId="AntratsDiagrama">
    <w:name w:val="Antraštės Diagrama"/>
    <w:basedOn w:val="Numatytasispastraiposriftas"/>
    <w:link w:val="Antrats"/>
    <w:uiPriority w:val="99"/>
    <w:rsid w:val="00A618F7"/>
    <w:rPr>
      <w:rFonts w:ascii="CG Times" w:eastAsia="Times New Roman" w:hAnsi="CG Times" w:cs="Times New Roman"/>
      <w:sz w:val="20"/>
      <w:szCs w:val="20"/>
    </w:rPr>
  </w:style>
  <w:style w:type="paragraph" w:styleId="Porat">
    <w:name w:val="footer"/>
    <w:basedOn w:val="prastasis"/>
    <w:link w:val="PoratDiagrama"/>
    <w:uiPriority w:val="99"/>
    <w:unhideWhenUsed/>
    <w:rsid w:val="00A618F7"/>
    <w:pPr>
      <w:tabs>
        <w:tab w:val="center" w:pos="4819"/>
        <w:tab w:val="right" w:pos="9638"/>
      </w:tabs>
    </w:pPr>
  </w:style>
  <w:style w:type="character" w:customStyle="1" w:styleId="PoratDiagrama">
    <w:name w:val="Poraštė Diagrama"/>
    <w:basedOn w:val="Numatytasispastraiposriftas"/>
    <w:link w:val="Porat"/>
    <w:uiPriority w:val="99"/>
    <w:rsid w:val="00A618F7"/>
    <w:rPr>
      <w:rFonts w:ascii="CG Times" w:eastAsia="Times New Roman" w:hAnsi="CG Times" w:cs="Times New Roman"/>
      <w:sz w:val="20"/>
      <w:szCs w:val="20"/>
    </w:rPr>
  </w:style>
  <w:style w:type="paragraph" w:styleId="Puslapioinaostekstas">
    <w:name w:val="footnote text"/>
    <w:basedOn w:val="prastasis"/>
    <w:link w:val="PuslapioinaostekstasDiagrama"/>
    <w:unhideWhenUsed/>
    <w:rsid w:val="00DD493D"/>
    <w:rPr>
      <w:rFonts w:ascii="Times New Roman" w:hAnsi="Times New Roman"/>
      <w:lang w:val="en-US"/>
    </w:rPr>
  </w:style>
  <w:style w:type="character" w:customStyle="1" w:styleId="PuslapioinaostekstasDiagrama">
    <w:name w:val="Puslapio išnašos tekstas Diagrama"/>
    <w:basedOn w:val="Numatytasispastraiposriftas"/>
    <w:link w:val="Puslapioinaostekstas"/>
    <w:rsid w:val="00DD493D"/>
    <w:rPr>
      <w:rFonts w:ascii="Times New Roman" w:eastAsia="Times New Roman" w:hAnsi="Times New Roman" w:cs="Times New Roman"/>
      <w:sz w:val="20"/>
      <w:szCs w:val="20"/>
      <w:lang w:val="en-US"/>
    </w:rPr>
  </w:style>
  <w:style w:type="character" w:styleId="Puslapioinaosnuoroda">
    <w:name w:val="footnote reference"/>
    <w:basedOn w:val="Numatytasispastraiposriftas"/>
    <w:unhideWhenUsed/>
    <w:rsid w:val="00DD493D"/>
    <w:rPr>
      <w:vertAlign w:val="superscript"/>
    </w:rPr>
  </w:style>
  <w:style w:type="paragraph" w:customStyle="1" w:styleId="Default">
    <w:name w:val="Default"/>
    <w:rsid w:val="00CD23C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rsid w:val="000B29C8"/>
    <w:rPr>
      <w:color w:val="auto"/>
      <w:u w:val="none"/>
    </w:rPr>
  </w:style>
  <w:style w:type="character" w:styleId="Grietas">
    <w:name w:val="Strong"/>
    <w:basedOn w:val="Numatytasispastraiposriftas"/>
    <w:uiPriority w:val="22"/>
    <w:qFormat/>
    <w:rsid w:val="000B29C8"/>
    <w:rPr>
      <w:b/>
      <w:bCs/>
    </w:rPr>
  </w:style>
  <w:style w:type="paragraph" w:styleId="prastasiniatinklio">
    <w:name w:val="Normal (Web)"/>
    <w:basedOn w:val="prastasis"/>
    <w:uiPriority w:val="99"/>
    <w:unhideWhenUsed/>
    <w:rsid w:val="000B29C8"/>
    <w:pPr>
      <w:spacing w:before="100" w:beforeAutospacing="1" w:after="100" w:afterAutospacing="1"/>
    </w:pPr>
    <w:rPr>
      <w:rFonts w:ascii="Times New Roman" w:hAnsi="Times New Roman"/>
      <w:sz w:val="24"/>
      <w:szCs w:val="24"/>
      <w:lang w:eastAsia="lt-LT"/>
    </w:rPr>
  </w:style>
  <w:style w:type="paragraph" w:customStyle="1" w:styleId="Standard">
    <w:name w:val="Standard"/>
    <w:rsid w:val="008D3789"/>
    <w:pPr>
      <w:suppressAutoHyphens/>
      <w:autoSpaceDN w:val="0"/>
      <w:spacing w:after="0" w:line="240" w:lineRule="auto"/>
      <w:textAlignment w:val="baseline"/>
    </w:pPr>
    <w:rPr>
      <w:rFonts w:ascii="Times New Roman" w:eastAsia="Times New Roman" w:hAnsi="Times New Roman" w:cs="Times New Roman"/>
      <w:kern w:val="3"/>
      <w:sz w:val="24"/>
      <w:szCs w:val="20"/>
      <w:lang w:eastAsia="zh-CN"/>
    </w:rPr>
  </w:style>
  <w:style w:type="paragraph" w:customStyle="1" w:styleId="Footnote">
    <w:name w:val="Footnote"/>
    <w:basedOn w:val="Standard"/>
    <w:rsid w:val="008D3789"/>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6227711">
      <w:bodyDiv w:val="1"/>
      <w:marLeft w:val="0"/>
      <w:marRight w:val="0"/>
      <w:marTop w:val="0"/>
      <w:marBottom w:val="0"/>
      <w:divBdr>
        <w:top w:val="none" w:sz="0" w:space="0" w:color="auto"/>
        <w:left w:val="none" w:sz="0" w:space="0" w:color="auto"/>
        <w:bottom w:val="none" w:sz="0" w:space="0" w:color="auto"/>
        <w:right w:val="none" w:sz="0" w:space="0" w:color="auto"/>
      </w:divBdr>
      <w:divsChild>
        <w:div w:id="158813451">
          <w:marLeft w:val="0"/>
          <w:marRight w:val="0"/>
          <w:marTop w:val="0"/>
          <w:marBottom w:val="0"/>
          <w:divBdr>
            <w:top w:val="none" w:sz="0" w:space="0" w:color="auto"/>
            <w:left w:val="none" w:sz="0" w:space="0" w:color="auto"/>
            <w:bottom w:val="none" w:sz="0" w:space="0" w:color="auto"/>
            <w:right w:val="none" w:sz="0" w:space="0" w:color="auto"/>
          </w:divBdr>
        </w:div>
        <w:div w:id="757169319">
          <w:marLeft w:val="0"/>
          <w:marRight w:val="0"/>
          <w:marTop w:val="0"/>
          <w:marBottom w:val="0"/>
          <w:divBdr>
            <w:top w:val="none" w:sz="0" w:space="0" w:color="auto"/>
            <w:left w:val="none" w:sz="0" w:space="0" w:color="auto"/>
            <w:bottom w:val="none" w:sz="0" w:space="0" w:color="auto"/>
            <w:right w:val="none" w:sz="0" w:space="0" w:color="auto"/>
          </w:divBdr>
        </w:div>
        <w:div w:id="903413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Z6YWEJNPDQQR-896559167-363</_dlc_DocId>
    <_dlc_DocIdUrl xmlns="28130d43-1b56-4a10-ad88-2cd38123f4c1">
      <Url>https://intranetas.lrs.lt/29/_layouts/15/DocIdRedir.aspx?ID=Z6YWEJNPDQQR-896559167-363</Url>
      <Description>Z6YWEJNPDQQR-896559167-363</Description>
    </_dlc_DocIdUrl>
  </documentManagement>
</p:properties>
</file>

<file path=customXml/itemProps1.xml><?xml version="1.0" encoding="utf-8"?>
<ds:datastoreItem xmlns:ds="http://schemas.openxmlformats.org/officeDocument/2006/customXml" ds:itemID="{AE0E5236-D860-4BB0-B803-C1BC4D249529}">
  <ds:schemaRefs>
    <ds:schemaRef ds:uri="http://schemas.openxmlformats.org/officeDocument/2006/bibliography"/>
  </ds:schemaRefs>
</ds:datastoreItem>
</file>

<file path=customXml/itemProps2.xml><?xml version="1.0" encoding="utf-8"?>
<ds:datastoreItem xmlns:ds="http://schemas.openxmlformats.org/officeDocument/2006/customXml" ds:itemID="{0C2502F4-9117-4C02-A89B-0F90A07FC6FB}"/>
</file>

<file path=customXml/itemProps3.xml><?xml version="1.0" encoding="utf-8"?>
<ds:datastoreItem xmlns:ds="http://schemas.openxmlformats.org/officeDocument/2006/customXml" ds:itemID="{7649AA55-0AF1-4F82-88A6-B7FCE37BE4F3}"/>
</file>

<file path=customXml/itemProps4.xml><?xml version="1.0" encoding="utf-8"?>
<ds:datastoreItem xmlns:ds="http://schemas.openxmlformats.org/officeDocument/2006/customXml" ds:itemID="{77DB2BEF-DE3E-4EDB-B727-DA29C7DE8B4D}"/>
</file>

<file path=customXml/itemProps5.xml><?xml version="1.0" encoding="utf-8"?>
<ds:datastoreItem xmlns:ds="http://schemas.openxmlformats.org/officeDocument/2006/customXml" ds:itemID="{CFF7AA95-64FE-4A58-B982-0CF9C08F901F}"/>
</file>

<file path=docProps/app.xml><?xml version="1.0" encoding="utf-8"?>
<Properties xmlns="http://schemas.openxmlformats.org/officeDocument/2006/extended-properties" xmlns:vt="http://schemas.openxmlformats.org/officeDocument/2006/docPropsVTypes">
  <Template>Normal.dotm</Template>
  <TotalTime>679</TotalTime>
  <Pages>11</Pages>
  <Words>20457</Words>
  <Characters>11662</Characters>
  <Application>Microsoft Office Word</Application>
  <DocSecurity>0</DocSecurity>
  <Lines>97</Lines>
  <Paragraphs>64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GRICIŪTĖ Rasa</dc:creator>
  <cp:keywords/>
  <dc:description/>
  <cp:lastModifiedBy>GRICIŪTĖ Rasa</cp:lastModifiedBy>
  <cp:revision>117</cp:revision>
  <dcterms:created xsi:type="dcterms:W3CDTF">2023-06-13T13:45:00Z</dcterms:created>
  <dcterms:modified xsi:type="dcterms:W3CDTF">2023-07-03T07:53:00Z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dda52442-ed92-472b-96bc-c2512deeccaf</vt:lpwstr>
  </property>
</Properties>
</file>