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2516DB" w:rsidRDefault="00576E5E" w:rsidP="002516DB">
      <w:pPr>
        <w:spacing w:line="360" w:lineRule="auto"/>
        <w:jc w:val="center"/>
        <w:rPr>
          <w:rFonts w:ascii="Times New Roman" w:hAnsi="Times New Roman"/>
          <w:b/>
          <w:bCs/>
          <w:spacing w:val="4"/>
          <w:sz w:val="24"/>
          <w:szCs w:val="24"/>
        </w:rPr>
      </w:pPr>
      <w:r w:rsidRPr="002516DB">
        <w:rPr>
          <w:rFonts w:ascii="Times New Roman" w:hAnsi="Times New Roman"/>
          <w:b/>
          <w:bCs/>
          <w:spacing w:val="4"/>
          <w:sz w:val="24"/>
          <w:szCs w:val="24"/>
        </w:rPr>
        <w:t>PETICIJŲ KOMISIJA</w:t>
      </w:r>
    </w:p>
    <w:p w:rsidR="00576E5E" w:rsidRPr="002516DB" w:rsidRDefault="00576E5E" w:rsidP="002516DB">
      <w:pPr>
        <w:spacing w:line="360" w:lineRule="auto"/>
        <w:ind w:right="11" w:firstLine="851"/>
        <w:jc w:val="center"/>
        <w:rPr>
          <w:rFonts w:ascii="Times New Roman" w:hAnsi="Times New Roman"/>
          <w:b/>
          <w:spacing w:val="4"/>
          <w:sz w:val="24"/>
          <w:szCs w:val="24"/>
        </w:rPr>
      </w:pP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IŠVADA</w:t>
      </w:r>
    </w:p>
    <w:p w:rsidR="00576E5E" w:rsidRPr="00402B3A" w:rsidRDefault="00576E5E" w:rsidP="00402B3A">
      <w:pPr>
        <w:pStyle w:val="Betarp"/>
        <w:spacing w:line="360" w:lineRule="auto"/>
        <w:jc w:val="center"/>
        <w:rPr>
          <w:rFonts w:ascii="Times New Roman" w:hAnsi="Times New Roman"/>
          <w:b/>
          <w:sz w:val="24"/>
          <w:szCs w:val="24"/>
        </w:rPr>
      </w:pPr>
      <w:r w:rsidRPr="00402B3A">
        <w:rPr>
          <w:rFonts w:ascii="Times New Roman" w:hAnsi="Times New Roman"/>
          <w:b/>
          <w:sz w:val="24"/>
          <w:szCs w:val="24"/>
        </w:rPr>
        <w:t>DĖL PETICIJO</w:t>
      </w:r>
      <w:r w:rsidR="00696488" w:rsidRPr="00402B3A">
        <w:rPr>
          <w:rFonts w:ascii="Times New Roman" w:hAnsi="Times New Roman"/>
          <w:b/>
          <w:sz w:val="24"/>
          <w:szCs w:val="24"/>
        </w:rPr>
        <w:t>J</w:t>
      </w:r>
      <w:r w:rsidR="00FA4E37" w:rsidRPr="00402B3A">
        <w:rPr>
          <w:rFonts w:ascii="Times New Roman" w:hAnsi="Times New Roman"/>
          <w:b/>
          <w:sz w:val="24"/>
          <w:szCs w:val="24"/>
        </w:rPr>
        <w:t>E PATEIKTO SIŪLYMO</w:t>
      </w:r>
      <w:r w:rsidR="00F11A37" w:rsidRPr="00402B3A">
        <w:rPr>
          <w:rFonts w:ascii="Times New Roman" w:hAnsi="Times New Roman"/>
          <w:b/>
          <w:sz w:val="24"/>
          <w:szCs w:val="24"/>
        </w:rPr>
        <w:t xml:space="preserve"> NETENKINIMO</w:t>
      </w:r>
    </w:p>
    <w:p w:rsidR="00576E5E" w:rsidRPr="00402B3A" w:rsidRDefault="00576E5E" w:rsidP="002516DB">
      <w:pPr>
        <w:pStyle w:val="Betarp"/>
        <w:spacing w:line="360" w:lineRule="auto"/>
        <w:jc w:val="center"/>
        <w:rPr>
          <w:rFonts w:ascii="Times New Roman" w:hAnsi="Times New Roman"/>
          <w:sz w:val="24"/>
          <w:szCs w:val="24"/>
          <w:lang w:val="en-US"/>
        </w:rPr>
      </w:pPr>
      <w:r w:rsidRPr="00402B3A">
        <w:rPr>
          <w:rFonts w:ascii="Times New Roman" w:hAnsi="Times New Roman"/>
          <w:sz w:val="24"/>
          <w:szCs w:val="24"/>
        </w:rPr>
        <w:t>202</w:t>
      </w:r>
      <w:r w:rsidR="00B07229" w:rsidRPr="00402B3A">
        <w:rPr>
          <w:rFonts w:ascii="Times New Roman" w:hAnsi="Times New Roman"/>
          <w:sz w:val="24"/>
          <w:szCs w:val="24"/>
        </w:rPr>
        <w:t>4</w:t>
      </w:r>
      <w:r w:rsidRPr="00402B3A">
        <w:rPr>
          <w:rFonts w:ascii="Times New Roman" w:hAnsi="Times New Roman"/>
          <w:sz w:val="24"/>
          <w:szCs w:val="24"/>
        </w:rPr>
        <w:t xml:space="preserve"> m. </w:t>
      </w:r>
      <w:r w:rsidR="006E6ABB" w:rsidRPr="00402B3A">
        <w:rPr>
          <w:rFonts w:ascii="Times New Roman" w:hAnsi="Times New Roman"/>
          <w:sz w:val="24"/>
          <w:szCs w:val="24"/>
        </w:rPr>
        <w:t xml:space="preserve">gegužės </w:t>
      </w:r>
      <w:r w:rsidR="006E6ABB" w:rsidRPr="00402B3A">
        <w:rPr>
          <w:rFonts w:ascii="Times New Roman" w:hAnsi="Times New Roman"/>
          <w:sz w:val="24"/>
          <w:szCs w:val="24"/>
          <w:lang w:val="en-US"/>
        </w:rPr>
        <w:t>8</w:t>
      </w:r>
      <w:r w:rsidR="007A504A" w:rsidRPr="00402B3A">
        <w:rPr>
          <w:rFonts w:ascii="Times New Roman" w:hAnsi="Times New Roman"/>
          <w:sz w:val="24"/>
          <w:szCs w:val="24"/>
        </w:rPr>
        <w:t xml:space="preserve"> </w:t>
      </w:r>
      <w:r w:rsidRPr="00402B3A">
        <w:rPr>
          <w:rFonts w:ascii="Times New Roman" w:hAnsi="Times New Roman"/>
          <w:sz w:val="24"/>
          <w:szCs w:val="24"/>
        </w:rPr>
        <w:t>d.</w:t>
      </w:r>
      <w:r w:rsidR="000A521F" w:rsidRPr="00402B3A">
        <w:rPr>
          <w:rFonts w:ascii="Times New Roman" w:hAnsi="Times New Roman"/>
          <w:sz w:val="24"/>
          <w:szCs w:val="24"/>
        </w:rPr>
        <w:t xml:space="preserve"> Nr. 250-I-</w:t>
      </w:r>
      <w:r w:rsidR="006E6ABB" w:rsidRPr="00402B3A">
        <w:rPr>
          <w:rFonts w:ascii="Times New Roman" w:hAnsi="Times New Roman"/>
          <w:sz w:val="24"/>
          <w:szCs w:val="24"/>
        </w:rPr>
        <w:t>9</w:t>
      </w:r>
    </w:p>
    <w:p w:rsidR="00576E5E" w:rsidRPr="00402B3A" w:rsidRDefault="00576E5E" w:rsidP="002516DB">
      <w:pPr>
        <w:pStyle w:val="Betarp"/>
        <w:spacing w:line="360" w:lineRule="auto"/>
        <w:jc w:val="center"/>
        <w:rPr>
          <w:rFonts w:ascii="Times New Roman" w:hAnsi="Times New Roman"/>
          <w:sz w:val="24"/>
          <w:szCs w:val="24"/>
        </w:rPr>
      </w:pPr>
      <w:r w:rsidRPr="00402B3A">
        <w:rPr>
          <w:rFonts w:ascii="Times New Roman" w:hAnsi="Times New Roman"/>
          <w:sz w:val="24"/>
          <w:szCs w:val="24"/>
        </w:rPr>
        <w:t>Vilnius</w:t>
      </w:r>
    </w:p>
    <w:p w:rsidR="00576E5E" w:rsidRPr="00402B3A" w:rsidRDefault="00576E5E" w:rsidP="00583A0B">
      <w:pPr>
        <w:pStyle w:val="Betarp"/>
        <w:tabs>
          <w:tab w:val="left" w:pos="1134"/>
        </w:tabs>
        <w:spacing w:line="360" w:lineRule="auto"/>
        <w:ind w:firstLine="851"/>
        <w:jc w:val="both"/>
        <w:rPr>
          <w:rFonts w:ascii="Times New Roman" w:hAnsi="Times New Roman"/>
          <w:sz w:val="24"/>
          <w:szCs w:val="24"/>
        </w:rPr>
      </w:pPr>
    </w:p>
    <w:p w:rsidR="008F5B89" w:rsidRPr="00402B3A" w:rsidRDefault="00576E5E" w:rsidP="006E6ABB">
      <w:pPr>
        <w:pStyle w:val="Default"/>
        <w:spacing w:line="360" w:lineRule="auto"/>
        <w:ind w:firstLine="851"/>
        <w:jc w:val="both"/>
      </w:pPr>
      <w:r w:rsidRPr="00402B3A">
        <w:t>Lietuvos Respublikos Seimo Peticijų komisij</w:t>
      </w:r>
      <w:r w:rsidR="006E53DD" w:rsidRPr="00402B3A">
        <w:t>a</w:t>
      </w:r>
      <w:r w:rsidRPr="00402B3A">
        <w:t xml:space="preserve"> 202</w:t>
      </w:r>
      <w:r w:rsidR="00B07229" w:rsidRPr="00402B3A">
        <w:t>4</w:t>
      </w:r>
      <w:r w:rsidRPr="00402B3A">
        <w:t xml:space="preserve"> m. </w:t>
      </w:r>
      <w:r w:rsidR="006E6ABB" w:rsidRPr="00402B3A">
        <w:t xml:space="preserve">gegužės </w:t>
      </w:r>
      <w:r w:rsidR="006E6ABB" w:rsidRPr="00402B3A">
        <w:rPr>
          <w:lang w:val="en-US"/>
        </w:rPr>
        <w:t>8</w:t>
      </w:r>
      <w:r w:rsidR="00B81CDD" w:rsidRPr="00402B3A">
        <w:t xml:space="preserve"> </w:t>
      </w:r>
      <w:r w:rsidRPr="00402B3A">
        <w:t xml:space="preserve">d. posėdyje </w:t>
      </w:r>
      <w:r w:rsidR="007A504A" w:rsidRPr="00402B3A">
        <w:t>iš</w:t>
      </w:r>
      <w:r w:rsidR="00C703AF" w:rsidRPr="00402B3A">
        <w:t>nagrinė</w:t>
      </w:r>
      <w:r w:rsidR="006E53DD" w:rsidRPr="00402B3A">
        <w:t>jo</w:t>
      </w:r>
      <w:r w:rsidRPr="00402B3A">
        <w:t xml:space="preserve"> </w:t>
      </w:r>
      <w:r w:rsidR="00FA4E37" w:rsidRPr="00402B3A">
        <w:t>pareiškėj</w:t>
      </w:r>
      <w:r w:rsidR="008F5B89" w:rsidRPr="00402B3A">
        <w:t>o</w:t>
      </w:r>
      <w:r w:rsidRPr="00402B3A">
        <w:t xml:space="preserve"> </w:t>
      </w:r>
      <w:r w:rsidR="004957BE" w:rsidRPr="00402B3A">
        <w:t>peticiją, kurioje pateiktas siūlymas</w:t>
      </w:r>
      <w:r w:rsidR="003D142B" w:rsidRPr="00402B3A">
        <w:t xml:space="preserve"> </w:t>
      </w:r>
      <w:r w:rsidR="006E6ABB" w:rsidRPr="00402B3A">
        <w:t xml:space="preserve">pakeisti </w:t>
      </w:r>
      <w:r w:rsidR="006E6ABB" w:rsidRPr="00402B3A">
        <w:rPr>
          <w:bCs/>
        </w:rPr>
        <w:t>Lietuvos Respublikos baudžiamojo proceso kodekso (toliau – BPK) 166 straipsnį</w:t>
      </w:r>
      <w:r w:rsidR="006E6ABB" w:rsidRPr="00402B3A">
        <w:t xml:space="preserve">, įtvirtinant, kad asmens veiksmuose pastebėjus nusikalstamos veikos, įtvirtintos Lietuvos Respublikos baudžiamojo kodekso 231 ir 232 straipsniuose, požymius, ikiteisminis tyrimas </w:t>
      </w:r>
      <w:r w:rsidR="0093132D" w:rsidRPr="00402B3A">
        <w:t xml:space="preserve">dėl tos veiklos </w:t>
      </w:r>
      <w:r w:rsidR="006E6ABB" w:rsidRPr="00402B3A">
        <w:t xml:space="preserve">neatliekamas, o tokią veiką įvykdžiusiam asmeniui iškart surašomas nustatytos formos kaltinamasis aktas, perkeliant pareigą aptariamam asmeniui įrodinėti savo išpuolio teisėtumą ir savo nekaltumą </w:t>
      </w:r>
      <w:r w:rsidR="004957BE" w:rsidRPr="00402B3A">
        <w:rPr>
          <w:rFonts w:eastAsia="Calibri"/>
        </w:rPr>
        <w:t xml:space="preserve">ir </w:t>
      </w:r>
      <w:r w:rsidR="008F5B89" w:rsidRPr="00402B3A">
        <w:rPr>
          <w:rFonts w:eastAsia="Calibri"/>
        </w:rPr>
        <w:t xml:space="preserve">priėmė sprendimą </w:t>
      </w:r>
      <w:r w:rsidR="008F5B89" w:rsidRPr="00402B3A">
        <w:t xml:space="preserve">teikti Seimui išvadą </w:t>
      </w:r>
      <w:r w:rsidR="008F5B89" w:rsidRPr="00402B3A">
        <w:rPr>
          <w:rFonts w:eastAsia="Calibri"/>
        </w:rPr>
        <w:t>netenkinti šio</w:t>
      </w:r>
      <w:r w:rsidR="004957BE" w:rsidRPr="00402B3A">
        <w:rPr>
          <w:rFonts w:eastAsia="Calibri"/>
        </w:rPr>
        <w:t xml:space="preserve"> </w:t>
      </w:r>
      <w:r w:rsidR="008F5B89" w:rsidRPr="00402B3A">
        <w:rPr>
          <w:rFonts w:eastAsia="Calibri"/>
        </w:rPr>
        <w:t>siūlymo</w:t>
      </w:r>
      <w:r w:rsidR="001A2FB6" w:rsidRPr="00402B3A">
        <w:rPr>
          <w:rFonts w:eastAsia="Calibri"/>
        </w:rPr>
        <w:t>.</w:t>
      </w:r>
      <w:r w:rsidR="008F5B89" w:rsidRPr="00402B3A">
        <w:rPr>
          <w:rFonts w:eastAsia="Calibri"/>
        </w:rPr>
        <w:t xml:space="preserve"> </w:t>
      </w:r>
      <w:r w:rsidR="003D142B" w:rsidRPr="00402B3A">
        <w:rPr>
          <w:rFonts w:eastAsia="Calibri"/>
        </w:rPr>
        <w:t>Sprendimas priimtas</w:t>
      </w:r>
      <w:r w:rsidR="00B07229" w:rsidRPr="00402B3A">
        <w:rPr>
          <w:rFonts w:eastAsia="Calibri"/>
        </w:rPr>
        <w:t>,</w:t>
      </w:r>
      <w:r w:rsidR="00533880" w:rsidRPr="00402B3A">
        <w:rPr>
          <w:rFonts w:eastAsia="Calibri"/>
        </w:rPr>
        <w:t xml:space="preserve"> atsižvelgus į Lietuvos Respublikos </w:t>
      </w:r>
      <w:r w:rsidR="00B07229" w:rsidRPr="00402B3A">
        <w:rPr>
          <w:rFonts w:eastAsia="Calibri"/>
        </w:rPr>
        <w:t xml:space="preserve">Seimo kanceliarijos </w:t>
      </w:r>
      <w:r w:rsidR="00B07229" w:rsidRPr="00402B3A">
        <w:t>Teisės departamento</w:t>
      </w:r>
      <w:r w:rsidR="003D142B" w:rsidRPr="00402B3A">
        <w:t>,</w:t>
      </w:r>
      <w:r w:rsidR="003D142B" w:rsidRPr="00402B3A">
        <w:rPr>
          <w:rFonts w:eastAsia="Calibri"/>
        </w:rPr>
        <w:t xml:space="preserve"> Lietuvos Respublikos teisingumo ministerijos</w:t>
      </w:r>
      <w:r w:rsidR="00AF104E" w:rsidRPr="00402B3A">
        <w:rPr>
          <w:rFonts w:eastAsia="Calibri"/>
        </w:rPr>
        <w:t xml:space="preserve"> </w:t>
      </w:r>
      <w:r w:rsidR="00142053" w:rsidRPr="00402B3A">
        <w:rPr>
          <w:rFonts w:eastAsia="Calibri"/>
        </w:rPr>
        <w:t xml:space="preserve">nuomonę dėl peticijoje </w:t>
      </w:r>
      <w:r w:rsidR="000D125D" w:rsidRPr="00402B3A">
        <w:rPr>
          <w:rFonts w:eastAsia="Calibri"/>
        </w:rPr>
        <w:t>pateikto siūlymo</w:t>
      </w:r>
      <w:r w:rsidR="00533880" w:rsidRPr="00402B3A">
        <w:rPr>
          <w:rFonts w:eastAsia="Calibri"/>
        </w:rPr>
        <w:t>.</w:t>
      </w:r>
      <w:r w:rsidR="00B07229" w:rsidRPr="00402B3A">
        <w:t xml:space="preserve"> </w:t>
      </w:r>
    </w:p>
    <w:p w:rsidR="0093132D" w:rsidRPr="00402B3A" w:rsidRDefault="006E6ABB" w:rsidP="0093132D">
      <w:pPr>
        <w:spacing w:line="360" w:lineRule="auto"/>
        <w:ind w:firstLine="851"/>
        <w:jc w:val="both"/>
        <w:rPr>
          <w:rFonts w:ascii="Times New Roman" w:hAnsi="Times New Roman"/>
          <w:color w:val="000000"/>
          <w:sz w:val="24"/>
          <w:szCs w:val="24"/>
          <w:shd w:val="clear" w:color="auto" w:fill="FFFFFF"/>
        </w:rPr>
      </w:pPr>
      <w:r w:rsidRPr="00402B3A">
        <w:rPr>
          <w:rFonts w:ascii="Times New Roman" w:eastAsia="Calibri" w:hAnsi="Times New Roman"/>
          <w:sz w:val="24"/>
          <w:szCs w:val="24"/>
        </w:rPr>
        <w:t xml:space="preserve">Vertinant pareiškėjo peticijos turinį, darytina išvada, jog </w:t>
      </w:r>
      <w:r w:rsidRPr="00402B3A">
        <w:rPr>
          <w:rFonts w:ascii="Times New Roman" w:hAnsi="Times New Roman"/>
          <w:sz w:val="24"/>
          <w:szCs w:val="24"/>
        </w:rPr>
        <w:t xml:space="preserve">siūlomas BPK papildymas galimai prieštarauja Lietuvos Respublikos Konstitucijos (toliau – Konstitucija) 31 straipsnyje įtvirtintam nekaltumo prezumpcijos principui. Konstitucijos 31 straipsnio 1 dalis aiškiai numato, kad asmuo laikomas nekaltu, kol jo kaltumas neįrodytas įstatymo nustatyta tvarka ir pripažintas įsiteisėjusiu teismo nuosprendžiu. </w:t>
      </w:r>
      <w:r w:rsidR="0093132D" w:rsidRPr="00402B3A">
        <w:rPr>
          <w:rFonts w:ascii="Times New Roman" w:hAnsi="Times New Roman"/>
          <w:color w:val="000000"/>
          <w:sz w:val="24"/>
          <w:szCs w:val="24"/>
          <w:shd w:val="clear" w:color="auto" w:fill="FFFFFF"/>
        </w:rPr>
        <w:t>Konstitucinis Teismas savo aktuose ne kartą yra konstatavęs, kad Konstitucijos 31 straipsnio 1 dalyje įtvirtinta nekaltumo prezumpcija yra viena svarbiausių teisingumo vykdymo demokratinėje teisinėje valstybėje garantijų. Tai pamatinis teisingumo vykdymo baudžiamųjų bylų procese principas, svarbi žmogaus teisių ir laisvių garantija. Nekaltumo prezumpcija neatskiriamai susijusi su kitų žmogaus konstitucinių teisių ir laisvių, taip pat įgytų teisių gerbimu ir apsauga (Konstitucinio Teismo 2004 m. gruodžio 29 d., 2006 m. sausio 16 d. ir kt. nutarimai).</w:t>
      </w:r>
    </w:p>
    <w:p w:rsidR="0093132D" w:rsidRPr="0093132D" w:rsidRDefault="0093132D" w:rsidP="00402B3A">
      <w:pPr>
        <w:spacing w:line="360" w:lineRule="auto"/>
        <w:ind w:firstLine="851"/>
        <w:jc w:val="both"/>
        <w:rPr>
          <w:rFonts w:ascii="Times New Roman" w:eastAsiaTheme="minorHAnsi" w:hAnsi="Times New Roman"/>
          <w:color w:val="000000"/>
          <w:sz w:val="24"/>
          <w:szCs w:val="24"/>
        </w:rPr>
      </w:pPr>
      <w:r w:rsidRPr="0093132D">
        <w:rPr>
          <w:rFonts w:ascii="Times New Roman" w:eastAsiaTheme="minorHAnsi" w:hAnsi="Times New Roman"/>
          <w:color w:val="000000"/>
          <w:sz w:val="24"/>
          <w:szCs w:val="24"/>
          <w:shd w:val="clear" w:color="auto" w:fill="FFFFFF"/>
        </w:rPr>
        <w:t xml:space="preserve">Nekaltumo prezumpcijos principas įtvirtintas ne tik nacionaliniu, bet ir tarptautiniu lygmeniu – </w:t>
      </w:r>
      <w:hyperlink r:id="rId8" w:tgtFrame="_blank" w:tooltip="Europos žmogaus teisių ir pagrindinių laisvių apsaugos konvencija" w:history="1">
        <w:r w:rsidRPr="00402B3A">
          <w:rPr>
            <w:rFonts w:ascii="Times New Roman" w:eastAsiaTheme="minorHAnsi" w:hAnsi="Times New Roman"/>
            <w:color w:val="000000"/>
            <w:sz w:val="24"/>
            <w:szCs w:val="24"/>
            <w:shd w:val="clear" w:color="auto" w:fill="FFFFFF"/>
          </w:rPr>
          <w:t>Žmogaus teisių ir pagrindinių laisvių apsaugos konvencijos</w:t>
        </w:r>
      </w:hyperlink>
      <w:bookmarkStart w:id="0" w:name="pnTP1_9000222"/>
      <w:bookmarkStart w:id="1" w:name="nTP1_9000223"/>
      <w:bookmarkEnd w:id="0"/>
      <w:r w:rsidRPr="0093132D">
        <w:rPr>
          <w:rFonts w:ascii="Times New Roman" w:eastAsiaTheme="minorHAnsi" w:hAnsi="Times New Roman"/>
          <w:color w:val="000000"/>
          <w:sz w:val="24"/>
          <w:szCs w:val="24"/>
          <w:shd w:val="clear" w:color="auto" w:fill="FFFFFF"/>
        </w:rPr>
        <w:t xml:space="preserve"> (toliau – Konvencija)</w:t>
      </w:r>
      <w:bookmarkEnd w:id="1"/>
      <w:r w:rsidRPr="0093132D">
        <w:rPr>
          <w:rFonts w:ascii="Times New Roman" w:eastAsiaTheme="minorHAnsi" w:hAnsi="Times New Roman"/>
          <w:color w:val="000000"/>
          <w:sz w:val="24"/>
          <w:szCs w:val="24"/>
          <w:shd w:val="clear" w:color="auto" w:fill="FFFFFF"/>
        </w:rPr>
        <w:t xml:space="preserve"> </w:t>
      </w:r>
      <w:hyperlink r:id="rId9" w:tgtFrame="_blank" w:tooltip="[Aukštosios susitariančios šalys laikys šio Protokolo 1, 2, 3, 4 ir 5 straipsnius...]" w:history="1">
        <w:r w:rsidRPr="00402B3A">
          <w:rPr>
            <w:rFonts w:ascii="Times New Roman" w:eastAsiaTheme="minorHAnsi" w:hAnsi="Times New Roman"/>
            <w:color w:val="000000"/>
            <w:sz w:val="24"/>
            <w:szCs w:val="24"/>
            <w:shd w:val="clear" w:color="auto" w:fill="FFFFFF"/>
          </w:rPr>
          <w:t>6</w:t>
        </w:r>
      </w:hyperlink>
      <w:bookmarkStart w:id="2" w:name="pnTP1_9000223"/>
      <w:bookmarkEnd w:id="2"/>
      <w:r w:rsidRPr="0093132D">
        <w:rPr>
          <w:rFonts w:ascii="Times New Roman" w:eastAsiaTheme="minorHAnsi" w:hAnsi="Times New Roman"/>
          <w:color w:val="000000"/>
          <w:sz w:val="24"/>
          <w:szCs w:val="24"/>
          <w:shd w:val="clear" w:color="auto" w:fill="FFFFFF"/>
        </w:rPr>
        <w:t xml:space="preserve"> straipsnio 2 dalyje, kurioje įtvirtinta, kad kiekvienas nusikaltimo padarymu kaltinamas asmuo laikomas nekaltu tol, kol jo kaltė neįrodyta pagal įstatymą. Pasak Konstitucinio Teismo</w:t>
      </w:r>
      <w:r w:rsidRPr="0093132D">
        <w:rPr>
          <w:rFonts w:ascii="Times New Roman" w:eastAsiaTheme="minorHAnsi" w:hAnsi="Times New Roman"/>
          <w:color w:val="000000"/>
          <w:sz w:val="24"/>
          <w:szCs w:val="24"/>
        </w:rPr>
        <w:t xml:space="preserve"> Konvencijos </w:t>
      </w:r>
      <w:r w:rsidRPr="0093132D">
        <w:rPr>
          <w:rFonts w:ascii="Times New Roman" w:eastAsiaTheme="minorHAnsi" w:hAnsi="Times New Roman"/>
          <w:color w:val="000000"/>
          <w:sz w:val="24"/>
          <w:szCs w:val="24"/>
        </w:rPr>
        <w:lastRenderedPageBreak/>
        <w:t xml:space="preserve">6 straipsnio 2 dalyje įtvirtinto nekaltumo prezumpcijos principo samprata iš esmės yra tokia pat, kaip ir Konstitucijos 31 straipsnio 1 dalyje įtvirtinto nekaltumo prezumpcijos principo samprata </w:t>
      </w:r>
      <w:r w:rsidRPr="0093132D">
        <w:rPr>
          <w:rFonts w:ascii="Times New Roman" w:eastAsiaTheme="minorHAnsi" w:hAnsi="Times New Roman"/>
          <w:color w:val="000000"/>
          <w:sz w:val="24"/>
          <w:szCs w:val="24"/>
          <w:shd w:val="clear" w:color="auto" w:fill="FFFFFF"/>
        </w:rPr>
        <w:t xml:space="preserve">(Konstitucinio Teismo </w:t>
      </w:r>
      <w:r w:rsidRPr="0093132D">
        <w:rPr>
          <w:rFonts w:ascii="Times New Roman" w:eastAsiaTheme="minorHAnsi" w:hAnsi="Times New Roman"/>
          <w:color w:val="000000"/>
          <w:sz w:val="24"/>
          <w:szCs w:val="24"/>
        </w:rPr>
        <w:t>2007 m. sausio 16 d. nutarimas).</w:t>
      </w:r>
    </w:p>
    <w:p w:rsidR="0093132D" w:rsidRPr="00402B3A" w:rsidRDefault="0093132D" w:rsidP="00402B3A">
      <w:pPr>
        <w:spacing w:line="360" w:lineRule="auto"/>
        <w:ind w:firstLine="851"/>
        <w:jc w:val="both"/>
        <w:rPr>
          <w:rFonts w:ascii="Times New Roman" w:eastAsiaTheme="minorHAnsi" w:hAnsi="Times New Roman"/>
          <w:color w:val="000000"/>
          <w:sz w:val="24"/>
          <w:szCs w:val="24"/>
        </w:rPr>
      </w:pPr>
      <w:bookmarkStart w:id="3" w:name="_GoBack"/>
      <w:r w:rsidRPr="0093132D">
        <w:rPr>
          <w:rFonts w:ascii="Times New Roman" w:eastAsiaTheme="minorHAnsi" w:hAnsi="Times New Roman"/>
          <w:color w:val="000000"/>
          <w:sz w:val="24"/>
          <w:szCs w:val="24"/>
        </w:rPr>
        <w:t>Nekaltumo prezumpcija taip pat yra įtvirtinta ir BPK 44 straipsnio 6 dalyje</w:t>
      </w:r>
      <w:r w:rsidR="00A91934" w:rsidRPr="00402B3A">
        <w:rPr>
          <w:rFonts w:ascii="Times New Roman" w:hAnsi="Times New Roman"/>
          <w:sz w:val="24"/>
          <w:szCs w:val="24"/>
        </w:rPr>
        <w:t xml:space="preserve"> –  </w:t>
      </w:r>
      <w:r w:rsidRPr="0093132D">
        <w:rPr>
          <w:rFonts w:ascii="Times New Roman" w:eastAsiaTheme="minorHAnsi" w:hAnsi="Times New Roman"/>
          <w:color w:val="000000"/>
          <w:sz w:val="24"/>
          <w:szCs w:val="24"/>
        </w:rPr>
        <w:t>kiekvienas nusikalstamos veikos padarymu įtariamas ar kaltinamas asmuo laikomas nekaltu tol, kol jo kaltumas neįrodytas šio Kodekso nustatyta tvarka ir nepripažintas įsiteisėjusiu teismo nuosprendžiu.</w:t>
      </w:r>
      <w:r w:rsidRPr="0093132D">
        <w:rPr>
          <w:rFonts w:ascii="Times New Roman" w:eastAsiaTheme="minorHAnsi" w:hAnsi="Times New Roman"/>
          <w:b/>
          <w:bCs/>
          <w:color w:val="000000"/>
          <w:sz w:val="24"/>
          <w:szCs w:val="24"/>
        </w:rPr>
        <w:t> </w:t>
      </w:r>
    </w:p>
    <w:p w:rsidR="006E6ABB" w:rsidRPr="00402B3A" w:rsidRDefault="006E6ABB" w:rsidP="006E6ABB">
      <w:pPr>
        <w:spacing w:line="360" w:lineRule="auto"/>
        <w:ind w:firstLine="851"/>
        <w:jc w:val="both"/>
        <w:rPr>
          <w:rFonts w:ascii="Times New Roman" w:hAnsi="Times New Roman"/>
          <w:sz w:val="24"/>
          <w:szCs w:val="24"/>
        </w:rPr>
      </w:pPr>
      <w:r w:rsidRPr="00402B3A">
        <w:rPr>
          <w:rFonts w:ascii="Times New Roman" w:hAnsi="Times New Roman"/>
          <w:sz w:val="24"/>
          <w:szCs w:val="24"/>
        </w:rPr>
        <w:t>Atsižvelgiant į tai, BPK teisinis reglamentavimas numato procesinių normų sistemą, kuriomis vadovaujantis valstybiniai subjektai, turintys teisę vykdyti baudžiamąjį persekiojimą, įvertina gautą informaciją apie galimai padarytą nusikalstamą veiką ir, įgyvendindami savo funkcijas, priima sprendimą dėl ikiteisminio tyrimo pradėjimo. Šiame kontekste akcentuotina, kad siekiant užtikrinti BPK 1 straipsnio 1 dalyje įtvirtiną baudžiamojo proceso paskirtį –  ginant žmogaus ir piliečio teises bei laisves, visuomenės ir valstybės interesus greitai, išsamiai atskleisti nusikalstamas veikas ir tinkamai pritaikyti įstatymą, kad nusikalstamą veiką padaręs asmuo būtų teisingai nubaustas ir niekas nekaltas nebūtų nuteistas, yra būtina ikiteisminio tyrimo stadija, kuri įgalina aptariamus valstybinius subjektus rinkti duomenis, užtikrinančius, jog yra pakankama tikimybė, kad asmuo padarė nusikalstamą veiką. Tik atlikus atitinkamus ikiteisminio tyrimo veiksmus, kurių pagrindu surenkami asmens kaltę pagrindžiantys duomenys, atsirastų pakankamas pagrindas prokurorui, vykdant jam iš Konstitucijos kylančią pareigą, teismui pateikti pagrįstą, motyvuotą kaltinamąjį aktą. Priešingu atveju, neleidžiant ikiteisminio tyrimo subjektams vykdyti ikiteisminio tyrimo, nebūtų galimybės surinkti duomenų apie asmens galimai padarytą nusikalstamą veiką, kurių pagrindu būtų galima teismui pateikti kaltinamąjį aktą. Taip pat, pareiškėjo siūlomi pakeitimai, kuriais siūloma išskirti tik dvi nusikalstamas veikas, dėl kurių būtų neatliekamas ikiteisminis tyrimas, prieštarauja lygiateisiškumo principui ir nėra laikytini sistemiškai pagrįstais, kadangi BPK visoms nusikalstamoms veikoms nustato vienodą ikiteisminio tyrimo bei teisminio nagrinėjimo tvarką. Kartu, akcentuotina ir tai, kad, tokio pobūdžio teisėkūros iniciatyvos nebūtų galima įgyvendinti ir praktinėje veikloje. Neatlikus ikiteisminio tyrimo ir nesurinkus visų kaltę pagrindžiančių duomenų, surašytas kaltinamasis aktas ne tik, kad neatitiktų jam BPK 23 straipsnyje įtvirtintų reikalavimų (aprašoma nusikalstama veika, nurodomi duomenys, kuriais grindžiamas kaltinimas, ir baudžiamasis įstatymas, numatantis tą veiką), bet ir niekaip negalėtų sukurti prielaidų asmenį pripažinti kaltu, kadangi pagal tokio pobūdžio kaltinamąjį aktą bylą nagrinėjantis teismas neturėtų ką vertinti, kas lemtų negalimumą nagrinėti tokio pobūdžio baudžiamąją bylą.</w:t>
      </w:r>
    </w:p>
    <w:p w:rsidR="006E6ABB" w:rsidRPr="00402B3A" w:rsidRDefault="006E6ABB" w:rsidP="006E6ABB">
      <w:pPr>
        <w:spacing w:line="360" w:lineRule="auto"/>
        <w:ind w:firstLine="851"/>
        <w:jc w:val="both"/>
        <w:rPr>
          <w:rFonts w:ascii="Times New Roman" w:hAnsi="Times New Roman"/>
          <w:sz w:val="24"/>
          <w:szCs w:val="24"/>
        </w:rPr>
      </w:pPr>
      <w:r w:rsidRPr="00402B3A">
        <w:rPr>
          <w:rFonts w:ascii="Times New Roman" w:hAnsi="Times New Roman"/>
          <w:sz w:val="24"/>
          <w:szCs w:val="24"/>
        </w:rPr>
        <w:t xml:space="preserve">Pažymėtina, kad pareiškėjo siūlymas perkelti nekaltumo įrodinėjimo pareigą kaltinamajam taip pat sukurtų prielaidas pažeisti nekaltumo prezumpcijos principą. Vadovaujantis Konstitucijos 118 straipsnio 1 dalimi, ikiteisminį tyrimą organizuoja ir jam vadovauja, valstybinį kaltinimą baudžiamosiose bylose palaiko prokuroras. Taigi, Konstitucija aiškiai ir nedviprasmiškai įpareigoja </w:t>
      </w:r>
      <w:r w:rsidRPr="00402B3A">
        <w:rPr>
          <w:rFonts w:ascii="Times New Roman" w:hAnsi="Times New Roman"/>
          <w:sz w:val="24"/>
          <w:szCs w:val="24"/>
        </w:rPr>
        <w:lastRenderedPageBreak/>
        <w:t>būtent prokurorą palaikyti kaltinimą baudžiamosiose bylose, dėl ko tik šiam subjektui tenka pareiga įrodyti asmens kaltumą padarius nusikalstamą veiką, nepriklausomai nuo to, ar kaltinamasis ginasi nuo pareikšto kaltinimo. Tą patvirtina ir BPK 44 straipsnio 6 dalis, aiškiai nurodanti, jog kiekvienas nusikalstamos veikos padarymu įtariamas ar kaltinamas asmuo laikomas nekaltu tol, kol jo kaltumas neįrodytas BPK nustatyta tvarka ir nepripažintas įsiteisėjusiu teismo nuosprendžiu. Perkėlus pareigą kaltinamajam įrodyti savo nekaltumą, būtų pažeistas vienas iš pagrindinių baudžiamojo proceso principų – nekaltumo prezumpcija, dėl ko bet koks tokio pobūdžio principo pažeidimo rezultatas negalėtų būti laikomas teisėtu ar teisingu.</w:t>
      </w:r>
    </w:p>
    <w:p w:rsidR="006E6ABB" w:rsidRPr="00402B3A" w:rsidRDefault="006E6ABB" w:rsidP="006E6ABB">
      <w:pPr>
        <w:spacing w:line="360" w:lineRule="auto"/>
        <w:ind w:firstLine="851"/>
        <w:jc w:val="both"/>
        <w:rPr>
          <w:rFonts w:ascii="Times New Roman" w:hAnsi="Times New Roman"/>
          <w:sz w:val="24"/>
          <w:szCs w:val="24"/>
        </w:rPr>
      </w:pPr>
      <w:r w:rsidRPr="00402B3A">
        <w:rPr>
          <w:rFonts w:ascii="Times New Roman" w:hAnsi="Times New Roman"/>
          <w:sz w:val="24"/>
          <w:szCs w:val="24"/>
        </w:rPr>
        <w:t xml:space="preserve">Komisijos nuomone, pareiškėjo siūlomas įtvirtinti baudžiamojo proceso teisinis reglamentavimas </w:t>
      </w:r>
      <w:r w:rsidR="00A91934">
        <w:rPr>
          <w:rFonts w:ascii="Times New Roman" w:hAnsi="Times New Roman"/>
          <w:sz w:val="24"/>
          <w:szCs w:val="24"/>
        </w:rPr>
        <w:t>neatitinka K</w:t>
      </w:r>
      <w:r w:rsidR="00402B3A" w:rsidRPr="00402B3A">
        <w:rPr>
          <w:rFonts w:ascii="Times New Roman" w:hAnsi="Times New Roman"/>
          <w:sz w:val="24"/>
          <w:szCs w:val="24"/>
        </w:rPr>
        <w:t xml:space="preserve">onstitucinio Teismo oficialiosios konstitucinės doktrinos, </w:t>
      </w:r>
      <w:r w:rsidRPr="00402B3A">
        <w:rPr>
          <w:rFonts w:ascii="Times New Roman" w:hAnsi="Times New Roman"/>
          <w:sz w:val="24"/>
          <w:szCs w:val="24"/>
        </w:rPr>
        <w:t>yra nesuderinamas su pagrindiniais baudžiamąjį procesą reglamentuojančiais principais, procesinių normų sistema.</w:t>
      </w:r>
    </w:p>
    <w:bookmarkEnd w:id="3"/>
    <w:p w:rsidR="008B00C5" w:rsidRPr="00402B3A" w:rsidRDefault="008B00C5" w:rsidP="00583A0B">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402B3A">
        <w:rPr>
          <w:rFonts w:ascii="Times New Roman" w:hAnsi="Times New Roman"/>
          <w:sz w:val="24"/>
          <w:szCs w:val="24"/>
          <w:lang w:eastAsia="ar-SA"/>
        </w:rPr>
        <w:t xml:space="preserve">Vadovaujantis Lietuvos Respublikos peticijų </w:t>
      </w:r>
      <w:r w:rsidR="00F41053" w:rsidRPr="00402B3A">
        <w:rPr>
          <w:rFonts w:ascii="Times New Roman" w:hAnsi="Times New Roman"/>
          <w:sz w:val="24"/>
          <w:szCs w:val="24"/>
          <w:lang w:eastAsia="ar-SA"/>
        </w:rPr>
        <w:t>konstitucinio įstatymo 18</w:t>
      </w:r>
      <w:r w:rsidRPr="00402B3A">
        <w:rPr>
          <w:rFonts w:ascii="Times New Roman" w:hAnsi="Times New Roman"/>
          <w:sz w:val="24"/>
          <w:szCs w:val="24"/>
          <w:lang w:eastAsia="ar-SA"/>
        </w:rPr>
        <w:t xml:space="preserve"> straipsnio </w:t>
      </w:r>
      <w:r w:rsidR="00F41053" w:rsidRPr="00402B3A">
        <w:rPr>
          <w:rFonts w:ascii="Times New Roman" w:hAnsi="Times New Roman"/>
          <w:sz w:val="24"/>
          <w:szCs w:val="24"/>
          <w:lang w:eastAsia="ar-SA"/>
        </w:rPr>
        <w:t>4</w:t>
      </w:r>
      <w:r w:rsidRPr="00402B3A">
        <w:rPr>
          <w:rFonts w:ascii="Times New Roman" w:hAnsi="Times New Roman"/>
          <w:sz w:val="24"/>
          <w:szCs w:val="24"/>
          <w:lang w:eastAsia="ar-SA"/>
        </w:rPr>
        <w:t xml:space="preserve"> dali</w:t>
      </w:r>
      <w:r w:rsidR="00F41053" w:rsidRPr="00402B3A">
        <w:rPr>
          <w:rFonts w:ascii="Times New Roman" w:hAnsi="Times New Roman"/>
          <w:sz w:val="24"/>
          <w:szCs w:val="24"/>
          <w:lang w:eastAsia="ar-SA"/>
        </w:rPr>
        <w:t>es 2 punktu</w:t>
      </w:r>
      <w:r w:rsidRPr="00402B3A">
        <w:rPr>
          <w:rFonts w:ascii="Times New Roman" w:hAnsi="Times New Roman"/>
          <w:sz w:val="24"/>
          <w:szCs w:val="24"/>
          <w:lang w:eastAsia="ar-SA"/>
        </w:rPr>
        <w:t xml:space="preserve"> ir </w:t>
      </w:r>
      <w:r w:rsidR="008D0D76" w:rsidRPr="00402B3A">
        <w:rPr>
          <w:rFonts w:ascii="Times New Roman" w:hAnsi="Times New Roman"/>
          <w:sz w:val="24"/>
          <w:szCs w:val="24"/>
          <w:lang w:eastAsia="ar-SA"/>
        </w:rPr>
        <w:t xml:space="preserve">Lietuvos Respublikos </w:t>
      </w:r>
      <w:r w:rsidRPr="00402B3A">
        <w:rPr>
          <w:rFonts w:ascii="Times New Roman" w:hAnsi="Times New Roman"/>
          <w:sz w:val="24"/>
          <w:szCs w:val="24"/>
          <w:lang w:eastAsia="ar-SA"/>
        </w:rPr>
        <w:t xml:space="preserve">Seimo Peticijų komisijos nuostatų, patvirtintų Seimo </w:t>
      </w:r>
      <w:r w:rsidR="008D0D76" w:rsidRPr="00402B3A">
        <w:rPr>
          <w:rFonts w:ascii="Times New Roman" w:hAnsi="Times New Roman"/>
          <w:sz w:val="24"/>
          <w:szCs w:val="24"/>
          <w:lang w:eastAsia="ar-SA"/>
        </w:rPr>
        <w:t>2023</w:t>
      </w:r>
      <w:r w:rsidRPr="00402B3A">
        <w:rPr>
          <w:rFonts w:ascii="Times New Roman" w:hAnsi="Times New Roman"/>
          <w:sz w:val="24"/>
          <w:szCs w:val="24"/>
          <w:lang w:eastAsia="ar-SA"/>
        </w:rPr>
        <w:t xml:space="preserve"> m. </w:t>
      </w:r>
      <w:r w:rsidR="008D0D76" w:rsidRPr="00402B3A">
        <w:rPr>
          <w:rFonts w:ascii="Times New Roman" w:hAnsi="Times New Roman"/>
          <w:sz w:val="24"/>
          <w:szCs w:val="24"/>
          <w:lang w:eastAsia="ar-SA"/>
        </w:rPr>
        <w:t>birželio 27</w:t>
      </w:r>
      <w:r w:rsidRPr="00402B3A">
        <w:rPr>
          <w:rFonts w:ascii="Times New Roman" w:hAnsi="Times New Roman"/>
          <w:sz w:val="24"/>
          <w:szCs w:val="24"/>
          <w:lang w:eastAsia="ar-SA"/>
        </w:rPr>
        <w:t xml:space="preserve"> d. nutarimu Nr. </w:t>
      </w:r>
      <w:r w:rsidR="008D0D76" w:rsidRPr="00402B3A">
        <w:rPr>
          <w:rFonts w:ascii="Times New Roman" w:hAnsi="Times New Roman"/>
          <w:sz w:val="24"/>
          <w:szCs w:val="24"/>
          <w:lang w:eastAsia="ar-SA"/>
        </w:rPr>
        <w:t>XIV-2101</w:t>
      </w:r>
      <w:r w:rsidRPr="00402B3A">
        <w:rPr>
          <w:rFonts w:ascii="Times New Roman" w:hAnsi="Times New Roman"/>
          <w:sz w:val="24"/>
          <w:szCs w:val="24"/>
          <w:lang w:eastAsia="ar-SA"/>
        </w:rPr>
        <w:t xml:space="preserve"> „Dėl </w:t>
      </w:r>
      <w:r w:rsidR="008D0D76" w:rsidRPr="00402B3A">
        <w:rPr>
          <w:rFonts w:ascii="Times New Roman" w:hAnsi="Times New Roman"/>
          <w:sz w:val="24"/>
          <w:szCs w:val="24"/>
          <w:lang w:eastAsia="ar-SA"/>
        </w:rPr>
        <w:t xml:space="preserve">Lietuvos Respublikos </w:t>
      </w:r>
      <w:r w:rsidRPr="00402B3A">
        <w:rPr>
          <w:rFonts w:ascii="Times New Roman" w:hAnsi="Times New Roman"/>
          <w:sz w:val="24"/>
          <w:szCs w:val="24"/>
          <w:lang w:eastAsia="ar-SA"/>
        </w:rPr>
        <w:t xml:space="preserve">Seimo Peticijų komisijos nuostatų patvirtinimo“, </w:t>
      </w:r>
      <w:r w:rsidR="008D0D76" w:rsidRPr="00402B3A">
        <w:rPr>
          <w:rFonts w:ascii="Times New Roman" w:hAnsi="Times New Roman"/>
          <w:sz w:val="24"/>
          <w:szCs w:val="24"/>
          <w:lang w:eastAsia="ar-SA"/>
        </w:rPr>
        <w:t xml:space="preserve">8.7 </w:t>
      </w:r>
      <w:r w:rsidRPr="00402B3A">
        <w:rPr>
          <w:rFonts w:ascii="Times New Roman" w:hAnsi="Times New Roman"/>
          <w:sz w:val="24"/>
          <w:szCs w:val="24"/>
          <w:lang w:eastAsia="ar-SA"/>
        </w:rPr>
        <w:t xml:space="preserve">punktu, Seimo Peticijų komisijos išvada dėl </w:t>
      </w:r>
      <w:r w:rsidR="009176E6" w:rsidRPr="00402B3A">
        <w:rPr>
          <w:rFonts w:ascii="Times New Roman" w:hAnsi="Times New Roman"/>
          <w:sz w:val="24"/>
          <w:szCs w:val="24"/>
          <w:lang w:eastAsia="ar-SA"/>
        </w:rPr>
        <w:t>pareiškėj</w:t>
      </w:r>
      <w:r w:rsidR="001A2453" w:rsidRPr="00402B3A">
        <w:rPr>
          <w:rFonts w:ascii="Times New Roman" w:hAnsi="Times New Roman"/>
          <w:sz w:val="24"/>
          <w:szCs w:val="24"/>
          <w:lang w:eastAsia="ar-SA"/>
        </w:rPr>
        <w:t>o</w:t>
      </w:r>
      <w:r w:rsidR="009176E6" w:rsidRPr="00402B3A">
        <w:rPr>
          <w:rFonts w:ascii="Times New Roman" w:hAnsi="Times New Roman"/>
          <w:sz w:val="24"/>
          <w:szCs w:val="24"/>
          <w:lang w:eastAsia="ar-SA"/>
        </w:rPr>
        <w:t xml:space="preserve"> </w:t>
      </w:r>
      <w:r w:rsidRPr="00402B3A">
        <w:rPr>
          <w:rFonts w:ascii="Times New Roman" w:hAnsi="Times New Roman"/>
          <w:sz w:val="24"/>
          <w:szCs w:val="24"/>
          <w:lang w:eastAsia="ar-SA"/>
        </w:rPr>
        <w:t>peticijo</w:t>
      </w:r>
      <w:r w:rsidR="001A2453" w:rsidRPr="00402B3A">
        <w:rPr>
          <w:rFonts w:ascii="Times New Roman" w:hAnsi="Times New Roman"/>
          <w:sz w:val="24"/>
          <w:szCs w:val="24"/>
          <w:lang w:eastAsia="ar-SA"/>
        </w:rPr>
        <w:t>j</w:t>
      </w:r>
      <w:r w:rsidRPr="00402B3A">
        <w:rPr>
          <w:rFonts w:ascii="Times New Roman" w:hAnsi="Times New Roman"/>
          <w:sz w:val="24"/>
          <w:szCs w:val="24"/>
          <w:lang w:eastAsia="ar-SA"/>
        </w:rPr>
        <w:t>e pateikt</w:t>
      </w:r>
      <w:r w:rsidR="008852EF" w:rsidRPr="00402B3A">
        <w:rPr>
          <w:rFonts w:ascii="Times New Roman" w:hAnsi="Times New Roman"/>
          <w:sz w:val="24"/>
          <w:szCs w:val="24"/>
          <w:lang w:eastAsia="ar-SA"/>
        </w:rPr>
        <w:t>o</w:t>
      </w:r>
      <w:r w:rsidRPr="00402B3A">
        <w:rPr>
          <w:rFonts w:ascii="Times New Roman" w:hAnsi="Times New Roman"/>
          <w:sz w:val="24"/>
          <w:szCs w:val="24"/>
          <w:lang w:eastAsia="ar-SA"/>
        </w:rPr>
        <w:t xml:space="preserve"> siūlym</w:t>
      </w:r>
      <w:r w:rsidR="008852EF" w:rsidRPr="00402B3A">
        <w:rPr>
          <w:rFonts w:ascii="Times New Roman" w:hAnsi="Times New Roman"/>
          <w:sz w:val="24"/>
          <w:szCs w:val="24"/>
          <w:lang w:eastAsia="ar-SA"/>
        </w:rPr>
        <w:t>o</w:t>
      </w:r>
      <w:r w:rsidRPr="00402B3A">
        <w:rPr>
          <w:rFonts w:ascii="Times New Roman" w:hAnsi="Times New Roman"/>
          <w:sz w:val="24"/>
          <w:szCs w:val="24"/>
          <w:lang w:eastAsia="ar-SA"/>
        </w:rPr>
        <w:t xml:space="preserve"> </w:t>
      </w:r>
      <w:r w:rsidR="00F41053" w:rsidRPr="00402B3A">
        <w:rPr>
          <w:rFonts w:ascii="Times New Roman" w:hAnsi="Times New Roman"/>
          <w:sz w:val="24"/>
          <w:szCs w:val="24"/>
          <w:lang w:eastAsia="ar-SA"/>
        </w:rPr>
        <w:t xml:space="preserve">netenkinimo </w:t>
      </w:r>
      <w:r w:rsidRPr="00402B3A">
        <w:rPr>
          <w:rFonts w:ascii="Times New Roman" w:hAnsi="Times New Roman"/>
          <w:sz w:val="24"/>
          <w:szCs w:val="24"/>
          <w:lang w:eastAsia="ar-SA"/>
        </w:rPr>
        <w:t xml:space="preserve">teikiama Seimui, taip pat siūloma įtraukti į Seimo </w:t>
      </w:r>
      <w:r w:rsidR="008D0D76" w:rsidRPr="00402B3A">
        <w:rPr>
          <w:rFonts w:ascii="Times New Roman" w:hAnsi="Times New Roman"/>
          <w:sz w:val="24"/>
          <w:szCs w:val="24"/>
          <w:lang w:eastAsia="ar-SA"/>
        </w:rPr>
        <w:t>VII</w:t>
      </w:r>
      <w:r w:rsidR="00C91E46" w:rsidRPr="00402B3A">
        <w:rPr>
          <w:rFonts w:ascii="Times New Roman" w:hAnsi="Times New Roman"/>
          <w:sz w:val="24"/>
          <w:szCs w:val="24"/>
          <w:lang w:eastAsia="ar-SA"/>
        </w:rPr>
        <w:t>I</w:t>
      </w:r>
      <w:r w:rsidR="008D0D76" w:rsidRPr="00402B3A">
        <w:rPr>
          <w:rFonts w:ascii="Times New Roman" w:hAnsi="Times New Roman"/>
          <w:sz w:val="24"/>
          <w:szCs w:val="24"/>
          <w:lang w:eastAsia="ar-SA"/>
        </w:rPr>
        <w:t xml:space="preserve"> (</w:t>
      </w:r>
      <w:r w:rsidR="00C91E46" w:rsidRPr="00402B3A">
        <w:rPr>
          <w:rFonts w:ascii="Times New Roman" w:hAnsi="Times New Roman"/>
          <w:sz w:val="24"/>
          <w:szCs w:val="24"/>
          <w:lang w:eastAsia="ar-SA"/>
        </w:rPr>
        <w:t>pavasario</w:t>
      </w:r>
      <w:r w:rsidR="008D0D76" w:rsidRPr="00402B3A">
        <w:rPr>
          <w:rFonts w:ascii="Times New Roman" w:hAnsi="Times New Roman"/>
          <w:sz w:val="24"/>
          <w:szCs w:val="24"/>
          <w:lang w:eastAsia="ar-SA"/>
        </w:rPr>
        <w:t>)</w:t>
      </w:r>
      <w:r w:rsidRPr="00402B3A">
        <w:rPr>
          <w:rFonts w:ascii="Times New Roman" w:hAnsi="Times New Roman"/>
          <w:sz w:val="24"/>
          <w:szCs w:val="24"/>
          <w:lang w:eastAsia="ar-SA"/>
        </w:rPr>
        <w:t xml:space="preserve"> sesijos darbotvarkę Seimo nutarimo „Dėl Lietuvos Respublikos Seimo Peticijų komisijos </w:t>
      </w:r>
      <w:r w:rsidR="00C91E46" w:rsidRPr="00402B3A">
        <w:rPr>
          <w:rFonts w:ascii="Times New Roman" w:hAnsi="Times New Roman"/>
          <w:sz w:val="24"/>
          <w:szCs w:val="24"/>
          <w:lang w:eastAsia="ar-SA"/>
        </w:rPr>
        <w:t>202</w:t>
      </w:r>
      <w:r w:rsidR="00C91E46" w:rsidRPr="00402B3A">
        <w:rPr>
          <w:rFonts w:ascii="Times New Roman" w:hAnsi="Times New Roman"/>
          <w:sz w:val="24"/>
          <w:szCs w:val="24"/>
          <w:lang w:val="en-US" w:eastAsia="ar-SA"/>
        </w:rPr>
        <w:t>4</w:t>
      </w:r>
      <w:r w:rsidR="00901F00" w:rsidRPr="00402B3A">
        <w:rPr>
          <w:rFonts w:ascii="Times New Roman" w:hAnsi="Times New Roman"/>
          <w:sz w:val="24"/>
          <w:szCs w:val="24"/>
          <w:lang w:eastAsia="ar-SA"/>
        </w:rPr>
        <w:t xml:space="preserve"> m. </w:t>
      </w:r>
      <w:r w:rsidR="006E6ABB" w:rsidRPr="00402B3A">
        <w:rPr>
          <w:rFonts w:ascii="Times New Roman" w:hAnsi="Times New Roman"/>
          <w:sz w:val="24"/>
          <w:szCs w:val="24"/>
          <w:lang w:eastAsia="ar-SA"/>
        </w:rPr>
        <w:t xml:space="preserve">gegužės </w:t>
      </w:r>
      <w:r w:rsidR="006E6ABB" w:rsidRPr="00402B3A">
        <w:rPr>
          <w:rFonts w:ascii="Times New Roman" w:hAnsi="Times New Roman"/>
          <w:sz w:val="24"/>
          <w:szCs w:val="24"/>
          <w:lang w:val="en-US" w:eastAsia="ar-SA"/>
        </w:rPr>
        <w:t xml:space="preserve">8 </w:t>
      </w:r>
      <w:r w:rsidR="00901F00" w:rsidRPr="00402B3A">
        <w:rPr>
          <w:rFonts w:ascii="Times New Roman" w:hAnsi="Times New Roman"/>
          <w:sz w:val="24"/>
          <w:szCs w:val="24"/>
          <w:lang w:eastAsia="ar-SA"/>
        </w:rPr>
        <w:t xml:space="preserve">d. </w:t>
      </w:r>
      <w:r w:rsidRPr="00402B3A">
        <w:rPr>
          <w:rFonts w:ascii="Times New Roman" w:hAnsi="Times New Roman"/>
          <w:sz w:val="24"/>
          <w:szCs w:val="24"/>
          <w:lang w:eastAsia="ar-SA"/>
        </w:rPr>
        <w:t xml:space="preserve">išvados </w:t>
      </w:r>
      <w:r w:rsidR="00901F00" w:rsidRPr="00402B3A">
        <w:rPr>
          <w:rFonts w:ascii="Times New Roman" w:hAnsi="Times New Roman"/>
          <w:sz w:val="24"/>
          <w:szCs w:val="24"/>
          <w:lang w:eastAsia="ar-SA"/>
        </w:rPr>
        <w:t>Nr. 250-I-</w:t>
      </w:r>
      <w:r w:rsidR="006E6ABB" w:rsidRPr="00402B3A">
        <w:rPr>
          <w:rFonts w:ascii="Times New Roman" w:hAnsi="Times New Roman"/>
          <w:sz w:val="24"/>
          <w:szCs w:val="24"/>
          <w:lang w:eastAsia="ar-SA"/>
        </w:rPr>
        <w:t>9</w:t>
      </w:r>
      <w:r w:rsidRPr="00402B3A">
        <w:rPr>
          <w:rFonts w:ascii="Times New Roman" w:hAnsi="Times New Roman"/>
          <w:sz w:val="24"/>
          <w:szCs w:val="24"/>
          <w:lang w:eastAsia="ar-SA"/>
        </w:rPr>
        <w:t>“ projektą.</w:t>
      </w:r>
    </w:p>
    <w:p w:rsidR="00135346" w:rsidRPr="00402B3A"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402B3A" w:rsidRDefault="00DE2E16" w:rsidP="008B00C5">
      <w:pPr>
        <w:pStyle w:val="Betarp"/>
        <w:tabs>
          <w:tab w:val="left" w:pos="1134"/>
        </w:tabs>
        <w:spacing w:line="360" w:lineRule="auto"/>
        <w:ind w:firstLine="851"/>
        <w:jc w:val="both"/>
        <w:rPr>
          <w:rFonts w:ascii="Times New Roman" w:hAnsi="Times New Roman"/>
          <w:sz w:val="24"/>
          <w:szCs w:val="24"/>
          <w:lang w:eastAsia="ar-SA"/>
        </w:rPr>
      </w:pPr>
    </w:p>
    <w:p w:rsidR="0006013A" w:rsidRPr="00402B3A" w:rsidRDefault="00135346" w:rsidP="00883671">
      <w:pPr>
        <w:pStyle w:val="Betarp"/>
        <w:tabs>
          <w:tab w:val="left" w:pos="1134"/>
        </w:tabs>
        <w:spacing w:line="360" w:lineRule="auto"/>
        <w:jc w:val="both"/>
        <w:rPr>
          <w:rFonts w:ascii="Times New Roman" w:hAnsi="Times New Roman"/>
          <w:sz w:val="24"/>
          <w:szCs w:val="24"/>
          <w:lang w:eastAsia="ar-SA"/>
        </w:rPr>
      </w:pPr>
      <w:r w:rsidRPr="00402B3A">
        <w:rPr>
          <w:rFonts w:ascii="Times New Roman" w:hAnsi="Times New Roman"/>
          <w:sz w:val="24"/>
          <w:szCs w:val="24"/>
          <w:lang w:eastAsia="ar-SA"/>
        </w:rPr>
        <w:t>Komisijos pirmininkas</w:t>
      </w:r>
      <w:r w:rsidRPr="00402B3A">
        <w:rPr>
          <w:rFonts w:ascii="Times New Roman" w:hAnsi="Times New Roman"/>
          <w:sz w:val="24"/>
          <w:szCs w:val="24"/>
          <w:lang w:eastAsia="ar-SA"/>
        </w:rPr>
        <w:tab/>
      </w:r>
      <w:r w:rsidRPr="00402B3A">
        <w:rPr>
          <w:rFonts w:ascii="Times New Roman" w:hAnsi="Times New Roman"/>
          <w:sz w:val="24"/>
          <w:szCs w:val="24"/>
          <w:lang w:eastAsia="ar-SA"/>
        </w:rPr>
        <w:tab/>
      </w:r>
      <w:r w:rsidRPr="00402B3A">
        <w:rPr>
          <w:rFonts w:ascii="Times New Roman" w:hAnsi="Times New Roman"/>
          <w:sz w:val="24"/>
          <w:szCs w:val="24"/>
          <w:lang w:eastAsia="ar-SA"/>
        </w:rPr>
        <w:tab/>
      </w:r>
      <w:r w:rsidRPr="00402B3A">
        <w:rPr>
          <w:rFonts w:ascii="Times New Roman" w:hAnsi="Times New Roman"/>
          <w:sz w:val="24"/>
          <w:szCs w:val="24"/>
          <w:lang w:eastAsia="ar-SA"/>
        </w:rPr>
        <w:tab/>
      </w:r>
      <w:r w:rsidRPr="00402B3A">
        <w:rPr>
          <w:rFonts w:ascii="Times New Roman" w:hAnsi="Times New Roman"/>
          <w:sz w:val="24"/>
          <w:szCs w:val="24"/>
          <w:lang w:eastAsia="ar-SA"/>
        </w:rPr>
        <w:tab/>
        <w:t>Edmundas Pupinis</w:t>
      </w: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Default="0006013A" w:rsidP="00883671">
      <w:pPr>
        <w:pStyle w:val="Betarp"/>
        <w:tabs>
          <w:tab w:val="left" w:pos="1134"/>
        </w:tabs>
        <w:spacing w:line="360" w:lineRule="auto"/>
        <w:jc w:val="both"/>
        <w:rPr>
          <w:rFonts w:ascii="Times New Roman" w:hAnsi="Times New Roman"/>
          <w:sz w:val="24"/>
          <w:szCs w:val="24"/>
          <w:lang w:eastAsia="ar-SA"/>
        </w:rPr>
      </w:pPr>
    </w:p>
    <w:p w:rsidR="0006013A" w:rsidRPr="0086406A" w:rsidRDefault="0006013A"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421895">
          <w:rPr>
            <w:rFonts w:ascii="Times New Roman" w:hAnsi="Times New Roman"/>
            <w:noProof/>
            <w:sz w:val="24"/>
            <w:szCs w:val="24"/>
          </w:rPr>
          <w:t>3</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013A"/>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43F77"/>
    <w:rsid w:val="001555ED"/>
    <w:rsid w:val="0017707D"/>
    <w:rsid w:val="00190613"/>
    <w:rsid w:val="00194F25"/>
    <w:rsid w:val="00197428"/>
    <w:rsid w:val="001A2453"/>
    <w:rsid w:val="001A2FB6"/>
    <w:rsid w:val="001B5EC0"/>
    <w:rsid w:val="001D0891"/>
    <w:rsid w:val="001D6691"/>
    <w:rsid w:val="001E3FE2"/>
    <w:rsid w:val="001F2ABA"/>
    <w:rsid w:val="001F3530"/>
    <w:rsid w:val="00200784"/>
    <w:rsid w:val="00213BBF"/>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49D9"/>
    <w:rsid w:val="00297FE6"/>
    <w:rsid w:val="002A2CA5"/>
    <w:rsid w:val="002C4C94"/>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7160"/>
    <w:rsid w:val="00381FAF"/>
    <w:rsid w:val="003831B5"/>
    <w:rsid w:val="00384B8A"/>
    <w:rsid w:val="003964E1"/>
    <w:rsid w:val="003B1E99"/>
    <w:rsid w:val="003C249C"/>
    <w:rsid w:val="003D142B"/>
    <w:rsid w:val="003F5F33"/>
    <w:rsid w:val="003F685E"/>
    <w:rsid w:val="004022D3"/>
    <w:rsid w:val="00402B3A"/>
    <w:rsid w:val="00413FEF"/>
    <w:rsid w:val="004202F5"/>
    <w:rsid w:val="00421895"/>
    <w:rsid w:val="004324C5"/>
    <w:rsid w:val="00433FFC"/>
    <w:rsid w:val="00471F84"/>
    <w:rsid w:val="004765CA"/>
    <w:rsid w:val="004819E5"/>
    <w:rsid w:val="00482EF5"/>
    <w:rsid w:val="00490B23"/>
    <w:rsid w:val="0049220C"/>
    <w:rsid w:val="00494D71"/>
    <w:rsid w:val="004957BE"/>
    <w:rsid w:val="00497275"/>
    <w:rsid w:val="004A71A8"/>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59F1"/>
    <w:rsid w:val="00560A0B"/>
    <w:rsid w:val="005623B7"/>
    <w:rsid w:val="0057289C"/>
    <w:rsid w:val="00576E5E"/>
    <w:rsid w:val="00583A0B"/>
    <w:rsid w:val="00584987"/>
    <w:rsid w:val="005A10E2"/>
    <w:rsid w:val="005A3133"/>
    <w:rsid w:val="005A5045"/>
    <w:rsid w:val="005A5353"/>
    <w:rsid w:val="005C5B44"/>
    <w:rsid w:val="005D17BA"/>
    <w:rsid w:val="005E074A"/>
    <w:rsid w:val="00611CBD"/>
    <w:rsid w:val="00621034"/>
    <w:rsid w:val="006227D4"/>
    <w:rsid w:val="00637B5A"/>
    <w:rsid w:val="0066769F"/>
    <w:rsid w:val="006677DE"/>
    <w:rsid w:val="006775A3"/>
    <w:rsid w:val="00691256"/>
    <w:rsid w:val="00696488"/>
    <w:rsid w:val="006B7732"/>
    <w:rsid w:val="006D1B19"/>
    <w:rsid w:val="006E33C2"/>
    <w:rsid w:val="006E39CA"/>
    <w:rsid w:val="006E5076"/>
    <w:rsid w:val="006E53DD"/>
    <w:rsid w:val="006E6ABB"/>
    <w:rsid w:val="006E7DC2"/>
    <w:rsid w:val="006F12BD"/>
    <w:rsid w:val="006F2493"/>
    <w:rsid w:val="006F6977"/>
    <w:rsid w:val="00736E71"/>
    <w:rsid w:val="00737346"/>
    <w:rsid w:val="00740DC9"/>
    <w:rsid w:val="007616B6"/>
    <w:rsid w:val="00767FBF"/>
    <w:rsid w:val="00771949"/>
    <w:rsid w:val="00781A5A"/>
    <w:rsid w:val="00782441"/>
    <w:rsid w:val="0079701A"/>
    <w:rsid w:val="007A504A"/>
    <w:rsid w:val="007B2D21"/>
    <w:rsid w:val="007C0F9E"/>
    <w:rsid w:val="007D16B6"/>
    <w:rsid w:val="007D4371"/>
    <w:rsid w:val="007D58FB"/>
    <w:rsid w:val="007F2977"/>
    <w:rsid w:val="008040A1"/>
    <w:rsid w:val="00805CE1"/>
    <w:rsid w:val="00821C4E"/>
    <w:rsid w:val="00831453"/>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417C"/>
    <w:rsid w:val="008E6956"/>
    <w:rsid w:val="008F2D63"/>
    <w:rsid w:val="008F3913"/>
    <w:rsid w:val="008F5B89"/>
    <w:rsid w:val="00901F00"/>
    <w:rsid w:val="00913592"/>
    <w:rsid w:val="00916F60"/>
    <w:rsid w:val="00916F9A"/>
    <w:rsid w:val="009176E6"/>
    <w:rsid w:val="009219D9"/>
    <w:rsid w:val="0093132D"/>
    <w:rsid w:val="009445DA"/>
    <w:rsid w:val="00945932"/>
    <w:rsid w:val="00947680"/>
    <w:rsid w:val="00955C87"/>
    <w:rsid w:val="0096259C"/>
    <w:rsid w:val="0096678A"/>
    <w:rsid w:val="00972156"/>
    <w:rsid w:val="009A1042"/>
    <w:rsid w:val="009A28EC"/>
    <w:rsid w:val="009D44CA"/>
    <w:rsid w:val="009F30F2"/>
    <w:rsid w:val="009F532F"/>
    <w:rsid w:val="009F6A1C"/>
    <w:rsid w:val="00A04ACB"/>
    <w:rsid w:val="00A24DB6"/>
    <w:rsid w:val="00A30897"/>
    <w:rsid w:val="00A40019"/>
    <w:rsid w:val="00A43BD0"/>
    <w:rsid w:val="00A44BB1"/>
    <w:rsid w:val="00A47BDB"/>
    <w:rsid w:val="00A515BE"/>
    <w:rsid w:val="00A618F7"/>
    <w:rsid w:val="00A83707"/>
    <w:rsid w:val="00A8642B"/>
    <w:rsid w:val="00A90743"/>
    <w:rsid w:val="00A91934"/>
    <w:rsid w:val="00A94847"/>
    <w:rsid w:val="00A97CCC"/>
    <w:rsid w:val="00AB7826"/>
    <w:rsid w:val="00AB7D5A"/>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608E3"/>
    <w:rsid w:val="00B74E60"/>
    <w:rsid w:val="00B772A9"/>
    <w:rsid w:val="00B81CDD"/>
    <w:rsid w:val="00B854EE"/>
    <w:rsid w:val="00B90A25"/>
    <w:rsid w:val="00B9698B"/>
    <w:rsid w:val="00BA3BD5"/>
    <w:rsid w:val="00BA78C9"/>
    <w:rsid w:val="00BC11D0"/>
    <w:rsid w:val="00BC75E3"/>
    <w:rsid w:val="00BD507D"/>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D004E"/>
    <w:rsid w:val="00CD1B33"/>
    <w:rsid w:val="00CD23CA"/>
    <w:rsid w:val="00D212F4"/>
    <w:rsid w:val="00D326D7"/>
    <w:rsid w:val="00D348F0"/>
    <w:rsid w:val="00D36D0D"/>
    <w:rsid w:val="00D430AC"/>
    <w:rsid w:val="00D57F51"/>
    <w:rsid w:val="00D64B1B"/>
    <w:rsid w:val="00D75803"/>
    <w:rsid w:val="00D84646"/>
    <w:rsid w:val="00DA6002"/>
    <w:rsid w:val="00DB757C"/>
    <w:rsid w:val="00DD24C8"/>
    <w:rsid w:val="00DD493D"/>
    <w:rsid w:val="00DE2E16"/>
    <w:rsid w:val="00E3793F"/>
    <w:rsid w:val="00E43CC1"/>
    <w:rsid w:val="00E63081"/>
    <w:rsid w:val="00E63F36"/>
    <w:rsid w:val="00E6692F"/>
    <w:rsid w:val="00E66D4B"/>
    <w:rsid w:val="00E74523"/>
    <w:rsid w:val="00E81BB8"/>
    <w:rsid w:val="00EB408E"/>
    <w:rsid w:val="00EB4DC2"/>
    <w:rsid w:val="00EB605B"/>
    <w:rsid w:val="00EE5933"/>
    <w:rsid w:val="00EF2DA0"/>
    <w:rsid w:val="00EF5655"/>
    <w:rsid w:val="00F02558"/>
    <w:rsid w:val="00F11A37"/>
    <w:rsid w:val="00F12000"/>
    <w:rsid w:val="00F1456A"/>
    <w:rsid w:val="00F33916"/>
    <w:rsid w:val="00F41053"/>
    <w:rsid w:val="00F43E47"/>
    <w:rsid w:val="00F44632"/>
    <w:rsid w:val="00F50B47"/>
    <w:rsid w:val="00F545B6"/>
    <w:rsid w:val="00F55B27"/>
    <w:rsid w:val="00F60698"/>
    <w:rsid w:val="00F60B44"/>
    <w:rsid w:val="00F74B23"/>
    <w:rsid w:val="00F80EAA"/>
    <w:rsid w:val="00F87B02"/>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58707"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folex.lt/tp/37672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Z6YWEJNPDQQR-896559167-458</_dlc_DocId>
    <_dlc_DocIdUrl xmlns="28130d43-1b56-4a10-ad88-2cd38123f4c1">
      <Url>https://intranetas.lrs.lt/29/_layouts/15/DocIdRedir.aspx?ID=Z6YWEJNPDQQR-896559167-458</Url>
      <Description>Z6YWEJNPDQQR-896559167-458</Description>
    </_dlc_DocIdUrl>
  </documentManagement>
</p:properties>
</file>

<file path=customXml/itemProps1.xml><?xml version="1.0" encoding="utf-8"?>
<ds:datastoreItem xmlns:ds="http://schemas.openxmlformats.org/officeDocument/2006/customXml" ds:itemID="{4FD9B4E7-1A18-4B22-93B1-F3695BEF452D}">
  <ds:schemaRefs>
    <ds:schemaRef ds:uri="http://schemas.openxmlformats.org/officeDocument/2006/bibliography"/>
  </ds:schemaRefs>
</ds:datastoreItem>
</file>

<file path=customXml/itemProps2.xml><?xml version="1.0" encoding="utf-8"?>
<ds:datastoreItem xmlns:ds="http://schemas.openxmlformats.org/officeDocument/2006/customXml" ds:itemID="{E8104C82-CAD0-4EFF-AB91-BC8B88E076BF}"/>
</file>

<file path=customXml/itemProps3.xml><?xml version="1.0" encoding="utf-8"?>
<ds:datastoreItem xmlns:ds="http://schemas.openxmlformats.org/officeDocument/2006/customXml" ds:itemID="{F3C50928-F624-4C5E-9072-C1F75E1DDC32}"/>
</file>

<file path=customXml/itemProps4.xml><?xml version="1.0" encoding="utf-8"?>
<ds:datastoreItem xmlns:ds="http://schemas.openxmlformats.org/officeDocument/2006/customXml" ds:itemID="{5E9D2B47-DD6F-4B04-AB77-0E3B99304ABE}"/>
</file>

<file path=customXml/itemProps5.xml><?xml version="1.0" encoding="utf-8"?>
<ds:datastoreItem xmlns:ds="http://schemas.openxmlformats.org/officeDocument/2006/customXml" ds:itemID="{9D289A5C-9907-4D71-B560-7291A8923185}"/>
</file>

<file path=docProps/app.xml><?xml version="1.0" encoding="utf-8"?>
<Properties xmlns="http://schemas.openxmlformats.org/officeDocument/2006/extended-properties" xmlns:vt="http://schemas.openxmlformats.org/officeDocument/2006/docPropsVTypes">
  <Template>Normal.dotm</Template>
  <TotalTime>75</TotalTime>
  <Pages>3</Pages>
  <Words>4886</Words>
  <Characters>2786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22</cp:revision>
  <cp:lastPrinted>2024-05-15T08:57:00Z</cp:lastPrinted>
  <dcterms:created xsi:type="dcterms:W3CDTF">2024-04-25T08:33:00Z</dcterms:created>
  <dcterms:modified xsi:type="dcterms:W3CDTF">2024-05-21T06:20:00Z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49867e6e-9654-46a1-b1cc-4e1a0f4e7390</vt:lpwstr>
  </property>
</Properties>
</file>