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0" w:type="auto"/>
        <w:tblLayout w:type="fixed"/>
        <w:tblLook w:val="0000" w:firstRow="0" w:lastRow="0" w:firstColumn="0" w:lastColumn="0" w:noHBand="0" w:noVBand="0"/>
      </w:tblPr>
      <w:tblGrid>
        <w:gridCol w:w="4068"/>
        <w:gridCol w:w="16"/>
      </w:tblGrid>
      <w:tr w:rsidR="00033F22" w14:paraId="16A8DF23" w14:textId="77777777" w:rsidTr="00D22A39">
        <w:trPr>
          <w:cantSplit/>
          <w:trHeight w:val="340"/>
        </w:trPr>
        <w:tc>
          <w:tcPr>
            <w:tcW w:w="4084" w:type="dxa"/>
            <w:gridSpan w:val="2"/>
          </w:tcPr>
          <w:p w14:paraId="7CC11754" w14:textId="62C1F80A" w:rsidR="00033F22" w:rsidRDefault="00033F22" w:rsidP="005F7925">
            <w:pPr>
              <w:framePr w:hSpace="180" w:wrap="around" w:vAnchor="text" w:hAnchor="page" w:x="7286" w:y="12"/>
              <w:ind w:right="24"/>
            </w:pPr>
            <w:r>
              <w:t>20</w:t>
            </w:r>
            <w:r w:rsidR="00BF4628">
              <w:t>21</w:t>
            </w:r>
            <w:r>
              <w:t>-0</w:t>
            </w:r>
            <w:r w:rsidR="00087719">
              <w:t>8</w:t>
            </w:r>
            <w:r w:rsidR="005F7925">
              <w:t>-10</w:t>
            </w:r>
            <w:r w:rsidR="00C509BB">
              <w:t xml:space="preserve">    </w:t>
            </w:r>
            <w:r>
              <w:t xml:space="preserve">Nr. </w:t>
            </w:r>
            <w:r w:rsidR="005F7925">
              <w:t>(1.16E) 7R-4382</w:t>
            </w:r>
          </w:p>
        </w:tc>
      </w:tr>
      <w:tr w:rsidR="00033F22" w14:paraId="77037953" w14:textId="77777777" w:rsidTr="00D22A39">
        <w:trPr>
          <w:gridAfter w:val="1"/>
          <w:wAfter w:w="16" w:type="dxa"/>
          <w:cantSplit/>
          <w:trHeight w:val="340"/>
        </w:trPr>
        <w:tc>
          <w:tcPr>
            <w:tcW w:w="4068" w:type="dxa"/>
          </w:tcPr>
          <w:p w14:paraId="678511A9" w14:textId="6C0F5D99" w:rsidR="00033F22" w:rsidRPr="00087719" w:rsidRDefault="00087719" w:rsidP="007B4A13">
            <w:pPr>
              <w:framePr w:hSpace="180" w:wrap="around" w:vAnchor="text" w:hAnchor="page" w:x="7286" w:y="12"/>
              <w:ind w:right="24"/>
              <w:rPr>
                <w:lang w:val="en-US"/>
              </w:rPr>
            </w:pPr>
            <w:r>
              <w:t xml:space="preserve">Į </w:t>
            </w:r>
            <w:r>
              <w:rPr>
                <w:lang w:val="en-US"/>
              </w:rPr>
              <w:t xml:space="preserve">2021-07-22 </w:t>
            </w:r>
            <w:r w:rsidR="00C509BB">
              <w:rPr>
                <w:lang w:val="en-US"/>
              </w:rPr>
              <w:t xml:space="preserve"> </w:t>
            </w:r>
            <w:r w:rsidRPr="005F7925">
              <w:rPr>
                <w:noProof/>
              </w:rPr>
              <w:t>Nr.</w:t>
            </w:r>
            <w:r>
              <w:rPr>
                <w:lang w:val="en-US"/>
              </w:rPr>
              <w:t xml:space="preserve"> S2323</w:t>
            </w:r>
          </w:p>
        </w:tc>
      </w:tr>
    </w:tbl>
    <w:p w14:paraId="6C60313B" w14:textId="77777777" w:rsidR="00ED681F" w:rsidRDefault="00ED681F" w:rsidP="00ED681F">
      <w:pPr>
        <w:jc w:val="both"/>
        <w:rPr>
          <w:noProof/>
        </w:rPr>
      </w:pPr>
      <w:bookmarkStart w:id="0" w:name="_Hlk79063188"/>
      <w:r>
        <w:rPr>
          <w:noProof/>
        </w:rPr>
        <w:t>Seimo Valstybės valdymo ir savivaldybių komitetui</w:t>
      </w:r>
    </w:p>
    <w:bookmarkEnd w:id="0"/>
    <w:p w14:paraId="2DE03D83" w14:textId="77777777" w:rsidR="00ED681F" w:rsidRDefault="00ED681F" w:rsidP="00ED681F">
      <w:pPr>
        <w:jc w:val="both"/>
        <w:rPr>
          <w:noProof/>
        </w:rPr>
      </w:pPr>
      <w:r>
        <w:rPr>
          <w:noProof/>
        </w:rPr>
        <w:t>Lietuvos savivaldybių asociacijai</w:t>
      </w:r>
    </w:p>
    <w:p w14:paraId="1BA7FDA2" w14:textId="77777777" w:rsidR="00ED681F" w:rsidRDefault="00ED681F" w:rsidP="00ED681F">
      <w:pPr>
        <w:jc w:val="both"/>
        <w:rPr>
          <w:noProof/>
        </w:rPr>
      </w:pPr>
      <w:r>
        <w:rPr>
          <w:noProof/>
        </w:rPr>
        <w:t>Savivaldybių kontrolierių asociacijai</w:t>
      </w:r>
    </w:p>
    <w:p w14:paraId="5FAC4BA6" w14:textId="4D7E00CC" w:rsidR="00087719" w:rsidRDefault="00C8767A" w:rsidP="00ED681F">
      <w:pPr>
        <w:pStyle w:val="Kopija"/>
        <w:spacing w:line="276" w:lineRule="auto"/>
        <w:ind w:right="279"/>
        <w:rPr>
          <w:noProof/>
        </w:rPr>
      </w:pPr>
      <w:r>
        <w:rPr>
          <w:noProof/>
        </w:rPr>
        <w:t xml:space="preserve">           </w:t>
      </w:r>
    </w:p>
    <w:p w14:paraId="5BCEA6A9" w14:textId="0F7AE5A0" w:rsidR="00087719" w:rsidRDefault="00087719" w:rsidP="00C8767A">
      <w:pPr>
        <w:jc w:val="both"/>
        <w:rPr>
          <w:noProof/>
        </w:rPr>
      </w:pPr>
      <w:r>
        <w:rPr>
          <w:noProof/>
        </w:rPr>
        <w:t>Kopija</w:t>
      </w:r>
    </w:p>
    <w:p w14:paraId="78C7EC62" w14:textId="67CA49A8" w:rsidR="00ED681F" w:rsidRDefault="00ED681F" w:rsidP="00C8767A">
      <w:pPr>
        <w:jc w:val="both"/>
        <w:rPr>
          <w:noProof/>
        </w:rPr>
      </w:pPr>
      <w:r w:rsidRPr="005A7373">
        <w:rPr>
          <w:color w:val="000000" w:themeColor="text1"/>
        </w:rPr>
        <w:t>Lietuvos Respublikos Vyriausybės kanceliarijai</w:t>
      </w:r>
    </w:p>
    <w:p w14:paraId="608EE559" w14:textId="77777777" w:rsidR="00FC55C3" w:rsidRDefault="00FC55C3" w:rsidP="00FC55C3">
      <w:pPr>
        <w:jc w:val="both"/>
        <w:rPr>
          <w:noProof/>
        </w:rPr>
      </w:pPr>
      <w:r>
        <w:rPr>
          <w:noProof/>
        </w:rPr>
        <w:t>Finansų ministerijai</w:t>
      </w:r>
    </w:p>
    <w:p w14:paraId="1A832280" w14:textId="0874C1B8" w:rsidR="00FC55C3" w:rsidRDefault="00FC55C3" w:rsidP="00C8767A">
      <w:pPr>
        <w:jc w:val="both"/>
        <w:rPr>
          <w:noProof/>
        </w:rPr>
      </w:pPr>
      <w:r>
        <w:rPr>
          <w:noProof/>
        </w:rPr>
        <w:t>Ekonomikos ir inovacijų ministerijai</w:t>
      </w:r>
    </w:p>
    <w:p w14:paraId="07A7291B" w14:textId="77777777" w:rsidR="00FC55C3" w:rsidRDefault="00FC55C3" w:rsidP="00FC55C3">
      <w:pPr>
        <w:jc w:val="both"/>
        <w:rPr>
          <w:noProof/>
        </w:rPr>
      </w:pPr>
      <w:r>
        <w:rPr>
          <w:noProof/>
        </w:rPr>
        <w:t>Vidaus reikalų ministerijai</w:t>
      </w:r>
    </w:p>
    <w:p w14:paraId="5B022B63" w14:textId="77777777" w:rsidR="00FC55C3" w:rsidRDefault="00FC55C3" w:rsidP="00FC55C3">
      <w:pPr>
        <w:jc w:val="both"/>
        <w:rPr>
          <w:noProof/>
        </w:rPr>
      </w:pPr>
      <w:r>
        <w:rPr>
          <w:noProof/>
        </w:rPr>
        <w:t>Valstybės įmonei Registrų centrui</w:t>
      </w:r>
    </w:p>
    <w:p w14:paraId="02386B6A" w14:textId="4E85A8B5" w:rsidR="00FC55C3" w:rsidRDefault="00ED681F" w:rsidP="00C8767A">
      <w:pPr>
        <w:jc w:val="both"/>
        <w:rPr>
          <w:noProof/>
        </w:rPr>
      </w:pPr>
      <w:r>
        <w:rPr>
          <w:noProof/>
        </w:rPr>
        <w:t>Valstybės įmonei Turto bankui</w:t>
      </w:r>
    </w:p>
    <w:p w14:paraId="76FA5A5D" w14:textId="341E6B30" w:rsidR="00C8767A" w:rsidRPr="00ED681F" w:rsidRDefault="00C8767A" w:rsidP="00C8767A">
      <w:pPr>
        <w:jc w:val="both"/>
        <w:rPr>
          <w:b/>
          <w:caps/>
          <w:szCs w:val="20"/>
        </w:rPr>
      </w:pPr>
    </w:p>
    <w:p w14:paraId="0F6E70FC" w14:textId="77777777" w:rsidR="00282273" w:rsidRDefault="00282273" w:rsidP="00C8767A">
      <w:pPr>
        <w:jc w:val="both"/>
        <w:rPr>
          <w:b/>
          <w:caps/>
          <w:szCs w:val="20"/>
        </w:rPr>
      </w:pPr>
    </w:p>
    <w:p w14:paraId="04D3FE78" w14:textId="52FAA925" w:rsidR="00461864" w:rsidRPr="005F015F" w:rsidRDefault="00461864" w:rsidP="00444E41">
      <w:pPr>
        <w:jc w:val="both"/>
        <w:rPr>
          <w:b/>
          <w:caps/>
          <w:szCs w:val="20"/>
          <w:lang w:eastAsia="en-US"/>
        </w:rPr>
      </w:pPr>
      <w:r>
        <w:rPr>
          <w:b/>
          <w:caps/>
          <w:szCs w:val="20"/>
        </w:rPr>
        <w:t>DĖL</w:t>
      </w:r>
      <w:r>
        <w:rPr>
          <w:b/>
        </w:rPr>
        <w:t xml:space="preserve"> </w:t>
      </w:r>
      <w:r w:rsidR="001923F2">
        <w:rPr>
          <w:b/>
        </w:rPr>
        <w:t>NEKILNOJAMOJO TURTO VALDYMO TEISINIO REGULIAVIMO TOBULINIMO</w:t>
      </w:r>
      <w:r>
        <w:rPr>
          <w:b/>
        </w:rPr>
        <w:t xml:space="preserve"> </w:t>
      </w:r>
    </w:p>
    <w:p w14:paraId="54B9C798" w14:textId="77777777" w:rsidR="00461864" w:rsidRPr="00C8767A" w:rsidRDefault="00461864" w:rsidP="00461864">
      <w:pPr>
        <w:ind w:firstLine="850"/>
        <w:jc w:val="both"/>
        <w:rPr>
          <w:lang w:eastAsia="lt-LT"/>
        </w:rPr>
      </w:pPr>
    </w:p>
    <w:p w14:paraId="5B20ED0A" w14:textId="16A2DA3D" w:rsidR="001923F2" w:rsidRDefault="00461864" w:rsidP="002072FE">
      <w:pPr>
        <w:ind w:firstLine="850"/>
        <w:jc w:val="both"/>
        <w:rPr>
          <w:lang w:eastAsia="lt-LT"/>
        </w:rPr>
      </w:pPr>
      <w:r w:rsidRPr="00C8767A">
        <w:rPr>
          <w:lang w:eastAsia="lt-LT"/>
        </w:rPr>
        <w:t>Teisingumo ministerija</w:t>
      </w:r>
      <w:r w:rsidR="008A51E1">
        <w:rPr>
          <w:lang w:eastAsia="lt-LT"/>
        </w:rPr>
        <w:t>,</w:t>
      </w:r>
      <w:r w:rsidRPr="00C8767A">
        <w:rPr>
          <w:lang w:eastAsia="lt-LT"/>
        </w:rPr>
        <w:t xml:space="preserve"> </w:t>
      </w:r>
      <w:r w:rsidR="00087719">
        <w:rPr>
          <w:lang w:eastAsia="lt-LT"/>
        </w:rPr>
        <w:t>susipažinusi su</w:t>
      </w:r>
      <w:r w:rsidRPr="00C8767A">
        <w:rPr>
          <w:lang w:eastAsia="lt-LT"/>
        </w:rPr>
        <w:t xml:space="preserve"> </w:t>
      </w:r>
      <w:r w:rsidR="001923F2">
        <w:rPr>
          <w:lang w:eastAsia="lt-LT"/>
        </w:rPr>
        <w:t xml:space="preserve">Lietuvos Respublikos Seimo Valstybės valdymo ir savivaldybių komiteto </w:t>
      </w:r>
      <w:r w:rsidR="001923F2" w:rsidRPr="001923F2">
        <w:rPr>
          <w:lang w:eastAsia="lt-LT"/>
        </w:rPr>
        <w:t>20</w:t>
      </w:r>
      <w:r w:rsidR="001923F2">
        <w:rPr>
          <w:lang w:eastAsia="lt-LT"/>
        </w:rPr>
        <w:t xml:space="preserve">21 m. birželio 9 d. posėdžio sprendime (protokolas Nr. </w:t>
      </w:r>
      <w:r w:rsidR="001923F2" w:rsidRPr="001923F2">
        <w:rPr>
          <w:lang w:eastAsia="lt-LT"/>
        </w:rPr>
        <w:t>11</w:t>
      </w:r>
      <w:r w:rsidR="001923F2">
        <w:rPr>
          <w:lang w:eastAsia="lt-LT"/>
        </w:rPr>
        <w:t xml:space="preserve">3-P-12, 4 klausimas) ir Lietuvos savivaldybių asociacijos </w:t>
      </w:r>
      <w:r w:rsidR="001923F2" w:rsidRPr="001923F2">
        <w:rPr>
          <w:lang w:eastAsia="lt-LT"/>
        </w:rPr>
        <w:t>20</w:t>
      </w:r>
      <w:r w:rsidR="001923F2">
        <w:rPr>
          <w:lang w:eastAsia="lt-LT"/>
        </w:rPr>
        <w:t>21 m. balandžio 23 d. rašte išdėstyt</w:t>
      </w:r>
      <w:r w:rsidR="00087719">
        <w:rPr>
          <w:lang w:eastAsia="lt-LT"/>
        </w:rPr>
        <w:t>ais</w:t>
      </w:r>
      <w:r w:rsidR="001923F2">
        <w:rPr>
          <w:lang w:eastAsia="lt-LT"/>
        </w:rPr>
        <w:t xml:space="preserve"> pasiūlym</w:t>
      </w:r>
      <w:r w:rsidR="00087719">
        <w:rPr>
          <w:lang w:eastAsia="lt-LT"/>
        </w:rPr>
        <w:t>ais</w:t>
      </w:r>
      <w:r w:rsidR="001923F2">
        <w:rPr>
          <w:lang w:eastAsia="lt-LT"/>
        </w:rPr>
        <w:t xml:space="preserve"> dėl savivaldybių nekilnojamojo turto valdymo teisinio</w:t>
      </w:r>
      <w:bookmarkStart w:id="1" w:name="_GoBack"/>
      <w:bookmarkEnd w:id="1"/>
      <w:r w:rsidR="001923F2">
        <w:rPr>
          <w:lang w:eastAsia="lt-LT"/>
        </w:rPr>
        <w:t xml:space="preserve"> reguliavimo tobulinimo ir bendro savivaldybių n</w:t>
      </w:r>
      <w:r w:rsidR="000C1E2A">
        <w:rPr>
          <w:lang w:eastAsia="lt-LT"/>
        </w:rPr>
        <w:t>e</w:t>
      </w:r>
      <w:r w:rsidR="001923F2">
        <w:rPr>
          <w:lang w:eastAsia="lt-LT"/>
        </w:rPr>
        <w:t>kilnojamojo turto valdymo skaitmeninio įrankio sukūrimo</w:t>
      </w:r>
      <w:r w:rsidR="008A51E1">
        <w:rPr>
          <w:lang w:eastAsia="lt-LT"/>
        </w:rPr>
        <w:t>,</w:t>
      </w:r>
      <w:r w:rsidR="00087719">
        <w:rPr>
          <w:lang w:eastAsia="lt-LT"/>
        </w:rPr>
        <w:t xml:space="preserve"> pagal kompetenciją teikia nuomonę Lietuvos savivaldybių asociacijos rašte </w:t>
      </w:r>
      <w:r w:rsidR="008A51E1">
        <w:rPr>
          <w:lang w:eastAsia="lt-LT"/>
        </w:rPr>
        <w:t xml:space="preserve">keliamais ir į Teisingumo ministerijos reguliavimo sritį patenkančiais </w:t>
      </w:r>
      <w:r w:rsidR="00087719">
        <w:rPr>
          <w:lang w:eastAsia="lt-LT"/>
        </w:rPr>
        <w:t>klausimais</w:t>
      </w:r>
      <w:r w:rsidR="008A51E1">
        <w:rPr>
          <w:lang w:eastAsia="lt-LT"/>
        </w:rPr>
        <w:t xml:space="preserve"> (</w:t>
      </w:r>
      <w:r w:rsidR="008A51E1" w:rsidRPr="008A51E1">
        <w:rPr>
          <w:lang w:eastAsia="lt-LT"/>
        </w:rPr>
        <w:t>5</w:t>
      </w:r>
      <w:r w:rsidR="008A51E1">
        <w:rPr>
          <w:lang w:eastAsia="lt-LT"/>
        </w:rPr>
        <w:t xml:space="preserve">, 7, 9 ir 11 </w:t>
      </w:r>
      <w:r w:rsidR="00432DE3">
        <w:rPr>
          <w:lang w:eastAsia="lt-LT"/>
        </w:rPr>
        <w:t>pasiūlymai</w:t>
      </w:r>
      <w:r w:rsidR="008A51E1">
        <w:rPr>
          <w:lang w:eastAsia="lt-LT"/>
        </w:rPr>
        <w:t>)</w:t>
      </w:r>
      <w:r w:rsidR="001923F2">
        <w:rPr>
          <w:lang w:eastAsia="lt-LT"/>
        </w:rPr>
        <w:t>.</w:t>
      </w:r>
    </w:p>
    <w:p w14:paraId="1BAE225D" w14:textId="21A94E37" w:rsidR="00D92BEE" w:rsidRDefault="002072FE" w:rsidP="002072FE">
      <w:pPr>
        <w:suppressAutoHyphens w:val="0"/>
        <w:ind w:firstLine="720"/>
        <w:jc w:val="both"/>
        <w:rPr>
          <w:i/>
          <w:iCs/>
          <w:lang w:eastAsia="lt-LT"/>
        </w:rPr>
      </w:pPr>
      <w:r w:rsidRPr="002072FE">
        <w:rPr>
          <w:i/>
          <w:iCs/>
          <w:lang w:eastAsia="lt-LT"/>
        </w:rPr>
        <w:t>Dėl patikėjimo sutarčių, kuriomis perduodamas savivaldybei nuosavybės teise priklausantis turtas patikėjimo teise valdyti, naudoti ir disponuoti savivaldybių institucijoms, įstaigoms ir organizacijoms, savivaldybių įmonėms, įregistravimo Nekilnojamojo turto registre peržiūrėjimo (</w:t>
      </w:r>
      <w:r w:rsidR="00E95B09" w:rsidRPr="002072FE">
        <w:rPr>
          <w:i/>
          <w:iCs/>
          <w:lang w:eastAsia="lt-LT"/>
        </w:rPr>
        <w:t>5 pasiūlym</w:t>
      </w:r>
      <w:r w:rsidRPr="002072FE">
        <w:rPr>
          <w:i/>
          <w:iCs/>
          <w:lang w:eastAsia="lt-LT"/>
        </w:rPr>
        <w:t>as)</w:t>
      </w:r>
    </w:p>
    <w:p w14:paraId="06FBC691" w14:textId="77777777" w:rsidR="008A39D6" w:rsidRPr="002072FE" w:rsidRDefault="008A39D6" w:rsidP="008A39D6">
      <w:pPr>
        <w:ind w:firstLine="720"/>
        <w:jc w:val="both"/>
        <w:rPr>
          <w:i/>
          <w:iCs/>
          <w:caps/>
        </w:rPr>
      </w:pPr>
      <w:r>
        <w:rPr>
          <w:color w:val="000000" w:themeColor="text1"/>
        </w:rPr>
        <w:t xml:space="preserve">Vadovaudamasis </w:t>
      </w:r>
      <w:r w:rsidRPr="007D068E">
        <w:rPr>
          <w:color w:val="000000" w:themeColor="text1"/>
        </w:rPr>
        <w:t>Lietuvos Respublikos nekilnojamojo turto registro įstatymo 29</w:t>
      </w:r>
      <w:r>
        <w:rPr>
          <w:color w:val="000000" w:themeColor="text1"/>
        </w:rPr>
        <w:t xml:space="preserve"> straipsnio 3 punktu, </w:t>
      </w:r>
      <w:r>
        <w:rPr>
          <w:color w:val="000000"/>
        </w:rPr>
        <w:t>Nekilnojamojo turto registro tvarkytojas privalo atsisakyti įregistruoti daiktines teises į nekilnojamąjį daiktą, šių teisių suvaržymus, juridinius faktus, jeigu prašymo nagrinėjimo metu nustatoma</w:t>
      </w:r>
      <w:r>
        <w:rPr>
          <w:color w:val="000000" w:themeColor="text1"/>
        </w:rPr>
        <w:t xml:space="preserve">, kad </w:t>
      </w:r>
      <w:r w:rsidRPr="00E0222D">
        <w:rPr>
          <w:color w:val="000000" w:themeColor="text1"/>
        </w:rPr>
        <w:t>d</w:t>
      </w:r>
      <w:r w:rsidRPr="00E0222D">
        <w:rPr>
          <w:color w:val="000000"/>
          <w:shd w:val="clear" w:color="auto" w:fill="FFFFFF"/>
        </w:rPr>
        <w:t xml:space="preserve">okumento, kurio pagrindu prašoma atlikti registraciją, </w:t>
      </w:r>
      <w:r w:rsidRPr="002072FE">
        <w:rPr>
          <w:i/>
          <w:iCs/>
          <w:color w:val="000000"/>
          <w:shd w:val="clear" w:color="auto" w:fill="FFFFFF"/>
        </w:rPr>
        <w:t>forma</w:t>
      </w:r>
      <w:r w:rsidRPr="00E0222D">
        <w:rPr>
          <w:color w:val="000000"/>
          <w:shd w:val="clear" w:color="auto" w:fill="FFFFFF"/>
        </w:rPr>
        <w:t xml:space="preserve"> </w:t>
      </w:r>
      <w:r w:rsidRPr="002072FE">
        <w:rPr>
          <w:i/>
          <w:iCs/>
          <w:color w:val="000000"/>
          <w:shd w:val="clear" w:color="auto" w:fill="FFFFFF"/>
        </w:rPr>
        <w:t xml:space="preserve">neatitinka įstatymų ar sandorio šalių nustatytos formos. </w:t>
      </w:r>
    </w:p>
    <w:p w14:paraId="03FD64B3" w14:textId="2A8211A2" w:rsidR="008A39D6" w:rsidRDefault="008A39D6" w:rsidP="008A39D6">
      <w:pPr>
        <w:ind w:firstLine="720"/>
        <w:jc w:val="both"/>
        <w:rPr>
          <w:rFonts w:eastAsia="Calibri"/>
          <w:lang w:eastAsia="en-US"/>
        </w:rPr>
      </w:pPr>
      <w:r>
        <w:rPr>
          <w:rFonts w:eastAsia="Calibri"/>
          <w:lang w:eastAsia="en-US"/>
        </w:rPr>
        <w:t>Įvertinant tai, kad Nekilnojamojo turto registro tvarkytojas (valstybės įmonė Registrų centras) atlikdamas nekilnojamojo turto registraciją veikia kaip viešojo administravimo subjektas, savo veikloje turi ir gali vadovautis tik aiškiai įstatyme nustatytais registravimo pagrindais.</w:t>
      </w:r>
      <w:r w:rsidR="00ED681F">
        <w:rPr>
          <w:rStyle w:val="Puslapioinaosnuoroda"/>
          <w:rFonts w:eastAsia="Calibri"/>
          <w:lang w:eastAsia="en-US"/>
        </w:rPr>
        <w:footnoteReference w:id="1"/>
      </w:r>
    </w:p>
    <w:p w14:paraId="2B0CC719" w14:textId="266A250B" w:rsidR="008A39D6" w:rsidRDefault="008A39D6" w:rsidP="008A39D6">
      <w:pPr>
        <w:ind w:firstLine="720"/>
        <w:jc w:val="both"/>
      </w:pPr>
      <w:r>
        <w:rPr>
          <w:rFonts w:eastAsia="Calibri"/>
          <w:lang w:eastAsia="en-US"/>
        </w:rPr>
        <w:t>Atsižvelgiant į tai, Teisingumo ministerijos nuomone</w:t>
      </w:r>
      <w:r w:rsidR="00684044">
        <w:rPr>
          <w:rFonts w:eastAsia="Calibri"/>
          <w:lang w:eastAsia="en-US"/>
        </w:rPr>
        <w:t>,</w:t>
      </w:r>
      <w:r>
        <w:rPr>
          <w:rFonts w:eastAsia="Calibri"/>
          <w:lang w:eastAsia="en-US"/>
        </w:rPr>
        <w:t xml:space="preserve"> patikėjimo sutarčių formos reglamentavimas turi būti expressis verbis (aiškiai žodžiais, tiesiogiai) reglamentuotas ir </w:t>
      </w:r>
      <w:r>
        <w:rPr>
          <w:rFonts w:eastAsia="Calibri"/>
          <w:lang w:eastAsia="en-US"/>
        </w:rPr>
        <w:lastRenderedPageBreak/>
        <w:t>nereikalaujantis Nekilnojamojo turto registro tvarkytojo atlikti pateikiamų dokumentų teisinio vertinimo veiksmų (vertinti, kokiu pagrindu (iš kokių santykių) atsiranda patikėjimo teisė).</w:t>
      </w:r>
    </w:p>
    <w:p w14:paraId="2589F85B" w14:textId="3352C8B3" w:rsidR="002072FE" w:rsidRDefault="00510710" w:rsidP="002072FE">
      <w:pPr>
        <w:ind w:firstLine="720"/>
        <w:jc w:val="both"/>
      </w:pPr>
      <w:r>
        <w:rPr>
          <w:rFonts w:eastAsia="Calibri"/>
          <w:lang w:eastAsia="en-US"/>
        </w:rPr>
        <w:t>Šiuo metu esamas teisinis reguliavimas numato, kad</w:t>
      </w:r>
      <w:r w:rsidR="00684044">
        <w:rPr>
          <w:rFonts w:eastAsia="Calibri"/>
          <w:lang w:eastAsia="en-US"/>
        </w:rPr>
        <w:t>,</w:t>
      </w:r>
      <w:r>
        <w:rPr>
          <w:rFonts w:eastAsia="Calibri"/>
          <w:lang w:eastAsia="en-US"/>
        </w:rPr>
        <w:t xml:space="preserve"> vadovaujantis Lietuvos</w:t>
      </w:r>
      <w:r w:rsidR="002072FE">
        <w:rPr>
          <w:rFonts w:eastAsia="Calibri"/>
          <w:lang w:eastAsia="en-US"/>
        </w:rPr>
        <w:t xml:space="preserve"> Respublikos civilinio kodekso (toliau – CK) </w:t>
      </w:r>
      <w:bookmarkStart w:id="2" w:name="_Hlk67914850"/>
      <w:r w:rsidR="002072FE" w:rsidRPr="001371E2">
        <w:rPr>
          <w:color w:val="000000"/>
        </w:rPr>
        <w:t xml:space="preserve">4.108 </w:t>
      </w:r>
      <w:bookmarkEnd w:id="2"/>
      <w:r w:rsidR="002072FE" w:rsidRPr="001371E2">
        <w:rPr>
          <w:color w:val="000000"/>
        </w:rPr>
        <w:t>straipsn</w:t>
      </w:r>
      <w:r>
        <w:rPr>
          <w:color w:val="000000"/>
        </w:rPr>
        <w:t>iu</w:t>
      </w:r>
      <w:r w:rsidR="00684044">
        <w:rPr>
          <w:color w:val="000000"/>
        </w:rPr>
        <w:t>,</w:t>
      </w:r>
      <w:r w:rsidR="002072FE">
        <w:rPr>
          <w:color w:val="000000"/>
        </w:rPr>
        <w:t xml:space="preserve"> </w:t>
      </w:r>
      <w:r w:rsidR="002072FE" w:rsidRPr="001371E2">
        <w:rPr>
          <w:color w:val="000000"/>
        </w:rPr>
        <w:t>turto patikėjimo teisės atsiradimo pagrindas gali būti:</w:t>
      </w:r>
      <w:r w:rsidR="002072FE">
        <w:rPr>
          <w:color w:val="000000"/>
        </w:rPr>
        <w:t xml:space="preserve"> </w:t>
      </w:r>
      <w:r w:rsidR="002072FE" w:rsidRPr="001371E2">
        <w:rPr>
          <w:color w:val="000000"/>
        </w:rPr>
        <w:t>įstatymas, administracinis aktas, sutartis, testamentas, teismo sprendimas.</w:t>
      </w:r>
      <w:r w:rsidR="002072FE">
        <w:rPr>
          <w:color w:val="000000"/>
        </w:rPr>
        <w:t xml:space="preserve"> </w:t>
      </w:r>
      <w:r w:rsidR="002072FE">
        <w:t>Lietuvos Respublikos valstybės ir savivaldybių turto valdymo, naudojimo ir disponavimo juo įstatymo (toliau – Įstatymas) 8 straipsnio 1 dalies 2 punkte nurodyti s</w:t>
      </w:r>
      <w:r w:rsidR="002072FE" w:rsidRPr="007D76F5">
        <w:t xml:space="preserve">avivaldybių turto valdymo, naudojimo ir disponavimo juo </w:t>
      </w:r>
      <w:r w:rsidR="002072FE">
        <w:t>subjektai, 12 straipsnyje nustatyta savivaldybių turto valdymo, naudojimo ir disponavimo</w:t>
      </w:r>
      <w:r w:rsidR="002072FE" w:rsidRPr="007D76F5">
        <w:t xml:space="preserve"> ju</w:t>
      </w:r>
      <w:r w:rsidR="002072FE">
        <w:t>o tvarka. Įstatymo 12 straipsnio 2 ir 3 dalyse nustatyta, kad s</w:t>
      </w:r>
      <w:r w:rsidR="002072FE" w:rsidRPr="004C78A9">
        <w:t>avivaldybių turtą patikėjimo teise valdo, naudoja ir disponuoja juo savivaldybių institucijos, įstaigos ir organizacijos, savivaldybių įmonės pagal įstatymus savivaldybių taryb</w:t>
      </w:r>
      <w:r w:rsidR="002072FE">
        <w:t xml:space="preserve">ų sprendimuose nustatyta tvarka, o kitiems, </w:t>
      </w:r>
      <w:r w:rsidR="002072FE" w:rsidRPr="004C78A9">
        <w:t>šio straipsnio 2 dalyje nenurodyti</w:t>
      </w:r>
      <w:r w:rsidR="002072FE">
        <w:t xml:space="preserve">ems </w:t>
      </w:r>
      <w:r w:rsidR="002072FE" w:rsidRPr="004C78A9">
        <w:t>juridiniams asmenims savivaldybių turtas patikėjimo teise gali būti perduodamas pagal turto patikėjimo sutartį savivaldybių funkcijoms įgyvendinti tik tais atvejais, kai šie juridiniai asmenys pagal įstatymus gali atlikti savivaldybių funkcijas</w:t>
      </w:r>
      <w:r w:rsidR="002072FE">
        <w:t>; s</w:t>
      </w:r>
      <w:r w:rsidR="002072FE" w:rsidRPr="00A6148E">
        <w:t>prendimą dėl turto perdavimo patikėjimo teise kitiems juridiniams asmenims priima savivaldybės taryba</w:t>
      </w:r>
      <w:r w:rsidR="002072FE" w:rsidRPr="004C78A9">
        <w:t>.</w:t>
      </w:r>
    </w:p>
    <w:p w14:paraId="08C4ACF9" w14:textId="6B01371D" w:rsidR="002072FE" w:rsidRDefault="002072FE" w:rsidP="002072FE">
      <w:pPr>
        <w:ind w:firstLine="720"/>
        <w:jc w:val="both"/>
      </w:pPr>
      <w:bookmarkStart w:id="3" w:name="pn1_87"/>
      <w:bookmarkEnd w:id="3"/>
      <w:r>
        <w:t>CK 1.74 straipsnyje išvardinti sandoriai, kurie turi būti sudaryti notarine forma. Minėtame straipsnyje, be kita ko, nurodyta, kad tokia forma turi būti sudaromi ir kiti sandoriai, kuriems CK nustato privalomą notarinę formą. Vienas iš tokių sandorių yra nekilnojamojo daikto patikėjimo sutartis, kurios formą nustato CK 6.960 straipsnio 2 dalis</w:t>
      </w:r>
      <w:r w:rsidR="00E51849">
        <w:t xml:space="preserve">, kurioje </w:t>
      </w:r>
      <w:r>
        <w:t>įtvirtinta, kad nekilnojamojo daikto patikėjimo sutartis turi būti notarinės formos</w:t>
      </w:r>
      <w:r w:rsidR="00ED3AD1">
        <w:t>.</w:t>
      </w:r>
      <w:r>
        <w:t xml:space="preserve"> </w:t>
      </w:r>
      <w:r w:rsidR="00ED3AD1">
        <w:t>T</w:t>
      </w:r>
      <w:r>
        <w:t xml:space="preserve">aip pat ir CK 6.955 straipsnio 1 dalis numato, kad patikėjimo teisės faktas turi būti atskleistas tokia forma, kokia yra nustatyta sudaromam sandoriui. </w:t>
      </w:r>
    </w:p>
    <w:p w14:paraId="60A008C4" w14:textId="4FCC8AAA" w:rsidR="00490C67" w:rsidRDefault="002072FE" w:rsidP="00ED681F">
      <w:pPr>
        <w:ind w:firstLine="709"/>
        <w:jc w:val="both"/>
        <w:rPr>
          <w:rFonts w:ascii="Tahoma" w:hAnsi="Tahoma" w:cs="Tahoma"/>
          <w:sz w:val="22"/>
          <w:szCs w:val="22"/>
        </w:rPr>
      </w:pPr>
      <w:r>
        <w:t>CK 6.968 straipsnis numato galimybę kituose įstatymuose nustatyti patikėjimo teisės ypatumus, kai patikėtinis yra valstybės ar savivaldybės įmonės, įstaigos ar organizacijos, taip pat kai turto patikėjimo teisė atsiranda ne sutarties, o kitais pagrindais, tačiau Įstatymas nereguliuoja patikėjimo sutarties formos klausimų ir nenustato šios sutarties, kai ją sudaro valstybė ar savivaldybės, formos ypatumų</w:t>
      </w:r>
      <w:r w:rsidR="00490C67">
        <w:t xml:space="preserve"> </w:t>
      </w:r>
      <w:r w:rsidR="00490C67" w:rsidRPr="00490C67">
        <w:t>(Įstatyme nėra numatyta CK 6.960 straipsnio 2 dalies taikymo išimčių).</w:t>
      </w:r>
    </w:p>
    <w:p w14:paraId="7C2C8579" w14:textId="566D3E95" w:rsidR="002072FE" w:rsidRDefault="002072FE" w:rsidP="002072FE">
      <w:pPr>
        <w:ind w:firstLine="720"/>
        <w:jc w:val="both"/>
      </w:pPr>
      <w:r>
        <w:t xml:space="preserve">Atsižvelgiant į tai, manytina, kad šiuo atveju galioja bendri CK nustatyti turto patikėjimo sutarties formai keliami notarinės formos reikalavimai. </w:t>
      </w:r>
      <w:r w:rsidRPr="00CF3835">
        <w:t xml:space="preserve">Pažymėtina, kad pagal CK </w:t>
      </w:r>
      <w:r>
        <w:t>6</w:t>
      </w:r>
      <w:r w:rsidRPr="00CF3835">
        <w:t>.9</w:t>
      </w:r>
      <w:r>
        <w:t xml:space="preserve">60 </w:t>
      </w:r>
      <w:r w:rsidRPr="00CF3835">
        <w:t xml:space="preserve">straipsnio 3 dalį </w:t>
      </w:r>
      <w:r>
        <w:t>s</w:t>
      </w:r>
      <w:r w:rsidRPr="00CF3835">
        <w:t>utarties formos reikalavimų nesilaikymas turto patikėjimo sutartį daro negaliojanči</w:t>
      </w:r>
      <w:r>
        <w:t>a</w:t>
      </w:r>
      <w:r w:rsidRPr="00CF3835">
        <w:t>.</w:t>
      </w:r>
      <w:r>
        <w:t xml:space="preserve"> </w:t>
      </w:r>
    </w:p>
    <w:p w14:paraId="615241E8" w14:textId="719A73EE" w:rsidR="002308C0" w:rsidRDefault="002308C0" w:rsidP="008A39D6">
      <w:pPr>
        <w:ind w:firstLine="720"/>
        <w:jc w:val="both"/>
      </w:pPr>
      <w:r>
        <w:t xml:space="preserve">Taip pat norėtume informuoti, kad </w:t>
      </w:r>
      <w:r>
        <w:rPr>
          <w:color w:val="000000"/>
        </w:rPr>
        <w:t xml:space="preserve">Teisingumo ministerija, vadovaudamasi Lietuvos Respublikos valstybės kontrolės valstybinio audito ataskaita Nr. </w:t>
      </w:r>
      <w:r w:rsidRPr="006E60D6">
        <w:rPr>
          <w:color w:val="000000"/>
        </w:rPr>
        <w:t>VAE-14</w:t>
      </w:r>
      <w:r>
        <w:rPr>
          <w:color w:val="000000"/>
        </w:rPr>
        <w:t xml:space="preserve"> „Ar užtikrinama, kad antstoliams ir notarams pavestos valstybės funkcijos būtų vykdomos efektyviai“, inicijavo teisės aktų, nustatančių privalomą notarinį patvirtinimą (t. y. nustatančių sandoriams privalomą notarinę formą ar reikalavimus atlikti kitus privalomus notarinius veiksmus) peržiūrą</w:t>
      </w:r>
      <w:r w:rsidRPr="00F71966">
        <w:rPr>
          <w:color w:val="000000"/>
        </w:rPr>
        <w:t>. A</w:t>
      </w:r>
      <w:r>
        <w:rPr>
          <w:color w:val="000000"/>
        </w:rPr>
        <w:t>tsižvelgiant į tai, planuojama, be kita ko, įvertinti CK 6.960 straipsnio 2 dalyje nustatytų notarinės formos reikalavimų taikymo valstybės ar savivaldybių sudaromoms turto patikėjimo sutartims tikslingumą ir įtvirtinto teisinio reguliavimo keitimo poreikį.</w:t>
      </w:r>
      <w:r>
        <w:t xml:space="preserve"> </w:t>
      </w:r>
      <w:bookmarkStart w:id="4" w:name="_Hlk74909545"/>
      <w:r w:rsidR="00510710">
        <w:t>Įvertinant savivaldybių</w:t>
      </w:r>
      <w:r w:rsidR="00510710" w:rsidRPr="00CF3835">
        <w:t xml:space="preserve"> turto patikėjimo sutarčių </w:t>
      </w:r>
      <w:r w:rsidR="00510710">
        <w:t xml:space="preserve">ypatumus, taip pat Įstatymo nuostatų keitimo poreikį, Įstatymo ir CK nuostatų santykį, Teisingumo ministerija </w:t>
      </w:r>
      <w:r w:rsidR="00510710" w:rsidRPr="00510710">
        <w:t>20</w:t>
      </w:r>
      <w:r w:rsidR="00510710">
        <w:t>21 m. birželio 22 d. raštu</w:t>
      </w:r>
      <w:r w:rsidR="00510710" w:rsidRPr="00510710">
        <w:rPr>
          <w:rFonts w:ascii="Arial" w:hAnsi="Arial" w:cs="Arial"/>
          <w:b/>
          <w:bCs/>
          <w:color w:val="000000"/>
          <w:sz w:val="20"/>
          <w:szCs w:val="20"/>
          <w:shd w:val="clear" w:color="auto" w:fill="FFFFFF"/>
        </w:rPr>
        <w:t xml:space="preserve"> </w:t>
      </w:r>
      <w:r w:rsidR="00510710" w:rsidRPr="00510710">
        <w:rPr>
          <w:color w:val="000000"/>
          <w:shd w:val="clear" w:color="auto" w:fill="FFFFFF"/>
        </w:rPr>
        <w:t>(1.21E) 7R-3504</w:t>
      </w:r>
      <w:r w:rsidR="00510710">
        <w:rPr>
          <w:color w:val="000000"/>
          <w:shd w:val="clear" w:color="auto" w:fill="FFFFFF"/>
        </w:rPr>
        <w:t xml:space="preserve"> yra paprašiusi</w:t>
      </w:r>
      <w:r>
        <w:t xml:space="preserve"> </w:t>
      </w:r>
      <w:bookmarkStart w:id="5" w:name="_Hlk74907283"/>
      <w:r>
        <w:t>Finansų ministerijos, kurios kompetencijai priskirtini Įstatymo reguliuojami klausimai,</w:t>
      </w:r>
      <w:r w:rsidR="008A39D6">
        <w:t xml:space="preserve"> pateikti</w:t>
      </w:r>
      <w:r>
        <w:t xml:space="preserve"> </w:t>
      </w:r>
      <w:bookmarkEnd w:id="5"/>
      <w:r>
        <w:t>poziciją</w:t>
      </w:r>
      <w:bookmarkEnd w:id="4"/>
      <w:r w:rsidR="008A39D6">
        <w:t>.</w:t>
      </w:r>
    </w:p>
    <w:p w14:paraId="145777B8" w14:textId="77777777" w:rsidR="006618C1" w:rsidRDefault="006618C1" w:rsidP="008A39D6">
      <w:pPr>
        <w:ind w:firstLine="720"/>
        <w:jc w:val="both"/>
      </w:pPr>
    </w:p>
    <w:p w14:paraId="5E3FC13E" w14:textId="7E67E7D8" w:rsidR="008A39D6" w:rsidRDefault="00490C67" w:rsidP="008A39D6">
      <w:pPr>
        <w:ind w:firstLine="720"/>
        <w:jc w:val="both"/>
        <w:rPr>
          <w:i/>
          <w:iCs/>
        </w:rPr>
      </w:pPr>
      <w:r w:rsidRPr="00490C67">
        <w:rPr>
          <w:i/>
          <w:iCs/>
        </w:rPr>
        <w:t xml:space="preserve">Dėl </w:t>
      </w:r>
      <w:r>
        <w:rPr>
          <w:i/>
          <w:iCs/>
        </w:rPr>
        <w:t>valstybės įmonės Registrų centro teikiamų paslaugų apmokėjimo (</w:t>
      </w:r>
      <w:r w:rsidRPr="00490C67">
        <w:rPr>
          <w:i/>
          <w:iCs/>
        </w:rPr>
        <w:t>7</w:t>
      </w:r>
      <w:r>
        <w:rPr>
          <w:i/>
          <w:iCs/>
        </w:rPr>
        <w:t xml:space="preserve"> pasiūlymas)</w:t>
      </w:r>
    </w:p>
    <w:p w14:paraId="3F17E868" w14:textId="7A989A58" w:rsidR="00490C67" w:rsidRPr="00490C67" w:rsidRDefault="00490C67" w:rsidP="00490C67">
      <w:pPr>
        <w:autoSpaceDE w:val="0"/>
        <w:autoSpaceDN w:val="0"/>
        <w:adjustRightInd w:val="0"/>
        <w:ind w:firstLine="709"/>
        <w:jc w:val="both"/>
        <w:rPr>
          <w:rFonts w:eastAsia="Calibri"/>
        </w:rPr>
      </w:pPr>
      <w:r w:rsidRPr="00490C67">
        <w:tab/>
      </w:r>
      <w:bookmarkStart w:id="6" w:name="_Hlk79052327"/>
      <w:r w:rsidR="00AF0CF0">
        <w:rPr>
          <w:rFonts w:eastAsia="Calibri"/>
        </w:rPr>
        <w:t>N</w:t>
      </w:r>
      <w:r w:rsidRPr="00490C67">
        <w:rPr>
          <w:rFonts w:eastAsia="Calibri"/>
        </w:rPr>
        <w:t xml:space="preserve">ekilnojamojo turto registro įstatymo </w:t>
      </w:r>
      <w:bookmarkEnd w:id="6"/>
      <w:r w:rsidRPr="00490C67">
        <w:rPr>
          <w:rFonts w:eastAsia="Calibri"/>
        </w:rPr>
        <w:t xml:space="preserve">17 straipsnio 3 dalyje </w:t>
      </w:r>
      <w:r w:rsidRPr="00490C67">
        <w:rPr>
          <w:rFonts w:eastAsia="Calibri"/>
          <w:color w:val="000000"/>
        </w:rPr>
        <w:t>nustatyta, kad jeigu daiktinė teisė į nekilnojamąjį daiktą, šios teisės suvaržymai, juridiniai faktai atsiranda kitais negu šio straipsnio 2 dalyje nustatytais pagrindais, asmuo prašymą įregistruoti daiktines teises, šių teisių suvaržymus, juridinius faktus teritoriniam registratoriui paduoda ne vėliau kaip per 30 dienų nuo daiktinės teisės, šios teisės suvaržymo, juridinio fakto atsiradimo dienos Lietuvos Respublikos Vyriausybės nustatyta tvarka.</w:t>
      </w:r>
    </w:p>
    <w:p w14:paraId="133BBF44" w14:textId="6A219728" w:rsidR="00490C67" w:rsidRPr="00490C67" w:rsidRDefault="006618C1" w:rsidP="00490C67">
      <w:pPr>
        <w:autoSpaceDE w:val="0"/>
        <w:autoSpaceDN w:val="0"/>
        <w:adjustRightInd w:val="0"/>
        <w:ind w:firstLine="709"/>
        <w:jc w:val="both"/>
        <w:rPr>
          <w:rFonts w:eastAsia="Calibri"/>
        </w:rPr>
      </w:pPr>
      <w:r>
        <w:rPr>
          <w:rFonts w:eastAsia="Calibri"/>
        </w:rPr>
        <w:lastRenderedPageBreak/>
        <w:t>N</w:t>
      </w:r>
      <w:r w:rsidRPr="00490C67">
        <w:rPr>
          <w:rFonts w:eastAsia="Calibri"/>
        </w:rPr>
        <w:t xml:space="preserve">ekilnojamojo turto registro įstatymo </w:t>
      </w:r>
      <w:r w:rsidR="00490C67" w:rsidRPr="00490C67">
        <w:rPr>
          <w:rFonts w:eastAsia="Calibri"/>
        </w:rPr>
        <w:t>Nr. I-1539 17, 23, 26 straipsnių pakeitimo ir 25 straipsnio pripažinimo netekusiu galios įstatymo 5 straipsnio 3 dalis nustatė, kad asmenys, iki šio įstatymo įsigaliojimo (2015 m. lapkričio 1 d.) įgiję, bet Nekilnojamojo turto registre neįregistravę daiktinių teisių į nekilnojamąjį turtą, šių teisių suvaržymų ir juridinių faktų, prašymą dėl daiktinių teisių, šių teisių suvaržymų ir juridinių faktų įregistravimo teritoriniam registratoriui turi pateikti per vienus metus nuo šio įstatymo įsigaliojimo dienos (t. y. iki 2016 m. lapkričio 1 d.).</w:t>
      </w:r>
    </w:p>
    <w:p w14:paraId="7625533D" w14:textId="1F4CB18F" w:rsidR="00490C67" w:rsidRPr="00490C67" w:rsidRDefault="00490C67" w:rsidP="00490C67">
      <w:pPr>
        <w:autoSpaceDE w:val="0"/>
        <w:autoSpaceDN w:val="0"/>
        <w:adjustRightInd w:val="0"/>
        <w:ind w:firstLine="709"/>
        <w:jc w:val="both"/>
        <w:rPr>
          <w:rFonts w:eastAsia="Calibri"/>
          <w:color w:val="000000"/>
        </w:rPr>
      </w:pPr>
      <w:r w:rsidRPr="00490C67">
        <w:rPr>
          <w:rFonts w:eastAsia="Calibri"/>
        </w:rPr>
        <w:t>Nekilnojamojo turto registro nuostatų, patvirtintų Lietuvos Respublikos Vyriausybės 2014</w:t>
      </w:r>
      <w:r w:rsidR="00DE7E7C" w:rsidRPr="00490C67">
        <w:rPr>
          <w:rFonts w:eastAsia="Calibri"/>
          <w:color w:val="000000"/>
        </w:rPr>
        <w:t> </w:t>
      </w:r>
      <w:r w:rsidRPr="00490C67">
        <w:rPr>
          <w:rFonts w:eastAsia="Calibri"/>
        </w:rPr>
        <w:t>m. balandžio 23 d. nutarimu Nr. 379 „Dėl Nekilnojamojo turto registro nuostatų patvirtinimo“</w:t>
      </w:r>
      <w:r w:rsidR="004864BF">
        <w:rPr>
          <w:rFonts w:eastAsia="Calibri"/>
        </w:rPr>
        <w:t xml:space="preserve"> </w:t>
      </w:r>
      <w:r w:rsidR="005C722B">
        <w:rPr>
          <w:rFonts w:eastAsia="Calibri"/>
        </w:rPr>
        <w:t>(toliau – Nekilnojamojo turto registro nuostatai)</w:t>
      </w:r>
      <w:r w:rsidRPr="00490C67">
        <w:rPr>
          <w:rFonts w:eastAsia="Calibri"/>
        </w:rPr>
        <w:t xml:space="preserve">, </w:t>
      </w:r>
      <w:r w:rsidRPr="00490C67">
        <w:rPr>
          <w:rFonts w:eastAsia="Calibri"/>
          <w:color w:val="000000"/>
        </w:rPr>
        <w:t>39</w:t>
      </w:r>
      <w:r w:rsidRPr="00490C67">
        <w:rPr>
          <w:rFonts w:eastAsia="Calibri"/>
          <w:color w:val="000000"/>
          <w:vertAlign w:val="superscript"/>
        </w:rPr>
        <w:t>1</w:t>
      </w:r>
      <w:r w:rsidRPr="00490C67">
        <w:rPr>
          <w:rFonts w:eastAsia="Calibri"/>
          <w:color w:val="000000"/>
        </w:rPr>
        <w:t xml:space="preserve"> punkte nustatyta, kad jeigu asmuo prašymą įregistruoti daiktines teises, šių teisių suvaržymus ir juridinius faktus pateikia praleidęs </w:t>
      </w:r>
      <w:r w:rsidR="006618C1">
        <w:rPr>
          <w:rFonts w:eastAsia="Calibri"/>
        </w:rPr>
        <w:t>N</w:t>
      </w:r>
      <w:r w:rsidR="006618C1" w:rsidRPr="00490C67">
        <w:rPr>
          <w:rFonts w:eastAsia="Calibri"/>
        </w:rPr>
        <w:t xml:space="preserve">ekilnojamojo turto registro įstatymo </w:t>
      </w:r>
      <w:r w:rsidRPr="00490C67">
        <w:rPr>
          <w:rFonts w:eastAsia="Calibri"/>
          <w:color w:val="000000"/>
        </w:rPr>
        <w:t xml:space="preserve">17 straipsnio 3 dalyje ar </w:t>
      </w:r>
      <w:r w:rsidR="006618C1">
        <w:rPr>
          <w:rFonts w:eastAsia="Calibri"/>
        </w:rPr>
        <w:t>N</w:t>
      </w:r>
      <w:r w:rsidR="006618C1" w:rsidRPr="00490C67">
        <w:rPr>
          <w:rFonts w:eastAsia="Calibri"/>
        </w:rPr>
        <w:t>ekilnojamojo turto registro įstatymo</w:t>
      </w:r>
      <w:r w:rsidRPr="00490C67">
        <w:rPr>
          <w:rFonts w:eastAsia="Calibri"/>
          <w:color w:val="000000"/>
        </w:rPr>
        <w:t xml:space="preserve"> Nr. I-1539 17, 23, 26 straipsnių pakeitimo ir 25 straipsnio pripažinimo netekusiu galios įstatymo 5 straipsnio 3 dalyje nustatytus prašymo padavimo terminus, </w:t>
      </w:r>
      <w:r w:rsidR="006618C1">
        <w:rPr>
          <w:rFonts w:eastAsia="Calibri"/>
        </w:rPr>
        <w:t>N</w:t>
      </w:r>
      <w:r w:rsidR="006618C1" w:rsidRPr="00490C67">
        <w:rPr>
          <w:rFonts w:eastAsia="Calibri"/>
        </w:rPr>
        <w:t>ekilnojamojo turto registro</w:t>
      </w:r>
      <w:r w:rsidRPr="00490C67">
        <w:rPr>
          <w:rFonts w:eastAsia="Calibri"/>
          <w:color w:val="000000"/>
        </w:rPr>
        <w:t xml:space="preserve"> nuostatų 39 punkte nurodytas Vyriausybės nustatyto dydžio atlyginimas už daiktinių teisių, šių teisių suvaržymų ir juridinių faktų įregistravimą, apskaičiuotas Registrų centro, padidinamas 100 procentų. Asmuo gali būti atleidžiamas nuo atlyginimo padidinimo Registrų centro tvirtinamo atleidimo nuo atlyginimo už daiktinių teisių, šių teisių suvaržymų ir juridinių faktų registravimą didinimo tvarkos aprašo nustatyta tvarka.</w:t>
      </w:r>
    </w:p>
    <w:p w14:paraId="10F74C91" w14:textId="5C448EF1" w:rsidR="00490C67" w:rsidRPr="00490C67" w:rsidRDefault="00490C67" w:rsidP="00490C67">
      <w:pPr>
        <w:autoSpaceDE w:val="0"/>
        <w:autoSpaceDN w:val="0"/>
        <w:adjustRightInd w:val="0"/>
        <w:ind w:firstLine="709"/>
        <w:jc w:val="both"/>
        <w:rPr>
          <w:rFonts w:eastAsia="Calibri"/>
        </w:rPr>
      </w:pPr>
      <w:r w:rsidRPr="00490C67">
        <w:rPr>
          <w:rFonts w:eastAsia="Calibri"/>
        </w:rPr>
        <w:t>Atleidimo nuo atlyginimo už daiktinių teisių, šių teisių suvaržymų ir juridinių faktų registravimą didinimo tvarkos aprašo, patvirtinto Registrų centro direktoriaus 2019 m. vasario 21</w:t>
      </w:r>
      <w:r w:rsidR="008F7087" w:rsidRPr="00490C67">
        <w:rPr>
          <w:rFonts w:eastAsia="Calibri"/>
          <w:color w:val="000000"/>
        </w:rPr>
        <w:t> </w:t>
      </w:r>
      <w:r w:rsidRPr="00490C67">
        <w:rPr>
          <w:rFonts w:eastAsia="Calibri"/>
        </w:rPr>
        <w:t>d. įsakymu Nr. V-105 (101.2E) „Dėl Atleidimo nuo atlyginimo už daiktinių teisių, šių teisių suvaržymų ir juridinių faktų registravimą didinimo tvarkos aprašo patvirtinimo“, 2 ir 3 punktuose nustatyta, kad atlyginimas už daiktinių teisių, šių teisių suvaržymų ir juridinių faktų registravimą 100 procentų nedidinamas tuo atveju, kai pareiškėjas negali įvykdyti savo pareigos paduoti prašymo įregistruoti daiktines teises, šių teisių suvaržymus ir juridinius faktus per įstatymo nustatytą terminą dėl objektyvių priežasčių, o šias aplinkybes gali patvirtinti valstybės (savivaldybių) institucijų sprendimai, pažymos, dokumentų gavimo datą patvirtinantys dokumentai, antspaudai dokumentuose, pagal kuriuos būtų galima nustatyti datą, nuo kurios pareiškėjas įgijo galimybę disponuoti registravimui reikalingais dokumentais.</w:t>
      </w:r>
    </w:p>
    <w:p w14:paraId="2D67BE32" w14:textId="77777777" w:rsidR="006618C1" w:rsidRDefault="006618C1" w:rsidP="00490C67">
      <w:pPr>
        <w:autoSpaceDE w:val="0"/>
        <w:autoSpaceDN w:val="0"/>
        <w:adjustRightInd w:val="0"/>
        <w:ind w:firstLine="709"/>
        <w:jc w:val="both"/>
        <w:rPr>
          <w:rFonts w:eastAsia="Calibri"/>
        </w:rPr>
      </w:pPr>
      <w:r>
        <w:rPr>
          <w:rFonts w:eastAsia="Calibri"/>
        </w:rPr>
        <w:t>T</w:t>
      </w:r>
      <w:r w:rsidR="00490C67" w:rsidRPr="00490C67">
        <w:rPr>
          <w:rFonts w:eastAsia="Calibri"/>
        </w:rPr>
        <w:t xml:space="preserve">eisės aktuose nėra nustatyta išimčių, pagal kurias savivaldybėms, kaip atskirai subjektų kategorijai, galėtų būti netaikomas </w:t>
      </w:r>
      <w:r>
        <w:rPr>
          <w:rFonts w:eastAsia="Calibri"/>
        </w:rPr>
        <w:t>N</w:t>
      </w:r>
      <w:r w:rsidRPr="00490C67">
        <w:rPr>
          <w:rFonts w:eastAsia="Calibri"/>
        </w:rPr>
        <w:t>ekilnojamojo turto registro</w:t>
      </w:r>
      <w:r w:rsidR="00490C67" w:rsidRPr="00490C67">
        <w:rPr>
          <w:rFonts w:eastAsia="Calibri"/>
        </w:rPr>
        <w:t xml:space="preserve"> įstatymo 17 straipsnio 3 dalyje ir </w:t>
      </w:r>
      <w:r>
        <w:rPr>
          <w:rFonts w:eastAsia="Calibri"/>
        </w:rPr>
        <w:t>N</w:t>
      </w:r>
      <w:r w:rsidRPr="00490C67">
        <w:rPr>
          <w:rFonts w:eastAsia="Calibri"/>
        </w:rPr>
        <w:t>ekilnojamojo turto registro</w:t>
      </w:r>
      <w:r w:rsidR="00490C67" w:rsidRPr="00490C67">
        <w:rPr>
          <w:rFonts w:eastAsia="Calibri"/>
        </w:rPr>
        <w:t xml:space="preserve"> įstatymo Nr. I-1539 17, 23, 26 straipsnių pakeitimo ir 25 straipsnio pripažinimo netekusiu galios įstatymo 5 straipsnio 3 dalyje nustatytas prašymo padavimo terminas ir </w:t>
      </w:r>
      <w:r>
        <w:rPr>
          <w:rFonts w:eastAsia="Calibri"/>
        </w:rPr>
        <w:t>N</w:t>
      </w:r>
      <w:r w:rsidRPr="00490C67">
        <w:rPr>
          <w:rFonts w:eastAsia="Calibri"/>
        </w:rPr>
        <w:t>ekilnojamojo turto registro</w:t>
      </w:r>
      <w:r w:rsidR="00490C67" w:rsidRPr="00490C67">
        <w:rPr>
          <w:rFonts w:eastAsia="Calibri"/>
        </w:rPr>
        <w:t xml:space="preserve"> nuostatų </w:t>
      </w:r>
      <w:r w:rsidR="00490C67" w:rsidRPr="00490C67">
        <w:rPr>
          <w:rFonts w:eastAsia="Calibri"/>
          <w:color w:val="000000"/>
        </w:rPr>
        <w:t>39</w:t>
      </w:r>
      <w:r w:rsidR="00490C67" w:rsidRPr="00490C67">
        <w:rPr>
          <w:rFonts w:eastAsia="Calibri"/>
          <w:color w:val="000000"/>
          <w:vertAlign w:val="superscript"/>
        </w:rPr>
        <w:t>1</w:t>
      </w:r>
      <w:r w:rsidR="00490C67" w:rsidRPr="00490C67">
        <w:rPr>
          <w:rFonts w:eastAsia="Calibri"/>
        </w:rPr>
        <w:t xml:space="preserve"> punktas dėl atlyginimo. </w:t>
      </w:r>
    </w:p>
    <w:p w14:paraId="2A6EE004" w14:textId="4EC4E22D" w:rsidR="00490C67" w:rsidRDefault="006618C1" w:rsidP="00490C67">
      <w:pPr>
        <w:autoSpaceDE w:val="0"/>
        <w:autoSpaceDN w:val="0"/>
        <w:adjustRightInd w:val="0"/>
        <w:ind w:firstLine="709"/>
        <w:jc w:val="both"/>
        <w:rPr>
          <w:rFonts w:eastAsia="Calibri"/>
        </w:rPr>
      </w:pPr>
      <w:r>
        <w:rPr>
          <w:rFonts w:eastAsia="Calibri"/>
        </w:rPr>
        <w:t>Pastebėtina</w:t>
      </w:r>
      <w:r w:rsidR="00490C67" w:rsidRPr="00490C67">
        <w:rPr>
          <w:rFonts w:eastAsia="Calibri"/>
        </w:rPr>
        <w:t xml:space="preserve">, kad </w:t>
      </w:r>
      <w:r w:rsidR="00490C67" w:rsidRPr="00490C67">
        <w:rPr>
          <w:rFonts w:eastAsia="Calibri"/>
          <w:bCs/>
          <w:i/>
          <w:iCs/>
          <w:shd w:val="clear" w:color="auto" w:fill="FFFFFF"/>
        </w:rPr>
        <w:t xml:space="preserve">Lietuvos vyriausiajame administraciniame teisme šiuo metu </w:t>
      </w:r>
      <w:r w:rsidR="00490C67" w:rsidRPr="00490C67">
        <w:rPr>
          <w:rFonts w:eastAsia="Calibri"/>
        </w:rPr>
        <w:t xml:space="preserve">yra nagrinėjama administracinė byla, kurioje sprendžiamas klausimas dėl </w:t>
      </w:r>
      <w:r>
        <w:rPr>
          <w:rFonts w:eastAsia="Calibri"/>
        </w:rPr>
        <w:t>Lietuvos Respublikos valstybės informacinių išteklių valdymo įstatymo</w:t>
      </w:r>
      <w:r w:rsidR="00490C67" w:rsidRPr="00490C67">
        <w:rPr>
          <w:rFonts w:eastAsia="Calibri"/>
        </w:rPr>
        <w:t xml:space="preserve"> 25 straipsnio 3 dalies ir Nekilnojamojo turto registro įstatymo 17 straipsnio 3 dalies bei </w:t>
      </w:r>
      <w:r>
        <w:rPr>
          <w:rFonts w:eastAsia="Calibri"/>
        </w:rPr>
        <w:t>Nekilnojamojo turto registro n</w:t>
      </w:r>
      <w:r w:rsidR="00490C67" w:rsidRPr="00490C67">
        <w:rPr>
          <w:rFonts w:eastAsia="Calibri"/>
        </w:rPr>
        <w:t xml:space="preserve">uostatų </w:t>
      </w:r>
      <w:r w:rsidR="00490C67" w:rsidRPr="00490C67">
        <w:rPr>
          <w:rFonts w:eastAsia="Calibri"/>
          <w:color w:val="000000"/>
        </w:rPr>
        <w:t>39</w:t>
      </w:r>
      <w:r w:rsidR="00490C67" w:rsidRPr="00490C67">
        <w:rPr>
          <w:rFonts w:eastAsia="Calibri"/>
          <w:color w:val="000000"/>
          <w:vertAlign w:val="superscript"/>
        </w:rPr>
        <w:t>1</w:t>
      </w:r>
      <w:r w:rsidR="00490C67" w:rsidRPr="00490C67">
        <w:rPr>
          <w:rFonts w:eastAsia="Calibri"/>
        </w:rPr>
        <w:t xml:space="preserve"> punkto nuostatų taikymo savivaldybėms. </w:t>
      </w:r>
      <w:r>
        <w:rPr>
          <w:rFonts w:eastAsia="Calibri"/>
        </w:rPr>
        <w:t xml:space="preserve">Atsižvelgiant į tai, klausimas dėl savivaldybių atleidimo nuo Nekilnojamojo turto registro nuostatų </w:t>
      </w:r>
      <w:r w:rsidRPr="00490C67">
        <w:rPr>
          <w:rFonts w:eastAsia="Calibri"/>
          <w:color w:val="000000"/>
        </w:rPr>
        <w:t>39</w:t>
      </w:r>
      <w:r w:rsidRPr="00490C67">
        <w:rPr>
          <w:rFonts w:eastAsia="Calibri"/>
          <w:color w:val="000000"/>
          <w:vertAlign w:val="superscript"/>
        </w:rPr>
        <w:t>1</w:t>
      </w:r>
      <w:r w:rsidRPr="00490C67">
        <w:rPr>
          <w:rFonts w:eastAsia="Calibri"/>
        </w:rPr>
        <w:t xml:space="preserve"> punkte nustatyto atlyginimo taikymo </w:t>
      </w:r>
      <w:r>
        <w:rPr>
          <w:rFonts w:eastAsia="Calibri"/>
        </w:rPr>
        <w:t xml:space="preserve">turės būti iš naujo įvertintas </w:t>
      </w:r>
      <w:r w:rsidR="00490C67" w:rsidRPr="00490C67">
        <w:rPr>
          <w:rFonts w:eastAsia="Calibri"/>
        </w:rPr>
        <w:t>Lietuvos vyriausiajam administraciniam teismui priėmus galutinį ir neskundžiamą sprendimą minėtoje administracinėje byloje</w:t>
      </w:r>
      <w:r>
        <w:rPr>
          <w:rFonts w:eastAsia="Calibri"/>
        </w:rPr>
        <w:t>.</w:t>
      </w:r>
    </w:p>
    <w:p w14:paraId="7225C6A4" w14:textId="77777777" w:rsidR="007D0C7D" w:rsidRPr="00490C67" w:rsidRDefault="007D0C7D" w:rsidP="00490C67">
      <w:pPr>
        <w:autoSpaceDE w:val="0"/>
        <w:autoSpaceDN w:val="0"/>
        <w:adjustRightInd w:val="0"/>
        <w:ind w:firstLine="709"/>
        <w:jc w:val="both"/>
        <w:rPr>
          <w:rFonts w:eastAsia="Calibri"/>
        </w:rPr>
      </w:pPr>
    </w:p>
    <w:p w14:paraId="1D8FC4AB" w14:textId="3BC03686" w:rsidR="00490C67" w:rsidRPr="009C113C" w:rsidRDefault="00465F25" w:rsidP="008A39D6">
      <w:pPr>
        <w:ind w:firstLine="720"/>
        <w:jc w:val="both"/>
        <w:rPr>
          <w:i/>
          <w:iCs/>
        </w:rPr>
      </w:pPr>
      <w:r w:rsidRPr="009C113C">
        <w:rPr>
          <w:i/>
          <w:iCs/>
        </w:rPr>
        <w:t>Dėl mokesčių netaikymo e-varžytinių</w:t>
      </w:r>
      <w:r w:rsidR="009C113C" w:rsidRPr="009C113C">
        <w:rPr>
          <w:i/>
          <w:iCs/>
        </w:rPr>
        <w:t xml:space="preserve"> </w:t>
      </w:r>
      <w:r w:rsidRPr="009C113C">
        <w:rPr>
          <w:i/>
          <w:iCs/>
        </w:rPr>
        <w:t>(ir e-aukcionų</w:t>
      </w:r>
      <w:r w:rsidR="009C113C" w:rsidRPr="009C113C">
        <w:rPr>
          <w:i/>
          <w:iCs/>
        </w:rPr>
        <w:t>)</w:t>
      </w:r>
      <w:r w:rsidRPr="009C113C">
        <w:rPr>
          <w:i/>
          <w:iCs/>
        </w:rPr>
        <w:t xml:space="preserve"> sistemo</w:t>
      </w:r>
      <w:r w:rsidR="009C113C" w:rsidRPr="009C113C">
        <w:rPr>
          <w:i/>
          <w:iCs/>
        </w:rPr>
        <w:t>je (9 pasiūlymas)</w:t>
      </w:r>
    </w:p>
    <w:p w14:paraId="7B98FD70" w14:textId="30E3EF4D" w:rsidR="007D0C7D" w:rsidRPr="00286D04" w:rsidRDefault="009C113C" w:rsidP="009C113C">
      <w:pPr>
        <w:ind w:firstLine="720"/>
        <w:jc w:val="both"/>
        <w:rPr>
          <w:lang w:eastAsia="lt-LT"/>
        </w:rPr>
      </w:pPr>
      <w:r w:rsidRPr="007D0C7D">
        <w:rPr>
          <w:lang w:eastAsia="lt-LT"/>
        </w:rPr>
        <w:t xml:space="preserve">Valstybei arba savivaldybei nuosavybės teise priklausančio nekilnojamojo turto pardavimą viešo aukciono būdu reglamentuoja Valstybės ir savivaldybių nekilnojamųjų daiktų pardavimo viešame aukcione tvarkos aprašas, patvirtintas Lietuvos Respublikos Vyriausybės 2014 m. spalio 28 d. nutarimu Nr. 1178 „Dėl Valstybės ir savivaldybių nekilnojamųjų daiktų pardavimo viešame aukcione tvarkos aprašo patvirtinimo“ (toliau – Aprašas). Aprašo 25 punkte numatyta, kad apie rengiamą elektroninį aukcioną skelbiama aukciono organizatoriaus interneto svetainėje, interneto svetainėje, kurioje bus vykdomas elektroninis aukcionas, ir bent vienoje Lietuvos Respublikos </w:t>
      </w:r>
      <w:r w:rsidRPr="007D0C7D">
        <w:rPr>
          <w:lang w:eastAsia="lt-LT"/>
        </w:rPr>
        <w:lastRenderedPageBreak/>
        <w:t>visuomenės informavimo priemonėj</w:t>
      </w:r>
      <w:r w:rsidR="007D0C7D" w:rsidRPr="007D0C7D">
        <w:rPr>
          <w:lang w:eastAsia="lt-LT"/>
        </w:rPr>
        <w:t xml:space="preserve">e, t.y. </w:t>
      </w:r>
      <w:r w:rsidRPr="007D0C7D">
        <w:rPr>
          <w:lang w:eastAsia="lt-LT"/>
        </w:rPr>
        <w:t>nekilnojamojo turto pardavimas viešo aukciono būdu gali būti vykdomas pasitelkiant bet kurią tam pritaikytą interneto svetainę</w:t>
      </w:r>
      <w:r w:rsidR="007D0C7D" w:rsidRPr="007D0C7D">
        <w:rPr>
          <w:lang w:eastAsia="lt-LT"/>
        </w:rPr>
        <w:t xml:space="preserve"> (</w:t>
      </w:r>
      <w:r w:rsidRPr="007D0C7D">
        <w:rPr>
          <w:lang w:eastAsia="lt-LT"/>
        </w:rPr>
        <w:t xml:space="preserve">Aprašas nenustato aukciono </w:t>
      </w:r>
      <w:r w:rsidRPr="00286D04">
        <w:rPr>
          <w:lang w:eastAsia="lt-LT"/>
        </w:rPr>
        <w:t>organizatoriams pareigos elektroninį nekilnojamojo turto pardavimą viešo aukciono būdu vykdyti tik konkrečioje interneto svetainėj</w:t>
      </w:r>
      <w:r w:rsidR="00286D04">
        <w:rPr>
          <w:lang w:eastAsia="lt-LT"/>
        </w:rPr>
        <w:t>e</w:t>
      </w:r>
      <w:r w:rsidR="007D0C7D" w:rsidRPr="00286D04">
        <w:rPr>
          <w:lang w:eastAsia="lt-LT"/>
        </w:rPr>
        <w:t>)</w:t>
      </w:r>
      <w:r w:rsidR="00286D04">
        <w:rPr>
          <w:lang w:eastAsia="lt-LT"/>
        </w:rPr>
        <w:t>.</w:t>
      </w:r>
    </w:p>
    <w:p w14:paraId="1748CEF9" w14:textId="265C0DD3" w:rsidR="009C113C" w:rsidRPr="00286D04" w:rsidRDefault="009C113C" w:rsidP="009C113C">
      <w:pPr>
        <w:ind w:firstLine="720"/>
        <w:jc w:val="both"/>
        <w:rPr>
          <w:lang w:eastAsia="lt-LT"/>
        </w:rPr>
      </w:pPr>
      <w:r w:rsidRPr="00286D04">
        <w:rPr>
          <w:lang w:eastAsia="lt-LT"/>
        </w:rPr>
        <w:t xml:space="preserve">Elektroninių varžytynių ir aukcionų vykdymo </w:t>
      </w:r>
      <w:r w:rsidR="007D0C7D" w:rsidRPr="00286D04">
        <w:rPr>
          <w:lang w:eastAsia="lt-LT"/>
        </w:rPr>
        <w:t xml:space="preserve">sistemų administravimas, nuolatinis </w:t>
      </w:r>
      <w:r w:rsidR="00286D04">
        <w:rPr>
          <w:lang w:eastAsia="lt-LT"/>
        </w:rPr>
        <w:t xml:space="preserve">šių </w:t>
      </w:r>
      <w:r w:rsidR="007D0C7D" w:rsidRPr="00286D04">
        <w:rPr>
          <w:lang w:eastAsia="lt-LT"/>
        </w:rPr>
        <w:t xml:space="preserve">sistemų programinių įrangų </w:t>
      </w:r>
      <w:r w:rsidR="00286D04">
        <w:rPr>
          <w:lang w:eastAsia="lt-LT"/>
        </w:rPr>
        <w:t xml:space="preserve">palaikymas ir </w:t>
      </w:r>
      <w:r w:rsidR="007D0C7D" w:rsidRPr="00286D04">
        <w:rPr>
          <w:lang w:eastAsia="lt-LT"/>
        </w:rPr>
        <w:t xml:space="preserve">atnaujinimas reikalauja sąnaudų, kurios yra dengiamos ir iš elektroninių aukcionų paskelbimo mokesčio gaunamų pajamų. </w:t>
      </w:r>
    </w:p>
    <w:p w14:paraId="0A4D7767" w14:textId="2CF70E62" w:rsidR="00286D04" w:rsidRPr="00286D04" w:rsidRDefault="009C113C" w:rsidP="009C113C">
      <w:pPr>
        <w:ind w:firstLine="720"/>
        <w:jc w:val="both"/>
        <w:rPr>
          <w:lang w:eastAsia="lt-LT"/>
        </w:rPr>
      </w:pPr>
      <w:r w:rsidRPr="00286D04">
        <w:rPr>
          <w:lang w:eastAsia="lt-LT"/>
        </w:rPr>
        <w:t>Pa</w:t>
      </w:r>
      <w:r w:rsidR="007D0C7D" w:rsidRPr="00286D04">
        <w:rPr>
          <w:lang w:eastAsia="lt-LT"/>
        </w:rPr>
        <w:t xml:space="preserve">stebėtina, kad </w:t>
      </w:r>
      <w:r w:rsidRPr="00286D04">
        <w:rPr>
          <w:lang w:eastAsia="lt-LT"/>
        </w:rPr>
        <w:t xml:space="preserve">už elektroninio aukciono paskelbimą tinklalapyje www.evarzytynes.lt moka visi elektroninio aukciono organizatoriai (valstybės įmonė Turto bankas, savivaldybės, juridiniai asmenys), išimčių atskiroms subjektų kategorijoms nėra numatyta, todėl </w:t>
      </w:r>
      <w:r w:rsidR="007D0C7D" w:rsidRPr="00286D04">
        <w:rPr>
          <w:lang w:eastAsia="lt-LT"/>
        </w:rPr>
        <w:t>šis klausimas gali būti svarstomas, jei bus nustatyta aiški patiriamų sąnaudų kompensavimo</w:t>
      </w:r>
      <w:r w:rsidR="00286D04" w:rsidRPr="00286D04">
        <w:rPr>
          <w:lang w:eastAsia="lt-LT"/>
        </w:rPr>
        <w:t xml:space="preserve"> sistema.</w:t>
      </w:r>
    </w:p>
    <w:p w14:paraId="7B9D3E2F" w14:textId="77777777" w:rsidR="00286D04" w:rsidRDefault="00286D04" w:rsidP="009C113C">
      <w:pPr>
        <w:ind w:firstLine="720"/>
        <w:jc w:val="both"/>
        <w:rPr>
          <w:rFonts w:ascii="Tahoma" w:hAnsi="Tahoma" w:cs="Tahoma"/>
          <w:sz w:val="22"/>
          <w:szCs w:val="22"/>
          <w:lang w:eastAsia="lt-LT"/>
        </w:rPr>
      </w:pPr>
    </w:p>
    <w:p w14:paraId="2E2AADD8" w14:textId="0F048E30" w:rsidR="009C113C" w:rsidRPr="009C113C" w:rsidRDefault="009C113C" w:rsidP="009C113C">
      <w:pPr>
        <w:ind w:firstLine="720"/>
        <w:jc w:val="both"/>
        <w:rPr>
          <w:i/>
          <w:iCs/>
          <w:lang w:eastAsia="lt-LT"/>
        </w:rPr>
      </w:pPr>
      <w:r w:rsidRPr="009C113C">
        <w:rPr>
          <w:i/>
          <w:iCs/>
          <w:lang w:eastAsia="lt-LT"/>
        </w:rPr>
        <w:t>Dėl nekilnojamojo turto apskaitos (</w:t>
      </w:r>
      <w:r w:rsidRPr="009C113C">
        <w:rPr>
          <w:i/>
          <w:iCs/>
          <w:lang w:val="en-US" w:eastAsia="lt-LT"/>
        </w:rPr>
        <w:t>11</w:t>
      </w:r>
      <w:r w:rsidRPr="009C113C">
        <w:rPr>
          <w:i/>
          <w:iCs/>
          <w:lang w:eastAsia="lt-LT"/>
        </w:rPr>
        <w:t xml:space="preserve"> pasiūlymas)</w:t>
      </w:r>
    </w:p>
    <w:p w14:paraId="66C5FBE6" w14:textId="675991D4" w:rsidR="00D636B1" w:rsidRPr="00306EFB" w:rsidRDefault="009C113C" w:rsidP="00306EFB">
      <w:pPr>
        <w:ind w:firstLine="720"/>
        <w:jc w:val="both"/>
        <w:rPr>
          <w:sz w:val="22"/>
          <w:szCs w:val="22"/>
          <w:lang w:eastAsia="en-US"/>
        </w:rPr>
      </w:pPr>
      <w:r>
        <w:t xml:space="preserve">Pažymėtina, kad, </w:t>
      </w:r>
      <w:bookmarkStart w:id="7" w:name="_Hlk76604160"/>
      <w:r>
        <w:t xml:space="preserve">vadovaujantis </w:t>
      </w:r>
      <w:bookmarkStart w:id="8" w:name="_Hlk76607202"/>
      <w:r>
        <w:t>Nekilnojamojo turto registro įstatymo</w:t>
      </w:r>
      <w:bookmarkEnd w:id="7"/>
      <w:r>
        <w:t xml:space="preserve"> </w:t>
      </w:r>
      <w:bookmarkEnd w:id="8"/>
      <w:r>
        <w:t>5 straipsniu, Nekilnojamojo turto registro tvarkytojas atsako tik už tai, kad nekilnojamojo turto registre įrašyti duomenys atitinka dokumentus, kurių pagrindu šie duomenys buvo įrašyti.</w:t>
      </w:r>
      <w:r w:rsidRPr="00DB0AC6">
        <w:t xml:space="preserve"> </w:t>
      </w:r>
      <w:r w:rsidRPr="008E27CE">
        <w:rPr>
          <w:lang w:eastAsia="en-US"/>
        </w:rPr>
        <w:t>Vadovaujantis C</w:t>
      </w:r>
      <w:r w:rsidR="003E169A">
        <w:rPr>
          <w:lang w:eastAsia="en-US"/>
        </w:rPr>
        <w:t>K</w:t>
      </w:r>
      <w:r w:rsidRPr="008E27CE">
        <w:rPr>
          <w:lang w:eastAsia="en-US"/>
        </w:rPr>
        <w:t xml:space="preserve"> 4.262 straipsniu</w:t>
      </w:r>
      <w:r>
        <w:rPr>
          <w:lang w:eastAsia="en-US"/>
        </w:rPr>
        <w:t xml:space="preserve">, </w:t>
      </w:r>
      <w:r>
        <w:t>Nekilnojamojo turto registro įstatymo</w:t>
      </w:r>
      <w:r w:rsidRPr="008E27CE">
        <w:rPr>
          <w:lang w:eastAsia="en-US"/>
        </w:rPr>
        <w:t xml:space="preserve"> 4 straipsniu, Nekilnojamojo turto registre įrašyti duomenys nuo jų įrašymo laikomi teisingais ir išsamiais, kol jie nepakeisti arba nenuginčyti įstatymų nustatyta tvarka.</w:t>
      </w:r>
      <w:r>
        <w:rPr>
          <w:lang w:eastAsia="en-US"/>
        </w:rPr>
        <w:t xml:space="preserve"> </w:t>
      </w:r>
      <w:r w:rsidR="00E36CF5">
        <w:rPr>
          <w:lang w:eastAsia="en-US"/>
        </w:rPr>
        <w:t xml:space="preserve">Duomenų įrašymo ir jų keitimo ir/ar taisymo tvarka yra aiškiai reglamentuota </w:t>
      </w:r>
      <w:r>
        <w:rPr>
          <w:lang w:eastAsia="en-US"/>
        </w:rPr>
        <w:t>Nekilnojamojo turto registro įstatym</w:t>
      </w:r>
      <w:r w:rsidR="00E36CF5">
        <w:rPr>
          <w:lang w:eastAsia="en-US"/>
        </w:rPr>
        <w:t>e, taip pat Nekilnojamojo turto registro nuostatuose.</w:t>
      </w:r>
      <w:r>
        <w:rPr>
          <w:lang w:eastAsia="en-US"/>
        </w:rPr>
        <w:t xml:space="preserve"> </w:t>
      </w:r>
      <w:r w:rsidR="00D636B1">
        <w:rPr>
          <w:lang w:eastAsia="en-US"/>
        </w:rPr>
        <w:t xml:space="preserve">Nekilnojamojo turto registro tvarkytojas, kaip minėta aptariant </w:t>
      </w:r>
      <w:r w:rsidR="00D636B1" w:rsidRPr="00D636B1">
        <w:rPr>
          <w:lang w:eastAsia="en-US"/>
        </w:rPr>
        <w:t>5 pasi</w:t>
      </w:r>
      <w:r w:rsidR="00D636B1">
        <w:rPr>
          <w:lang w:eastAsia="en-US"/>
        </w:rPr>
        <w:t xml:space="preserve">ūlymą, atlikdamas registravimo (duomenų tvarkymo) veiksmus vadovaujasi išimtinai tik teisės aktuose nustatytais pagrindais. Vadovaujantis </w:t>
      </w:r>
      <w:r w:rsidR="00D636B1" w:rsidRPr="00D636B1">
        <w:rPr>
          <w:lang w:eastAsia="en-US"/>
        </w:rPr>
        <w:t xml:space="preserve">Nekilnojamojo turto registro nuostatų </w:t>
      </w:r>
      <w:r w:rsidRPr="00D636B1">
        <w:rPr>
          <w:lang w:eastAsia="lt-LT"/>
        </w:rPr>
        <w:t xml:space="preserve">71 punktu, nekilnojamasis daiktas, kuriam griauti reikia statybą leidžiančio dokumento, išregistruojamas, kai pateikiama Valstybinės teritorijų planavimo ir statybos inspekcijos prie Aplinkos ministerijos pažyma apie statinio nugriovimą arba statinių naudojimo priežiūrą atliekančio viešojo administravimo subjekto nustatytos formos pažyma, kuri patvirtina nekilnojamojo daikto žuvimo (sugriuvimo, sunykimo, sudegimo) faktą. Nekilnojamasis daiktas, kuriam griauti nereikia statybą leidžiančio dokumento, išregistruojamas, kai pateikiamoje nekilnojamojo daikto kadastro duomenų byloje užfiksuotas jo nugriovimo ar žuvimo (sugriuvimo, sunykimo, sudegimo) faktas. </w:t>
      </w:r>
      <w:r w:rsidR="00306EFB">
        <w:t xml:space="preserve">Minėti bendri reikalavimai dėl nekilnojamųjų daiktų ir daiktinių teisių į juos išregistravimo Nekilnojamojo turto registre yra taikomi visiems prašymus teikiantiems pareiškėjams (taip pat ir savivaldybėms). </w:t>
      </w:r>
    </w:p>
    <w:p w14:paraId="489F6504" w14:textId="77777777" w:rsidR="002308C0" w:rsidRPr="009C113C" w:rsidRDefault="002308C0" w:rsidP="002072FE">
      <w:pPr>
        <w:ind w:firstLine="720"/>
        <w:jc w:val="both"/>
        <w:rPr>
          <w:i/>
          <w:iCs/>
        </w:rPr>
      </w:pPr>
    </w:p>
    <w:p w14:paraId="2F9A9D2F" w14:textId="77777777" w:rsidR="00B069AC" w:rsidRDefault="00B069AC" w:rsidP="00461864">
      <w:pPr>
        <w:spacing w:line="276" w:lineRule="auto"/>
        <w:rPr>
          <w:color w:val="000000"/>
        </w:rPr>
      </w:pPr>
    </w:p>
    <w:p w14:paraId="6230DDE5" w14:textId="5BD3CC60" w:rsidR="00461864" w:rsidRPr="00174959" w:rsidRDefault="00D278C0" w:rsidP="00174959">
      <w:pPr>
        <w:tabs>
          <w:tab w:val="right" w:pos="9638"/>
        </w:tabs>
        <w:spacing w:line="360" w:lineRule="auto"/>
      </w:pPr>
      <w:r>
        <w:t>Teisingumo viceministrė</w:t>
      </w:r>
      <w:r>
        <w:tab/>
      </w:r>
      <w:r w:rsidRPr="00174959">
        <w:t>Jurga Greičienė</w:t>
      </w:r>
    </w:p>
    <w:p w14:paraId="0D4F4398" w14:textId="34E0DBE3" w:rsidR="00461864" w:rsidRDefault="00461864" w:rsidP="00D92BEE">
      <w:pPr>
        <w:rPr>
          <w:sz w:val="20"/>
        </w:rPr>
      </w:pPr>
    </w:p>
    <w:p w14:paraId="316059C0" w14:textId="585FDCC3" w:rsidR="00461864" w:rsidRDefault="00461864" w:rsidP="00D92BEE">
      <w:pPr>
        <w:rPr>
          <w:sz w:val="20"/>
        </w:rPr>
      </w:pPr>
    </w:p>
    <w:p w14:paraId="70A4FFA6" w14:textId="51C45AF9" w:rsidR="00461864" w:rsidRDefault="00461864" w:rsidP="00D92BEE">
      <w:pPr>
        <w:rPr>
          <w:sz w:val="20"/>
        </w:rPr>
      </w:pPr>
    </w:p>
    <w:p w14:paraId="74E2D3FA" w14:textId="3CEB0FA3" w:rsidR="00143DB4" w:rsidRDefault="00143DB4" w:rsidP="00D92BEE">
      <w:pPr>
        <w:rPr>
          <w:sz w:val="20"/>
        </w:rPr>
      </w:pPr>
    </w:p>
    <w:p w14:paraId="20C3B6C2" w14:textId="0F470274" w:rsidR="00143DB4" w:rsidRDefault="00143DB4" w:rsidP="00D92BEE">
      <w:pPr>
        <w:rPr>
          <w:sz w:val="20"/>
        </w:rPr>
      </w:pPr>
    </w:p>
    <w:p w14:paraId="1515D1E5" w14:textId="4ACB856A" w:rsidR="00143DB4" w:rsidRDefault="00143DB4" w:rsidP="00D92BEE">
      <w:pPr>
        <w:rPr>
          <w:sz w:val="20"/>
        </w:rPr>
      </w:pPr>
    </w:p>
    <w:p w14:paraId="7CCA13B6" w14:textId="6F633602" w:rsidR="003E169A" w:rsidRDefault="003E169A" w:rsidP="00D92BEE">
      <w:pPr>
        <w:rPr>
          <w:sz w:val="20"/>
        </w:rPr>
      </w:pPr>
    </w:p>
    <w:p w14:paraId="4C1BE589" w14:textId="723C524C" w:rsidR="003E169A" w:rsidRDefault="003E169A" w:rsidP="00D92BEE">
      <w:pPr>
        <w:rPr>
          <w:sz w:val="20"/>
        </w:rPr>
      </w:pPr>
    </w:p>
    <w:p w14:paraId="0F2E171D" w14:textId="76395D6B" w:rsidR="00306EFB" w:rsidRDefault="00306EFB" w:rsidP="00D92BEE">
      <w:pPr>
        <w:rPr>
          <w:sz w:val="20"/>
        </w:rPr>
      </w:pPr>
    </w:p>
    <w:p w14:paraId="11C1C052" w14:textId="50FBB360" w:rsidR="00306EFB" w:rsidRDefault="00306EFB" w:rsidP="00D92BEE">
      <w:pPr>
        <w:rPr>
          <w:sz w:val="20"/>
        </w:rPr>
      </w:pPr>
    </w:p>
    <w:p w14:paraId="631D3C72" w14:textId="77777777" w:rsidR="00306EFB" w:rsidRDefault="00306EFB" w:rsidP="00D92BEE">
      <w:pPr>
        <w:rPr>
          <w:sz w:val="20"/>
        </w:rPr>
      </w:pPr>
    </w:p>
    <w:p w14:paraId="1DF8CF7D" w14:textId="6D3C9D8A" w:rsidR="003E169A" w:rsidRDefault="003E169A" w:rsidP="00D92BEE">
      <w:pPr>
        <w:rPr>
          <w:sz w:val="20"/>
        </w:rPr>
      </w:pPr>
    </w:p>
    <w:p w14:paraId="49749AA3" w14:textId="195D4173" w:rsidR="003E169A" w:rsidRDefault="003E169A" w:rsidP="00D92BEE">
      <w:pPr>
        <w:rPr>
          <w:sz w:val="20"/>
        </w:rPr>
      </w:pPr>
    </w:p>
    <w:p w14:paraId="29A49146" w14:textId="2966029F" w:rsidR="003E169A" w:rsidRDefault="003E169A" w:rsidP="00D92BEE">
      <w:pPr>
        <w:rPr>
          <w:sz w:val="20"/>
        </w:rPr>
      </w:pPr>
    </w:p>
    <w:p w14:paraId="0FD08CD2" w14:textId="4EB709F0" w:rsidR="00143DB4" w:rsidRDefault="00143DB4" w:rsidP="00D92BEE">
      <w:pPr>
        <w:rPr>
          <w:sz w:val="20"/>
        </w:rPr>
      </w:pPr>
    </w:p>
    <w:p w14:paraId="39C329D5" w14:textId="77777777" w:rsidR="00461864" w:rsidRPr="00D92BEE" w:rsidRDefault="00461864" w:rsidP="00D92BEE">
      <w:pPr>
        <w:rPr>
          <w:sz w:val="20"/>
        </w:rPr>
      </w:pPr>
    </w:p>
    <w:p w14:paraId="72E25835" w14:textId="77777777" w:rsidR="00D92BEE" w:rsidRPr="00D92BEE" w:rsidRDefault="00D92BEE" w:rsidP="00D92BEE">
      <w:pPr>
        <w:rPr>
          <w:sz w:val="20"/>
        </w:rPr>
      </w:pPr>
    </w:p>
    <w:p w14:paraId="50374E6C" w14:textId="06A70DAD" w:rsidR="00E75D83" w:rsidRPr="006342AD" w:rsidRDefault="00D92BEE" w:rsidP="00282273">
      <w:pPr>
        <w:tabs>
          <w:tab w:val="decimal" w:pos="9638"/>
        </w:tabs>
        <w:spacing w:line="276" w:lineRule="auto"/>
        <w:rPr>
          <w:noProof/>
          <w:color w:val="0000FF"/>
          <w:sz w:val="20"/>
          <w:szCs w:val="20"/>
          <w:u w:val="single"/>
        </w:rPr>
      </w:pPr>
      <w:r w:rsidRPr="00AD6E5B">
        <w:rPr>
          <w:color w:val="000000" w:themeColor="text1"/>
          <w:sz w:val="20"/>
          <w:szCs w:val="20"/>
        </w:rPr>
        <w:t xml:space="preserve">Asta Mačionienė, (8 5) </w:t>
      </w:r>
      <w:r w:rsidRPr="001F38A2">
        <w:rPr>
          <w:color w:val="000000" w:themeColor="text1"/>
          <w:sz w:val="20"/>
          <w:szCs w:val="20"/>
          <w:lang w:val="en-US"/>
        </w:rPr>
        <w:t>2662966</w:t>
      </w:r>
      <w:r w:rsidRPr="001F38A2">
        <w:rPr>
          <w:color w:val="000000" w:themeColor="text1"/>
          <w:sz w:val="20"/>
          <w:szCs w:val="20"/>
        </w:rPr>
        <w:t xml:space="preserve">, el. p. </w:t>
      </w:r>
      <w:hyperlink r:id="rId10">
        <w:r w:rsidRPr="00AD6E5B">
          <w:rPr>
            <w:color w:val="0000FF"/>
            <w:sz w:val="20"/>
            <w:szCs w:val="20"/>
            <w:u w:val="single"/>
          </w:rPr>
          <w:t>a.macioniene@tm.lt</w:t>
        </w:r>
      </w:hyperlink>
      <w:r w:rsidRPr="00AD6E5B">
        <w:rPr>
          <w:color w:val="0000FF"/>
          <w:sz w:val="20"/>
          <w:szCs w:val="20"/>
          <w:u w:val="single"/>
        </w:rPr>
        <w:t xml:space="preserve"> </w:t>
      </w:r>
      <w:r w:rsidRPr="001F38A2">
        <w:rPr>
          <w:color w:val="000000" w:themeColor="text1"/>
          <w:sz w:val="20"/>
          <w:szCs w:val="20"/>
        </w:rPr>
        <w:t xml:space="preserve"> </w:t>
      </w:r>
      <w:r w:rsidR="00A94E74" w:rsidRPr="001F38A2">
        <w:rPr>
          <w:color w:val="000000" w:themeColor="text1"/>
          <w:sz w:val="20"/>
          <w:szCs w:val="20"/>
        </w:rPr>
        <w:t xml:space="preserve">                                     </w:t>
      </w:r>
      <w:r w:rsidR="00ED50E5">
        <w:rPr>
          <w:color w:val="000000" w:themeColor="text1"/>
          <w:sz w:val="20"/>
          <w:szCs w:val="20"/>
        </w:rPr>
        <w:t xml:space="preserve">         </w:t>
      </w:r>
    </w:p>
    <w:sectPr w:rsidR="00E75D83" w:rsidRPr="006342AD" w:rsidSect="00137EFF">
      <w:headerReference w:type="default" r:id="rId11"/>
      <w:headerReference w:type="first" r:id="rId12"/>
      <w:footerReference w:type="first" r:id="rId13"/>
      <w:footnotePr>
        <w:pos w:val="beneathText"/>
      </w:footnotePr>
      <w:pgSz w:w="11905" w:h="16837"/>
      <w:pgMar w:top="1134" w:right="737" w:bottom="1134" w:left="1701" w:header="1123" w:footer="7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CC1F7" w14:textId="77777777" w:rsidR="00D07FE8" w:rsidRDefault="00D07FE8">
      <w:r>
        <w:separator/>
      </w:r>
    </w:p>
  </w:endnote>
  <w:endnote w:type="continuationSeparator" w:id="0">
    <w:p w14:paraId="5E347EB1" w14:textId="77777777" w:rsidR="00D07FE8" w:rsidRDefault="00D0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782B8" w14:textId="77777777" w:rsidR="001F4940" w:rsidRDefault="001F4940" w:rsidP="00137EFF">
    <w:pPr>
      <w:pStyle w:val="Porat"/>
      <w:tabs>
        <w:tab w:val="clear" w:pos="8306"/>
        <w:tab w:val="left" w:pos="8080"/>
        <w:tab w:val="right" w:pos="9356"/>
      </w:tabs>
    </w:pPr>
  </w:p>
  <w:p w14:paraId="1A5E7143" w14:textId="77777777" w:rsidR="0006186E" w:rsidRDefault="00247655" w:rsidP="00392BAA">
    <w:pPr>
      <w:pStyle w:val="Pora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BAEE1" w14:textId="77777777" w:rsidR="00D07FE8" w:rsidRDefault="00D07FE8">
      <w:r>
        <w:separator/>
      </w:r>
    </w:p>
  </w:footnote>
  <w:footnote w:type="continuationSeparator" w:id="0">
    <w:p w14:paraId="4E7472C9" w14:textId="77777777" w:rsidR="00D07FE8" w:rsidRDefault="00D07FE8">
      <w:r>
        <w:continuationSeparator/>
      </w:r>
    </w:p>
  </w:footnote>
  <w:footnote w:id="1">
    <w:p w14:paraId="5AEB2B99" w14:textId="67CDF36F" w:rsidR="00ED681F" w:rsidRPr="00ED681F" w:rsidRDefault="00ED681F" w:rsidP="00ED681F">
      <w:pPr>
        <w:pStyle w:val="Puslapioinaostekstas"/>
        <w:jc w:val="both"/>
      </w:pPr>
      <w:r>
        <w:rPr>
          <w:rStyle w:val="Puslapioinaosnuoroda"/>
        </w:rPr>
        <w:footnoteRef/>
      </w:r>
      <w:r>
        <w:t xml:space="preserve"> </w:t>
      </w:r>
      <w:r w:rsidRPr="008E27CE">
        <w:rPr>
          <w:color w:val="000000"/>
        </w:rPr>
        <w:t>Lietuvos vyriausiasis administracinis teismas 2011 m. spalio 13 d. nutartyje administracinėje byloje Nr. A492-3130/2011</w:t>
      </w:r>
      <w:r>
        <w:rPr>
          <w:color w:val="000000"/>
        </w:rPr>
        <w:t xml:space="preserve"> konstatavo,</w:t>
      </w:r>
      <w:r w:rsidRPr="008E27CE">
        <w:rPr>
          <w:color w:val="000000"/>
        </w:rPr>
        <w:t xml:space="preserve"> </w:t>
      </w:r>
      <w:r>
        <w:rPr>
          <w:color w:val="000000"/>
        </w:rPr>
        <w:t xml:space="preserve">kad </w:t>
      </w:r>
      <w:r w:rsidRPr="008E27CE">
        <w:t>Nekilnojamojo turto registro tvarkytojas nesprendžia ginčų tarp suinteresuotų asmenų dėl pačios daiktinės teisės ar jos turinio, jo funkcija yra tik duomenų iš jam pateiktų dokumentų apie nekilnojamąjį turtą perkėlimas</w:t>
      </w:r>
      <w:r>
        <w:t xml:space="preserve"> į Nekilnojamąjį turto registrą ir</w:t>
      </w:r>
      <w:r w:rsidRPr="008E27CE">
        <w:t xml:space="preserve"> teisės aktai jam nenumato įgaliojimų vertinti pateiktų dokumentų teisėtumo.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61096" w14:textId="77777777" w:rsidR="0006186E" w:rsidRDefault="0006186E" w:rsidP="00EE5859">
    <w:pPr>
      <w:pStyle w:val="Antrat1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6B565" w14:textId="77777777" w:rsidR="006A0169" w:rsidRPr="00095F50" w:rsidRDefault="00095F50" w:rsidP="006A0169">
    <w:pPr>
      <w:tabs>
        <w:tab w:val="right" w:pos="8306"/>
      </w:tabs>
      <w:suppressAutoHyphens w:val="0"/>
      <w:jc w:val="center"/>
      <w:rPr>
        <w:sz w:val="28"/>
        <w:szCs w:val="28"/>
        <w:lang w:eastAsia="en-US"/>
      </w:rPr>
    </w:pPr>
    <w:r w:rsidRPr="00095F50">
      <w:rPr>
        <w:noProof/>
        <w:sz w:val="28"/>
        <w:szCs w:val="28"/>
        <w:lang w:eastAsia="lt-LT"/>
      </w:rPr>
      <w:drawing>
        <wp:inline distT="0" distB="0" distL="0" distR="0" wp14:anchorId="32F0D472" wp14:editId="5C12F679">
          <wp:extent cx="563880" cy="556260"/>
          <wp:effectExtent l="0" t="0" r="7620" b="0"/>
          <wp:docPr id="11" name="Paveikslėlis 11" descr="image001"/>
          <wp:cNvGraphicFramePr/>
          <a:graphic xmlns:a="http://schemas.openxmlformats.org/drawingml/2006/main">
            <a:graphicData uri="http://schemas.openxmlformats.org/drawingml/2006/picture">
              <pic:pic xmlns:pic="http://schemas.openxmlformats.org/drawingml/2006/picture">
                <pic:nvPicPr>
                  <pic:cNvPr id="1" name="Paveikslėlis 1" descr="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556260"/>
                  </a:xfrm>
                  <a:prstGeom prst="rect">
                    <a:avLst/>
                  </a:prstGeom>
                  <a:noFill/>
                  <a:ln>
                    <a:noFill/>
                  </a:ln>
                </pic:spPr>
              </pic:pic>
            </a:graphicData>
          </a:graphic>
        </wp:inline>
      </w:drawing>
    </w:r>
  </w:p>
  <w:p w14:paraId="0439D630" w14:textId="77777777" w:rsidR="006A0169" w:rsidRPr="006A0169" w:rsidRDefault="006A0169" w:rsidP="006A0169">
    <w:pPr>
      <w:tabs>
        <w:tab w:val="right" w:pos="8306"/>
      </w:tabs>
      <w:suppressAutoHyphens w:val="0"/>
      <w:jc w:val="center"/>
      <w:rPr>
        <w:sz w:val="16"/>
        <w:lang w:eastAsia="en-US"/>
      </w:rPr>
    </w:pPr>
  </w:p>
  <w:p w14:paraId="39DA9188" w14:textId="77777777" w:rsidR="006A0169" w:rsidRPr="006A0169" w:rsidRDefault="006A0169" w:rsidP="006A0169">
    <w:pPr>
      <w:suppressAutoHyphens w:val="0"/>
      <w:jc w:val="center"/>
      <w:rPr>
        <w:b/>
        <w:bCs/>
        <w:sz w:val="26"/>
        <w:lang w:eastAsia="en-US"/>
      </w:rPr>
    </w:pPr>
    <w:r w:rsidRPr="006A0169">
      <w:rPr>
        <w:b/>
        <w:bCs/>
        <w:sz w:val="26"/>
        <w:lang w:eastAsia="en-US"/>
      </w:rPr>
      <w:t>LIETUVOS RESPUBLIKOS TEISINGUMO MINISTERIJA</w:t>
    </w:r>
  </w:p>
  <w:p w14:paraId="110DDAB0" w14:textId="77777777" w:rsidR="006A0169" w:rsidRPr="006A0169" w:rsidRDefault="006A0169" w:rsidP="006A0169">
    <w:pPr>
      <w:suppressAutoHyphens w:val="0"/>
      <w:jc w:val="center"/>
      <w:rPr>
        <w:b/>
        <w:bCs/>
        <w:sz w:val="26"/>
        <w:lang w:eastAsia="en-US"/>
      </w:rPr>
    </w:pPr>
  </w:p>
  <w:p w14:paraId="5B8B41F7" w14:textId="77777777" w:rsidR="00D22358" w:rsidRDefault="00D22358" w:rsidP="00D22358">
    <w:pPr>
      <w:pBdr>
        <w:bottom w:val="single" w:sz="4" w:space="1" w:color="auto"/>
      </w:pBdr>
      <w:suppressAutoHyphens w:val="0"/>
      <w:jc w:val="center"/>
      <w:rPr>
        <w:sz w:val="20"/>
        <w:lang w:eastAsia="en-US"/>
      </w:rPr>
    </w:pPr>
    <w:r>
      <w:rPr>
        <w:sz w:val="20"/>
        <w:lang w:eastAsia="en-US"/>
      </w:rPr>
      <w:t xml:space="preserve">Biudžetinė įstaiga, Gedimino pr. 30, LT-01104 Vilnius, </w:t>
    </w:r>
  </w:p>
  <w:p w14:paraId="086E8B22" w14:textId="224C4069" w:rsidR="00D22358" w:rsidRDefault="00D22358" w:rsidP="00D22358">
    <w:pPr>
      <w:pBdr>
        <w:bottom w:val="single" w:sz="4" w:space="1" w:color="auto"/>
      </w:pBdr>
      <w:suppressAutoHyphens w:val="0"/>
      <w:jc w:val="center"/>
      <w:rPr>
        <w:sz w:val="20"/>
        <w:lang w:eastAsia="en-US"/>
      </w:rPr>
    </w:pPr>
    <w:r>
      <w:rPr>
        <w:sz w:val="20"/>
        <w:lang w:eastAsia="en-US"/>
      </w:rPr>
      <w:t xml:space="preserve">tel. (8 5) 266 2984, faks. (8 5) 262 5940, el. p. </w:t>
    </w:r>
    <w:hyperlink r:id="rId2" w:history="1">
      <w:r w:rsidR="00D00BD9" w:rsidRPr="000F6070">
        <w:rPr>
          <w:rStyle w:val="Hipersaitas"/>
          <w:sz w:val="20"/>
          <w:lang w:eastAsia="en-US"/>
        </w:rPr>
        <w:t>rastine@tm.lt</w:t>
      </w:r>
    </w:hyperlink>
    <w:r>
      <w:rPr>
        <w:sz w:val="20"/>
        <w:lang w:eastAsia="en-US"/>
      </w:rPr>
      <w:t>,</w:t>
    </w:r>
    <w:r w:rsidR="00D00BD9">
      <w:rPr>
        <w:sz w:val="20"/>
        <w:lang w:eastAsia="en-US"/>
      </w:rPr>
      <w:t xml:space="preserve"> </w:t>
    </w:r>
    <w:r w:rsidR="00D00BD9" w:rsidRPr="00293077">
      <w:rPr>
        <w:sz w:val="20"/>
        <w:lang w:eastAsia="en-US"/>
      </w:rPr>
      <w:t>https://tm.lrv.lt</w:t>
    </w:r>
    <w:r w:rsidR="00D00BD9">
      <w:rPr>
        <w:sz w:val="20"/>
        <w:lang w:eastAsia="en-US"/>
      </w:rPr>
      <w:t>.</w:t>
    </w:r>
  </w:p>
  <w:p w14:paraId="04C7FD59" w14:textId="77777777" w:rsidR="00D22358" w:rsidRDefault="00D22358" w:rsidP="00D22358">
    <w:pPr>
      <w:pBdr>
        <w:bottom w:val="single" w:sz="4" w:space="1" w:color="auto"/>
      </w:pBdr>
      <w:suppressAutoHyphens w:val="0"/>
      <w:jc w:val="center"/>
      <w:rPr>
        <w:sz w:val="20"/>
        <w:lang w:eastAsia="en-US"/>
      </w:rPr>
    </w:pPr>
    <w:r>
      <w:rPr>
        <w:sz w:val="20"/>
        <w:lang w:eastAsia="en-US"/>
      </w:rPr>
      <w:t>Duomenys kaupiami ir saugomi Juridinių asmenų registre, kodas 188604955</w:t>
    </w:r>
  </w:p>
  <w:p w14:paraId="074EED44" w14:textId="77777777" w:rsidR="006A0169" w:rsidRPr="006A0169" w:rsidRDefault="006A0169" w:rsidP="006A0169">
    <w:pPr>
      <w:tabs>
        <w:tab w:val="right" w:pos="8306"/>
      </w:tabs>
      <w:suppressAutoHyphens w:val="0"/>
      <w:jc w:val="center"/>
      <w:rPr>
        <w:sz w:val="20"/>
        <w:lang w:eastAsia="en-US"/>
      </w:rPr>
    </w:pPr>
  </w:p>
  <w:p w14:paraId="79F10A70" w14:textId="77777777" w:rsidR="0006186E" w:rsidRPr="006A0169" w:rsidRDefault="0006186E" w:rsidP="006A0169">
    <w:pPr>
      <w:pStyle w:val="Antrats"/>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BD6F49"/>
    <w:multiLevelType w:val="multilevel"/>
    <w:tmpl w:val="DC124A8C"/>
    <w:lvl w:ilvl="0">
      <w:start w:val="1"/>
      <w:numFmt w:val="decimal"/>
      <w:lvlText w:val="%1."/>
      <w:lvlJc w:val="left"/>
      <w:pPr>
        <w:tabs>
          <w:tab w:val="num" w:pos="1967"/>
        </w:tabs>
        <w:ind w:left="1967" w:hanging="360"/>
      </w:pPr>
    </w:lvl>
    <w:lvl w:ilvl="1">
      <w:start w:val="1"/>
      <w:numFmt w:val="lowerLetter"/>
      <w:lvlText w:val="%2."/>
      <w:lvlJc w:val="left"/>
      <w:pPr>
        <w:tabs>
          <w:tab w:val="num" w:pos="2687"/>
        </w:tabs>
        <w:ind w:left="2687" w:hanging="360"/>
      </w:pPr>
    </w:lvl>
    <w:lvl w:ilvl="2">
      <w:start w:val="1"/>
      <w:numFmt w:val="lowerRoman"/>
      <w:lvlText w:val="%3."/>
      <w:lvlJc w:val="right"/>
      <w:pPr>
        <w:tabs>
          <w:tab w:val="num" w:pos="3407"/>
        </w:tabs>
        <w:ind w:left="3407" w:hanging="180"/>
      </w:pPr>
    </w:lvl>
    <w:lvl w:ilvl="3">
      <w:start w:val="1"/>
      <w:numFmt w:val="decimal"/>
      <w:lvlText w:val="%4."/>
      <w:lvlJc w:val="left"/>
      <w:pPr>
        <w:tabs>
          <w:tab w:val="num" w:pos="4127"/>
        </w:tabs>
        <w:ind w:left="4127" w:hanging="360"/>
      </w:pPr>
    </w:lvl>
    <w:lvl w:ilvl="4">
      <w:start w:val="1"/>
      <w:numFmt w:val="lowerLetter"/>
      <w:lvlText w:val="%5."/>
      <w:lvlJc w:val="left"/>
      <w:pPr>
        <w:tabs>
          <w:tab w:val="num" w:pos="4847"/>
        </w:tabs>
        <w:ind w:left="4847" w:hanging="360"/>
      </w:pPr>
    </w:lvl>
    <w:lvl w:ilvl="5">
      <w:start w:val="1"/>
      <w:numFmt w:val="lowerRoman"/>
      <w:lvlText w:val="%6."/>
      <w:lvlJc w:val="right"/>
      <w:pPr>
        <w:tabs>
          <w:tab w:val="num" w:pos="5567"/>
        </w:tabs>
        <w:ind w:left="5567" w:hanging="180"/>
      </w:pPr>
    </w:lvl>
    <w:lvl w:ilvl="6">
      <w:start w:val="1"/>
      <w:numFmt w:val="decimal"/>
      <w:lvlText w:val="%7."/>
      <w:lvlJc w:val="left"/>
      <w:pPr>
        <w:tabs>
          <w:tab w:val="num" w:pos="6287"/>
        </w:tabs>
        <w:ind w:left="6287" w:hanging="360"/>
      </w:pPr>
    </w:lvl>
    <w:lvl w:ilvl="7">
      <w:start w:val="1"/>
      <w:numFmt w:val="lowerLetter"/>
      <w:lvlText w:val="%8."/>
      <w:lvlJc w:val="left"/>
      <w:pPr>
        <w:tabs>
          <w:tab w:val="num" w:pos="7007"/>
        </w:tabs>
        <w:ind w:left="7007" w:hanging="360"/>
      </w:pPr>
    </w:lvl>
    <w:lvl w:ilvl="8">
      <w:start w:val="1"/>
      <w:numFmt w:val="lowerRoman"/>
      <w:lvlText w:val="%9."/>
      <w:lvlJc w:val="right"/>
      <w:pPr>
        <w:tabs>
          <w:tab w:val="num" w:pos="7727"/>
        </w:tabs>
        <w:ind w:left="7727" w:hanging="180"/>
      </w:pPr>
    </w:lvl>
  </w:abstractNum>
  <w:abstractNum w:abstractNumId="2" w15:restartNumberingAfterBreak="0">
    <w:nsid w:val="1D8A6E0A"/>
    <w:multiLevelType w:val="multilevel"/>
    <w:tmpl w:val="61600798"/>
    <w:lvl w:ilvl="0">
      <w:start w:val="1"/>
      <w:numFmt w:val="decimal"/>
      <w:suff w:val="space"/>
      <w:lvlText w:val="%1. "/>
      <w:lvlJc w:val="left"/>
      <w:pPr>
        <w:ind w:left="2520" w:firstLine="887"/>
      </w:pPr>
      <w:rPr>
        <w:rFonts w:hint="default"/>
      </w:rPr>
    </w:lvl>
    <w:lvl w:ilvl="1">
      <w:start w:val="1"/>
      <w:numFmt w:val="decimal"/>
      <w:suff w:val="space"/>
      <w:lvlText w:val="%1.%2."/>
      <w:lvlJc w:val="left"/>
      <w:pPr>
        <w:ind w:left="3407" w:hanging="887"/>
      </w:pPr>
      <w:rPr>
        <w:rFonts w:hint="default"/>
      </w:rPr>
    </w:lvl>
    <w:lvl w:ilvl="2">
      <w:start w:val="1"/>
      <w:numFmt w:val="decimal"/>
      <w:lvlText w:val="%1.%2.%3."/>
      <w:lvlJc w:val="left"/>
      <w:pPr>
        <w:tabs>
          <w:tab w:val="num" w:pos="3384"/>
        </w:tabs>
        <w:ind w:left="3384" w:hanging="504"/>
      </w:pPr>
      <w:rPr>
        <w:rFonts w:hint="default"/>
      </w:rPr>
    </w:lvl>
    <w:lvl w:ilvl="3">
      <w:start w:val="1"/>
      <w:numFmt w:val="decimal"/>
      <w:lvlText w:val="%1.%2.%3.%4."/>
      <w:lvlJc w:val="left"/>
      <w:pPr>
        <w:tabs>
          <w:tab w:val="num" w:pos="3888"/>
        </w:tabs>
        <w:ind w:left="3888" w:hanging="648"/>
      </w:pPr>
      <w:rPr>
        <w:rFonts w:hint="default"/>
      </w:rPr>
    </w:lvl>
    <w:lvl w:ilvl="4">
      <w:start w:val="1"/>
      <w:numFmt w:val="decimal"/>
      <w:lvlText w:val="%1.%2.%3.%4.%5."/>
      <w:lvlJc w:val="left"/>
      <w:pPr>
        <w:tabs>
          <w:tab w:val="num" w:pos="4392"/>
        </w:tabs>
        <w:ind w:left="4392" w:hanging="792"/>
      </w:pPr>
      <w:rPr>
        <w:rFonts w:hint="default"/>
      </w:rPr>
    </w:lvl>
    <w:lvl w:ilvl="5">
      <w:start w:val="1"/>
      <w:numFmt w:val="decimal"/>
      <w:lvlText w:val="%1.%2.%3.%4.%5.%6."/>
      <w:lvlJc w:val="left"/>
      <w:pPr>
        <w:tabs>
          <w:tab w:val="num" w:pos="4896"/>
        </w:tabs>
        <w:ind w:left="4896" w:hanging="936"/>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5904"/>
        </w:tabs>
        <w:ind w:left="5904" w:hanging="1224"/>
      </w:pPr>
      <w:rPr>
        <w:rFonts w:hint="default"/>
      </w:rPr>
    </w:lvl>
    <w:lvl w:ilvl="8">
      <w:start w:val="1"/>
      <w:numFmt w:val="decimal"/>
      <w:lvlText w:val="%1.%2.%3.%4.%5.%6.%7.%8.%9."/>
      <w:lvlJc w:val="left"/>
      <w:pPr>
        <w:tabs>
          <w:tab w:val="num" w:pos="6480"/>
        </w:tabs>
        <w:ind w:left="6480" w:hanging="1440"/>
      </w:pPr>
      <w:rPr>
        <w:rFonts w:hint="default"/>
      </w:rPr>
    </w:lvl>
  </w:abstractNum>
  <w:abstractNum w:abstractNumId="3" w15:restartNumberingAfterBreak="0">
    <w:nsid w:val="2AB52425"/>
    <w:multiLevelType w:val="multilevel"/>
    <w:tmpl w:val="80F84ACC"/>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9"/>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4" w15:restartNumberingAfterBreak="0">
    <w:nsid w:val="38747C36"/>
    <w:multiLevelType w:val="multilevel"/>
    <w:tmpl w:val="AA1A1A78"/>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5" w15:restartNumberingAfterBreak="0">
    <w:nsid w:val="41D24D71"/>
    <w:multiLevelType w:val="multilevel"/>
    <w:tmpl w:val="A594B9CC"/>
    <w:lvl w:ilvl="0">
      <w:start w:val="1"/>
      <w:numFmt w:val="decimal"/>
      <w:suff w:val="space"/>
      <w:lvlText w:val="%1. "/>
      <w:lvlJc w:val="left"/>
      <w:pPr>
        <w:ind w:left="360" w:firstLine="887"/>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481B73A8"/>
    <w:multiLevelType w:val="multilevel"/>
    <w:tmpl w:val="F90CCFD6"/>
    <w:lvl w:ilvl="0">
      <w:start w:val="1"/>
      <w:numFmt w:val="decimal"/>
      <w:suff w:val="space"/>
      <w:lvlText w:val="%1. "/>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48693A8D"/>
    <w:multiLevelType w:val="multilevel"/>
    <w:tmpl w:val="79CAB6DA"/>
    <w:lvl w:ilvl="0">
      <w:start w:val="1"/>
      <w:numFmt w:val="decimal"/>
      <w:suff w:val="space"/>
      <w:lvlText w:val="%1. "/>
      <w:lvlJc w:val="left"/>
      <w:pPr>
        <w:ind w:left="0" w:firstLine="885"/>
      </w:pPr>
      <w:rPr>
        <w:rFonts w:hint="default"/>
      </w:rPr>
    </w:lvl>
    <w:lvl w:ilvl="1">
      <w:start w:val="1"/>
      <w:numFmt w:val="decimal"/>
      <w:suff w:val="space"/>
      <w:lvlText w:val="%1.%2."/>
      <w:lvlJc w:val="left"/>
      <w:pPr>
        <w:ind w:left="0" w:firstLine="964"/>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8" w15:restartNumberingAfterBreak="0">
    <w:nsid w:val="4E8F0121"/>
    <w:multiLevelType w:val="multilevel"/>
    <w:tmpl w:val="05A85640"/>
    <w:lvl w:ilvl="0">
      <w:start w:val="1"/>
      <w:numFmt w:val="decimal"/>
      <w:pStyle w:val="Tekstasnumeruotas"/>
      <w:suff w:val="space"/>
      <w:lvlText w:val="%1. "/>
      <w:lvlJc w:val="left"/>
      <w:pPr>
        <w:ind w:left="0" w:firstLine="885"/>
      </w:pPr>
      <w:rPr>
        <w:rFonts w:hint="default"/>
      </w:rPr>
    </w:lvl>
    <w:lvl w:ilvl="1">
      <w:start w:val="1"/>
      <w:numFmt w:val="decimal"/>
      <w:suff w:val="space"/>
      <w:lvlText w:val="%1.%2."/>
      <w:lvlJc w:val="left"/>
      <w:pPr>
        <w:ind w:left="0" w:firstLine="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9" w15:restartNumberingAfterBreak="0">
    <w:nsid w:val="662C6A1A"/>
    <w:multiLevelType w:val="multilevel"/>
    <w:tmpl w:val="0E088DCA"/>
    <w:lvl w:ilvl="0">
      <w:start w:val="1"/>
      <w:numFmt w:val="decimal"/>
      <w:lvlText w:val="%1. "/>
      <w:lvlJc w:val="left"/>
      <w:pPr>
        <w:tabs>
          <w:tab w:val="num" w:pos="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8"/>
  </w:num>
  <w:num w:numId="3">
    <w:abstractNumId w:val="1"/>
  </w:num>
  <w:num w:numId="4">
    <w:abstractNumId w:val="9"/>
  </w:num>
  <w:num w:numId="5">
    <w:abstractNumId w:val="6"/>
  </w:num>
  <w:num w:numId="6">
    <w:abstractNumId w:val="5"/>
  </w:num>
  <w:num w:numId="7">
    <w:abstractNumId w:val="2"/>
  </w:num>
  <w:num w:numId="8">
    <w:abstractNumId w:val="3"/>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0"/>
  <w:displayHorizontalDrawingGridEvery w:val="0"/>
  <w:displayVerticalDrawingGridEvery w:val="0"/>
  <w:noPunctuationKerning/>
  <w:characterSpacingControl w:val="doNotCompress"/>
  <w:hdrShapeDefaults>
    <o:shapedefaults v:ext="edit" spidmax="6145"/>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2A"/>
    <w:rsid w:val="000010A7"/>
    <w:rsid w:val="00002DA9"/>
    <w:rsid w:val="00002F89"/>
    <w:rsid w:val="000126A3"/>
    <w:rsid w:val="000203F3"/>
    <w:rsid w:val="00022E3C"/>
    <w:rsid w:val="00033F22"/>
    <w:rsid w:val="000356BD"/>
    <w:rsid w:val="0004405D"/>
    <w:rsid w:val="00045F11"/>
    <w:rsid w:val="0006186E"/>
    <w:rsid w:val="00072919"/>
    <w:rsid w:val="00072C66"/>
    <w:rsid w:val="000756A8"/>
    <w:rsid w:val="00087719"/>
    <w:rsid w:val="00093791"/>
    <w:rsid w:val="00095F50"/>
    <w:rsid w:val="000A1195"/>
    <w:rsid w:val="000B0D10"/>
    <w:rsid w:val="000B1ECA"/>
    <w:rsid w:val="000B67D8"/>
    <w:rsid w:val="000B6A4F"/>
    <w:rsid w:val="000C1E2A"/>
    <w:rsid w:val="000D0B1C"/>
    <w:rsid w:val="000D3171"/>
    <w:rsid w:val="000E1CA0"/>
    <w:rsid w:val="000E34D4"/>
    <w:rsid w:val="000E6E4F"/>
    <w:rsid w:val="000E7556"/>
    <w:rsid w:val="000F75E7"/>
    <w:rsid w:val="00106269"/>
    <w:rsid w:val="00110A05"/>
    <w:rsid w:val="00116F7A"/>
    <w:rsid w:val="0011777C"/>
    <w:rsid w:val="00125299"/>
    <w:rsid w:val="001261BD"/>
    <w:rsid w:val="00131D34"/>
    <w:rsid w:val="00133358"/>
    <w:rsid w:val="00137EFF"/>
    <w:rsid w:val="00143DB4"/>
    <w:rsid w:val="00161498"/>
    <w:rsid w:val="00163C9F"/>
    <w:rsid w:val="00174959"/>
    <w:rsid w:val="00190B04"/>
    <w:rsid w:val="001923F2"/>
    <w:rsid w:val="00194508"/>
    <w:rsid w:val="001A2BEB"/>
    <w:rsid w:val="001B28DE"/>
    <w:rsid w:val="001C1840"/>
    <w:rsid w:val="001E0731"/>
    <w:rsid w:val="001E192A"/>
    <w:rsid w:val="001E213B"/>
    <w:rsid w:val="001E6F39"/>
    <w:rsid w:val="001F38A2"/>
    <w:rsid w:val="001F4940"/>
    <w:rsid w:val="00202850"/>
    <w:rsid w:val="002072FE"/>
    <w:rsid w:val="00216724"/>
    <w:rsid w:val="00224C7E"/>
    <w:rsid w:val="00225009"/>
    <w:rsid w:val="002308C0"/>
    <w:rsid w:val="00247655"/>
    <w:rsid w:val="00264A3F"/>
    <w:rsid w:val="00271BCA"/>
    <w:rsid w:val="0027526A"/>
    <w:rsid w:val="00282273"/>
    <w:rsid w:val="00286D04"/>
    <w:rsid w:val="002B0E0B"/>
    <w:rsid w:val="002C0406"/>
    <w:rsid w:val="002D24DA"/>
    <w:rsid w:val="002D2D91"/>
    <w:rsid w:val="002E6654"/>
    <w:rsid w:val="002F0924"/>
    <w:rsid w:val="002F357E"/>
    <w:rsid w:val="00302BE4"/>
    <w:rsid w:val="00305B6B"/>
    <w:rsid w:val="00306EFB"/>
    <w:rsid w:val="00314884"/>
    <w:rsid w:val="0031547F"/>
    <w:rsid w:val="00335E75"/>
    <w:rsid w:val="00345C41"/>
    <w:rsid w:val="00347AD3"/>
    <w:rsid w:val="00350171"/>
    <w:rsid w:val="0035263F"/>
    <w:rsid w:val="00357B11"/>
    <w:rsid w:val="00364E9F"/>
    <w:rsid w:val="00372AB2"/>
    <w:rsid w:val="00374572"/>
    <w:rsid w:val="00387031"/>
    <w:rsid w:val="00392BAA"/>
    <w:rsid w:val="003A0D57"/>
    <w:rsid w:val="003A26C2"/>
    <w:rsid w:val="003A3AE6"/>
    <w:rsid w:val="003A403B"/>
    <w:rsid w:val="003A6CAA"/>
    <w:rsid w:val="003B4803"/>
    <w:rsid w:val="003C1BC9"/>
    <w:rsid w:val="003C76FB"/>
    <w:rsid w:val="003E169A"/>
    <w:rsid w:val="003F0434"/>
    <w:rsid w:val="00422F55"/>
    <w:rsid w:val="004274EA"/>
    <w:rsid w:val="00432DE3"/>
    <w:rsid w:val="004400C5"/>
    <w:rsid w:val="00444D3C"/>
    <w:rsid w:val="00444E41"/>
    <w:rsid w:val="004473FF"/>
    <w:rsid w:val="00457ACA"/>
    <w:rsid w:val="00461864"/>
    <w:rsid w:val="00465F25"/>
    <w:rsid w:val="00466958"/>
    <w:rsid w:val="00477775"/>
    <w:rsid w:val="004864BF"/>
    <w:rsid w:val="00490C67"/>
    <w:rsid w:val="004C157C"/>
    <w:rsid w:val="004C371A"/>
    <w:rsid w:val="004D278D"/>
    <w:rsid w:val="004E0354"/>
    <w:rsid w:val="004E4C97"/>
    <w:rsid w:val="004E6F21"/>
    <w:rsid w:val="004F7E5E"/>
    <w:rsid w:val="0050325B"/>
    <w:rsid w:val="00503401"/>
    <w:rsid w:val="00510710"/>
    <w:rsid w:val="0051548F"/>
    <w:rsid w:val="005176C6"/>
    <w:rsid w:val="00526983"/>
    <w:rsid w:val="0053164B"/>
    <w:rsid w:val="00542398"/>
    <w:rsid w:val="005466B7"/>
    <w:rsid w:val="005468FA"/>
    <w:rsid w:val="00554EFD"/>
    <w:rsid w:val="0056798F"/>
    <w:rsid w:val="00582520"/>
    <w:rsid w:val="005934F7"/>
    <w:rsid w:val="005962A0"/>
    <w:rsid w:val="005A2039"/>
    <w:rsid w:val="005A32E3"/>
    <w:rsid w:val="005B22EF"/>
    <w:rsid w:val="005B71DB"/>
    <w:rsid w:val="005C4BFC"/>
    <w:rsid w:val="005C722B"/>
    <w:rsid w:val="005E7F01"/>
    <w:rsid w:val="005F277A"/>
    <w:rsid w:val="005F6849"/>
    <w:rsid w:val="005F70CA"/>
    <w:rsid w:val="005F7925"/>
    <w:rsid w:val="005F7FAC"/>
    <w:rsid w:val="006202AA"/>
    <w:rsid w:val="00631354"/>
    <w:rsid w:val="00632C30"/>
    <w:rsid w:val="006342AD"/>
    <w:rsid w:val="00651A9E"/>
    <w:rsid w:val="006618C1"/>
    <w:rsid w:val="00674F0A"/>
    <w:rsid w:val="00684044"/>
    <w:rsid w:val="00685024"/>
    <w:rsid w:val="00692B0B"/>
    <w:rsid w:val="006A0169"/>
    <w:rsid w:val="006A3AEE"/>
    <w:rsid w:val="006E2FF8"/>
    <w:rsid w:val="0070100A"/>
    <w:rsid w:val="007155A1"/>
    <w:rsid w:val="007172E2"/>
    <w:rsid w:val="0073323E"/>
    <w:rsid w:val="00735C7F"/>
    <w:rsid w:val="0074745C"/>
    <w:rsid w:val="00750408"/>
    <w:rsid w:val="00755247"/>
    <w:rsid w:val="0075689A"/>
    <w:rsid w:val="00763D05"/>
    <w:rsid w:val="007666B1"/>
    <w:rsid w:val="00775BDF"/>
    <w:rsid w:val="007B1F82"/>
    <w:rsid w:val="007B3C8C"/>
    <w:rsid w:val="007B4A13"/>
    <w:rsid w:val="007D0C7D"/>
    <w:rsid w:val="007D47A1"/>
    <w:rsid w:val="007F7B9B"/>
    <w:rsid w:val="008043AF"/>
    <w:rsid w:val="008309E8"/>
    <w:rsid w:val="00863B93"/>
    <w:rsid w:val="00864D57"/>
    <w:rsid w:val="00887952"/>
    <w:rsid w:val="008A39D6"/>
    <w:rsid w:val="008A51E1"/>
    <w:rsid w:val="008A5254"/>
    <w:rsid w:val="008B0A3C"/>
    <w:rsid w:val="008C162A"/>
    <w:rsid w:val="008D1820"/>
    <w:rsid w:val="008E0A6F"/>
    <w:rsid w:val="008F7087"/>
    <w:rsid w:val="0090164C"/>
    <w:rsid w:val="00921A20"/>
    <w:rsid w:val="0092609C"/>
    <w:rsid w:val="00934272"/>
    <w:rsid w:val="00935287"/>
    <w:rsid w:val="0096597D"/>
    <w:rsid w:val="00967916"/>
    <w:rsid w:val="00977F51"/>
    <w:rsid w:val="00985FA4"/>
    <w:rsid w:val="00992BA0"/>
    <w:rsid w:val="009A11A6"/>
    <w:rsid w:val="009B0944"/>
    <w:rsid w:val="009B4576"/>
    <w:rsid w:val="009C113C"/>
    <w:rsid w:val="009D5D3E"/>
    <w:rsid w:val="009D65E5"/>
    <w:rsid w:val="009E11EE"/>
    <w:rsid w:val="009E135C"/>
    <w:rsid w:val="00A16B38"/>
    <w:rsid w:val="00A17E41"/>
    <w:rsid w:val="00A36467"/>
    <w:rsid w:val="00A40CD2"/>
    <w:rsid w:val="00A43DDD"/>
    <w:rsid w:val="00A45A83"/>
    <w:rsid w:val="00A46FAC"/>
    <w:rsid w:val="00A500C7"/>
    <w:rsid w:val="00A5068D"/>
    <w:rsid w:val="00A51241"/>
    <w:rsid w:val="00A56C7B"/>
    <w:rsid w:val="00A94549"/>
    <w:rsid w:val="00A94E74"/>
    <w:rsid w:val="00AB7C0B"/>
    <w:rsid w:val="00AC27D6"/>
    <w:rsid w:val="00AC760F"/>
    <w:rsid w:val="00AD29A6"/>
    <w:rsid w:val="00AD37E3"/>
    <w:rsid w:val="00AD6E5B"/>
    <w:rsid w:val="00AD7850"/>
    <w:rsid w:val="00AE0614"/>
    <w:rsid w:val="00AE2C19"/>
    <w:rsid w:val="00AE3511"/>
    <w:rsid w:val="00AF0CF0"/>
    <w:rsid w:val="00B04982"/>
    <w:rsid w:val="00B069AC"/>
    <w:rsid w:val="00B10C9F"/>
    <w:rsid w:val="00B40D2F"/>
    <w:rsid w:val="00B54BE6"/>
    <w:rsid w:val="00B64EFA"/>
    <w:rsid w:val="00B700E3"/>
    <w:rsid w:val="00B7339D"/>
    <w:rsid w:val="00B942CE"/>
    <w:rsid w:val="00BA60D3"/>
    <w:rsid w:val="00BB1BC1"/>
    <w:rsid w:val="00BD01B6"/>
    <w:rsid w:val="00BD62CA"/>
    <w:rsid w:val="00BF4400"/>
    <w:rsid w:val="00BF4628"/>
    <w:rsid w:val="00C2360C"/>
    <w:rsid w:val="00C26D5D"/>
    <w:rsid w:val="00C43A57"/>
    <w:rsid w:val="00C509BB"/>
    <w:rsid w:val="00C52D99"/>
    <w:rsid w:val="00C843F3"/>
    <w:rsid w:val="00C8767A"/>
    <w:rsid w:val="00CB1D28"/>
    <w:rsid w:val="00CC081E"/>
    <w:rsid w:val="00CC742A"/>
    <w:rsid w:val="00CD3992"/>
    <w:rsid w:val="00CD660D"/>
    <w:rsid w:val="00D00BD9"/>
    <w:rsid w:val="00D07FE8"/>
    <w:rsid w:val="00D2173F"/>
    <w:rsid w:val="00D22358"/>
    <w:rsid w:val="00D22A39"/>
    <w:rsid w:val="00D278C0"/>
    <w:rsid w:val="00D519E9"/>
    <w:rsid w:val="00D553A0"/>
    <w:rsid w:val="00D636B1"/>
    <w:rsid w:val="00D6461F"/>
    <w:rsid w:val="00D85DE8"/>
    <w:rsid w:val="00D92BEE"/>
    <w:rsid w:val="00D9324E"/>
    <w:rsid w:val="00D9359B"/>
    <w:rsid w:val="00DA10E1"/>
    <w:rsid w:val="00DA16FD"/>
    <w:rsid w:val="00DA440A"/>
    <w:rsid w:val="00DD1F61"/>
    <w:rsid w:val="00DE7E7C"/>
    <w:rsid w:val="00E03B24"/>
    <w:rsid w:val="00E04931"/>
    <w:rsid w:val="00E203F0"/>
    <w:rsid w:val="00E214C4"/>
    <w:rsid w:val="00E2714C"/>
    <w:rsid w:val="00E32D88"/>
    <w:rsid w:val="00E35543"/>
    <w:rsid w:val="00E36636"/>
    <w:rsid w:val="00E36CF5"/>
    <w:rsid w:val="00E51147"/>
    <w:rsid w:val="00E51849"/>
    <w:rsid w:val="00E63465"/>
    <w:rsid w:val="00E75D83"/>
    <w:rsid w:val="00E76DED"/>
    <w:rsid w:val="00E81F28"/>
    <w:rsid w:val="00E843B1"/>
    <w:rsid w:val="00E95B09"/>
    <w:rsid w:val="00E96B50"/>
    <w:rsid w:val="00EA3009"/>
    <w:rsid w:val="00ED3AD1"/>
    <w:rsid w:val="00ED50E5"/>
    <w:rsid w:val="00ED681F"/>
    <w:rsid w:val="00ED73D6"/>
    <w:rsid w:val="00EE5859"/>
    <w:rsid w:val="00EF07A0"/>
    <w:rsid w:val="00EF5630"/>
    <w:rsid w:val="00EF5D92"/>
    <w:rsid w:val="00EF6E22"/>
    <w:rsid w:val="00F05FB4"/>
    <w:rsid w:val="00F443D5"/>
    <w:rsid w:val="00F6147E"/>
    <w:rsid w:val="00F62B9E"/>
    <w:rsid w:val="00F73A02"/>
    <w:rsid w:val="00F85A80"/>
    <w:rsid w:val="00F947AC"/>
    <w:rsid w:val="00FA67A3"/>
    <w:rsid w:val="00FB183B"/>
    <w:rsid w:val="00FB295F"/>
    <w:rsid w:val="00FB41D3"/>
    <w:rsid w:val="00FB5D01"/>
    <w:rsid w:val="00FC0237"/>
    <w:rsid w:val="00FC0E93"/>
    <w:rsid w:val="00FC55C3"/>
    <w:rsid w:val="00FC7C86"/>
    <w:rsid w:val="00FD2FDD"/>
    <w:rsid w:val="00FE2B69"/>
    <w:rsid w:val="00FF75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9F5135"/>
  <w15:docId w15:val="{89F913F1-02C0-4802-B625-DE84FD8AE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A2039"/>
    <w:pPr>
      <w:suppressAutoHyphens/>
    </w:pPr>
    <w:rPr>
      <w:sz w:val="24"/>
      <w:szCs w:val="24"/>
      <w:lang w:eastAsia="ar-SA"/>
    </w:rPr>
  </w:style>
  <w:style w:type="paragraph" w:styleId="Antrat1">
    <w:name w:val="heading 1"/>
    <w:basedOn w:val="prastasis"/>
    <w:next w:val="prastasis"/>
    <w:rsid w:val="005A2039"/>
    <w:pPr>
      <w:keepNext/>
      <w:numPr>
        <w:numId w:val="1"/>
      </w:numPr>
      <w:outlineLvl w:val="0"/>
    </w:pPr>
    <w:rPr>
      <w:b/>
      <w:bCs/>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1"/>
    <w:rsid w:val="005A2039"/>
  </w:style>
  <w:style w:type="character" w:customStyle="1" w:styleId="Numeravimosimboliai">
    <w:name w:val="Numeravimo simboliai"/>
    <w:rsid w:val="005A2039"/>
  </w:style>
  <w:style w:type="character" w:styleId="Hipersaitas">
    <w:name w:val="Hyperlink"/>
    <w:basedOn w:val="Numatytasispastraiposriftas1"/>
    <w:rsid w:val="005A2039"/>
    <w:rPr>
      <w:color w:val="0000FF"/>
      <w:u w:val="single"/>
    </w:rPr>
  </w:style>
  <w:style w:type="character" w:customStyle="1" w:styleId="Numatytasispastraiposriftas1">
    <w:name w:val="Numatytasis pastraipos šriftas1"/>
    <w:rsid w:val="005A2039"/>
  </w:style>
  <w:style w:type="paragraph" w:customStyle="1" w:styleId="Pavadinimas2">
    <w:name w:val="Pavadinimas2"/>
    <w:basedOn w:val="prastasis"/>
    <w:rsid w:val="005A2039"/>
    <w:pPr>
      <w:suppressLineNumbers/>
      <w:spacing w:before="120" w:after="120"/>
    </w:pPr>
    <w:rPr>
      <w:rFonts w:cs="Tahoma"/>
      <w:i/>
      <w:iCs/>
    </w:rPr>
  </w:style>
  <w:style w:type="paragraph" w:customStyle="1" w:styleId="Tekstas">
    <w:name w:val="Tekstas"/>
    <w:basedOn w:val="prastasis"/>
    <w:qFormat/>
    <w:rsid w:val="005A2039"/>
    <w:pPr>
      <w:spacing w:before="40" w:after="40"/>
      <w:ind w:right="40" w:firstLine="1247"/>
      <w:jc w:val="both"/>
    </w:pPr>
  </w:style>
  <w:style w:type="paragraph" w:customStyle="1" w:styleId="Antrat10">
    <w:name w:val="Antraštė1"/>
    <w:basedOn w:val="prastasis"/>
    <w:next w:val="Pagrindinistekstas"/>
    <w:rsid w:val="005A2039"/>
    <w:pPr>
      <w:keepNext/>
      <w:spacing w:after="119"/>
      <w:jc w:val="center"/>
    </w:pPr>
    <w:rPr>
      <w:rFonts w:eastAsia="MS Mincho" w:cs="Tahoma"/>
      <w:szCs w:val="28"/>
    </w:rPr>
  </w:style>
  <w:style w:type="paragraph" w:styleId="Pagrindinistekstas">
    <w:name w:val="Body Text"/>
    <w:basedOn w:val="prastasis"/>
    <w:rsid w:val="005A2039"/>
    <w:pPr>
      <w:spacing w:after="120"/>
    </w:pPr>
  </w:style>
  <w:style w:type="paragraph" w:styleId="Pavadinimas">
    <w:name w:val="Title"/>
    <w:basedOn w:val="Antrat10"/>
    <w:next w:val="Paantrat"/>
    <w:qFormat/>
    <w:rsid w:val="005A2039"/>
  </w:style>
  <w:style w:type="paragraph" w:styleId="Paantrat">
    <w:name w:val="Subtitle"/>
    <w:basedOn w:val="Antrat10"/>
    <w:next w:val="Pagrindinistekstas"/>
    <w:rsid w:val="005A2039"/>
    <w:rPr>
      <w:i/>
      <w:iCs/>
      <w:sz w:val="28"/>
    </w:rPr>
  </w:style>
  <w:style w:type="paragraph" w:styleId="Sraas">
    <w:name w:val="List"/>
    <w:basedOn w:val="Tekstas"/>
    <w:rsid w:val="005A2039"/>
    <w:rPr>
      <w:rFonts w:cs="Tahoma"/>
    </w:rPr>
  </w:style>
  <w:style w:type="paragraph" w:styleId="Porat">
    <w:name w:val="footer"/>
    <w:basedOn w:val="prastasis"/>
    <w:link w:val="PoratDiagrama"/>
    <w:rsid w:val="005A2039"/>
    <w:pPr>
      <w:tabs>
        <w:tab w:val="right" w:pos="8306"/>
      </w:tabs>
      <w:jc w:val="right"/>
    </w:pPr>
    <w:rPr>
      <w:sz w:val="16"/>
    </w:rPr>
  </w:style>
  <w:style w:type="paragraph" w:customStyle="1" w:styleId="Lentelsturinys">
    <w:name w:val="Lentelės turinys"/>
    <w:basedOn w:val="prastasis"/>
    <w:rsid w:val="005A2039"/>
    <w:pPr>
      <w:suppressLineNumbers/>
    </w:pPr>
  </w:style>
  <w:style w:type="paragraph" w:customStyle="1" w:styleId="Lentelsantrat">
    <w:name w:val="Lentelės antraštė"/>
    <w:basedOn w:val="Lentelsturinys"/>
    <w:rsid w:val="005A2039"/>
    <w:pPr>
      <w:jc w:val="center"/>
    </w:pPr>
    <w:rPr>
      <w:b/>
      <w:bCs/>
      <w:i/>
      <w:iCs/>
    </w:rPr>
  </w:style>
  <w:style w:type="paragraph" w:customStyle="1" w:styleId="Kadroturinys">
    <w:name w:val="Kadro turinys"/>
    <w:basedOn w:val="Tekstas"/>
    <w:rsid w:val="005A2039"/>
  </w:style>
  <w:style w:type="paragraph" w:customStyle="1" w:styleId="Rodykl">
    <w:name w:val="Rodyklė"/>
    <w:basedOn w:val="prastasis"/>
    <w:rsid w:val="005A2039"/>
    <w:pPr>
      <w:suppressLineNumbers/>
    </w:pPr>
    <w:rPr>
      <w:rFonts w:cs="Tahoma"/>
    </w:rPr>
  </w:style>
  <w:style w:type="paragraph" w:customStyle="1" w:styleId="Pavadinimas1">
    <w:name w:val="Pavadinimas1"/>
    <w:basedOn w:val="prastasis"/>
    <w:rsid w:val="005A2039"/>
    <w:pPr>
      <w:spacing w:before="40" w:after="40"/>
      <w:ind w:right="1959"/>
    </w:pPr>
    <w:rPr>
      <w:caps/>
    </w:rPr>
  </w:style>
  <w:style w:type="paragraph" w:customStyle="1" w:styleId="Adresas">
    <w:name w:val="Adresas"/>
    <w:basedOn w:val="prastasis"/>
    <w:qFormat/>
    <w:rsid w:val="005A2039"/>
    <w:pPr>
      <w:ind w:right="318"/>
    </w:pPr>
  </w:style>
  <w:style w:type="paragraph" w:customStyle="1" w:styleId="Kopija">
    <w:name w:val="Kopija"/>
    <w:basedOn w:val="Adresas"/>
    <w:rsid w:val="005A2039"/>
    <w:pPr>
      <w:ind w:right="3999"/>
    </w:pPr>
  </w:style>
  <w:style w:type="paragraph" w:customStyle="1" w:styleId="Institucija">
    <w:name w:val="Institucija"/>
    <w:basedOn w:val="Antrat10"/>
    <w:rsid w:val="005A2039"/>
    <w:rPr>
      <w:b/>
      <w:bCs/>
      <w:sz w:val="26"/>
    </w:rPr>
  </w:style>
  <w:style w:type="paragraph" w:styleId="Antrats">
    <w:name w:val="header"/>
    <w:basedOn w:val="prastasis"/>
    <w:rsid w:val="005A2039"/>
    <w:pPr>
      <w:suppressLineNumbers/>
      <w:tabs>
        <w:tab w:val="center" w:pos="-568"/>
        <w:tab w:val="right" w:pos="-1135"/>
      </w:tabs>
    </w:pPr>
  </w:style>
  <w:style w:type="paragraph" w:customStyle="1" w:styleId="Tekstasnumeruotas">
    <w:name w:val="Tekstas:numeruotas"/>
    <w:basedOn w:val="Tekstas"/>
    <w:qFormat/>
    <w:rsid w:val="003C76FB"/>
    <w:pPr>
      <w:numPr>
        <w:numId w:val="2"/>
      </w:numPr>
      <w:ind w:right="0" w:firstLine="1247"/>
    </w:pPr>
  </w:style>
  <w:style w:type="paragraph" w:customStyle="1" w:styleId="RATOPAVADINIMAS">
    <w:name w:val="RAŠTO PAVADINIMAS"/>
    <w:basedOn w:val="Pavadinimas1"/>
    <w:qFormat/>
    <w:rsid w:val="000E34D4"/>
    <w:rPr>
      <w:b/>
      <w:bCs/>
    </w:rPr>
  </w:style>
  <w:style w:type="character" w:customStyle="1" w:styleId="PoratDiagrama">
    <w:name w:val="Poraštė Diagrama"/>
    <w:basedOn w:val="Numatytasispastraiposriftas"/>
    <w:link w:val="Porat"/>
    <w:rsid w:val="00FE2B69"/>
    <w:rPr>
      <w:sz w:val="16"/>
      <w:szCs w:val="24"/>
      <w:lang w:eastAsia="ar-SA"/>
    </w:rPr>
  </w:style>
  <w:style w:type="paragraph" w:styleId="Debesliotekstas">
    <w:name w:val="Balloon Text"/>
    <w:basedOn w:val="prastasis"/>
    <w:link w:val="DebesliotekstasDiagrama"/>
    <w:rsid w:val="00110A05"/>
    <w:rPr>
      <w:rFonts w:ascii="Tahoma" w:hAnsi="Tahoma" w:cs="Tahoma"/>
      <w:sz w:val="16"/>
      <w:szCs w:val="16"/>
    </w:rPr>
  </w:style>
  <w:style w:type="character" w:customStyle="1" w:styleId="DebesliotekstasDiagrama">
    <w:name w:val="Debesėlio tekstas Diagrama"/>
    <w:basedOn w:val="Numatytasispastraiposriftas"/>
    <w:link w:val="Debesliotekstas"/>
    <w:rsid w:val="00110A05"/>
    <w:rPr>
      <w:rFonts w:ascii="Tahoma" w:hAnsi="Tahoma" w:cs="Tahoma"/>
      <w:sz w:val="16"/>
      <w:szCs w:val="16"/>
      <w:lang w:eastAsia="ar-SA"/>
    </w:rPr>
  </w:style>
  <w:style w:type="character" w:customStyle="1" w:styleId="UnresolvedMention">
    <w:name w:val="Unresolved Mention"/>
    <w:basedOn w:val="Numatytasispastraiposriftas"/>
    <w:uiPriority w:val="99"/>
    <w:semiHidden/>
    <w:unhideWhenUsed/>
    <w:rsid w:val="00D00BD9"/>
    <w:rPr>
      <w:color w:val="605E5C"/>
      <w:shd w:val="clear" w:color="auto" w:fill="E1DFDD"/>
    </w:rPr>
  </w:style>
  <w:style w:type="paragraph" w:customStyle="1" w:styleId="doc-ti">
    <w:name w:val="doc-ti"/>
    <w:basedOn w:val="prastasis"/>
    <w:rsid w:val="00C8767A"/>
    <w:pPr>
      <w:suppressAutoHyphens w:val="0"/>
      <w:spacing w:after="150"/>
    </w:pPr>
    <w:rPr>
      <w:lang w:eastAsia="lt-LT"/>
    </w:rPr>
  </w:style>
  <w:style w:type="character" w:customStyle="1" w:styleId="fontstyle01">
    <w:name w:val="fontstyle01"/>
    <w:basedOn w:val="Numatytasispastraiposriftas"/>
    <w:rsid w:val="00C8767A"/>
    <w:rPr>
      <w:rFonts w:ascii="TimesNewRomanPSMT" w:hAnsi="TimesNewRomanPSMT" w:hint="default"/>
      <w:b w:val="0"/>
      <w:bCs w:val="0"/>
      <w:i w:val="0"/>
      <w:iCs w:val="0"/>
      <w:color w:val="000000"/>
      <w:sz w:val="22"/>
      <w:szCs w:val="22"/>
    </w:rPr>
  </w:style>
  <w:style w:type="paragraph" w:styleId="Pagrindinistekstas3">
    <w:name w:val="Body Text 3"/>
    <w:basedOn w:val="prastasis"/>
    <w:link w:val="Pagrindinistekstas3Diagrama"/>
    <w:unhideWhenUsed/>
    <w:rsid w:val="00934272"/>
    <w:pPr>
      <w:spacing w:after="120"/>
    </w:pPr>
    <w:rPr>
      <w:sz w:val="16"/>
      <w:szCs w:val="16"/>
    </w:rPr>
  </w:style>
  <w:style w:type="character" w:customStyle="1" w:styleId="Pagrindinistekstas3Diagrama">
    <w:name w:val="Pagrindinis tekstas 3 Diagrama"/>
    <w:basedOn w:val="Numatytasispastraiposriftas"/>
    <w:link w:val="Pagrindinistekstas3"/>
    <w:rsid w:val="00934272"/>
    <w:rPr>
      <w:sz w:val="16"/>
      <w:szCs w:val="16"/>
      <w:lang w:eastAsia="ar-SA"/>
    </w:rPr>
  </w:style>
  <w:style w:type="character" w:styleId="Komentaronuoroda">
    <w:name w:val="annotation reference"/>
    <w:basedOn w:val="Numatytasispastraiposriftas"/>
    <w:semiHidden/>
    <w:unhideWhenUsed/>
    <w:rsid w:val="00750408"/>
    <w:rPr>
      <w:sz w:val="16"/>
      <w:szCs w:val="16"/>
    </w:rPr>
  </w:style>
  <w:style w:type="paragraph" w:styleId="Komentarotekstas">
    <w:name w:val="annotation text"/>
    <w:basedOn w:val="prastasis"/>
    <w:link w:val="KomentarotekstasDiagrama"/>
    <w:semiHidden/>
    <w:unhideWhenUsed/>
    <w:rsid w:val="00750408"/>
    <w:rPr>
      <w:sz w:val="20"/>
      <w:szCs w:val="20"/>
    </w:rPr>
  </w:style>
  <w:style w:type="character" w:customStyle="1" w:styleId="KomentarotekstasDiagrama">
    <w:name w:val="Komentaro tekstas Diagrama"/>
    <w:basedOn w:val="Numatytasispastraiposriftas"/>
    <w:link w:val="Komentarotekstas"/>
    <w:semiHidden/>
    <w:rsid w:val="00750408"/>
    <w:rPr>
      <w:lang w:eastAsia="ar-SA"/>
    </w:rPr>
  </w:style>
  <w:style w:type="paragraph" w:styleId="Komentarotema">
    <w:name w:val="annotation subject"/>
    <w:basedOn w:val="Komentarotekstas"/>
    <w:next w:val="Komentarotekstas"/>
    <w:link w:val="KomentarotemaDiagrama"/>
    <w:semiHidden/>
    <w:unhideWhenUsed/>
    <w:rsid w:val="00750408"/>
    <w:rPr>
      <w:b/>
      <w:bCs/>
    </w:rPr>
  </w:style>
  <w:style w:type="character" w:customStyle="1" w:styleId="KomentarotemaDiagrama">
    <w:name w:val="Komentaro tema Diagrama"/>
    <w:basedOn w:val="KomentarotekstasDiagrama"/>
    <w:link w:val="Komentarotema"/>
    <w:semiHidden/>
    <w:rsid w:val="00750408"/>
    <w:rPr>
      <w:b/>
      <w:bCs/>
      <w:lang w:eastAsia="ar-SA"/>
    </w:rPr>
  </w:style>
  <w:style w:type="paragraph" w:styleId="Puslapioinaostekstas">
    <w:name w:val="footnote text"/>
    <w:basedOn w:val="prastasis"/>
    <w:link w:val="PuslapioinaostekstasDiagrama"/>
    <w:uiPriority w:val="99"/>
    <w:semiHidden/>
    <w:unhideWhenUsed/>
    <w:rsid w:val="002308C0"/>
    <w:rPr>
      <w:sz w:val="20"/>
      <w:szCs w:val="20"/>
    </w:rPr>
  </w:style>
  <w:style w:type="character" w:customStyle="1" w:styleId="PuslapioinaostekstasDiagrama">
    <w:name w:val="Puslapio išnašos tekstas Diagrama"/>
    <w:basedOn w:val="Numatytasispastraiposriftas"/>
    <w:link w:val="Puslapioinaostekstas"/>
    <w:uiPriority w:val="99"/>
    <w:semiHidden/>
    <w:rsid w:val="002308C0"/>
    <w:rPr>
      <w:lang w:eastAsia="ar-SA"/>
    </w:rPr>
  </w:style>
  <w:style w:type="character" w:styleId="Puslapioinaosnuoroda">
    <w:name w:val="footnote reference"/>
    <w:basedOn w:val="Numatytasispastraiposriftas"/>
    <w:uiPriority w:val="99"/>
    <w:semiHidden/>
    <w:unhideWhenUsed/>
    <w:rsid w:val="002308C0"/>
    <w:rPr>
      <w:vertAlign w:val="superscript"/>
    </w:rPr>
  </w:style>
  <w:style w:type="paragraph" w:customStyle="1" w:styleId="tactin">
    <w:name w:val="tactin"/>
    <w:basedOn w:val="prastasis"/>
    <w:rsid w:val="00E36CF5"/>
    <w:pPr>
      <w:suppressAutoHyphens w:val="0"/>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73150">
      <w:bodyDiv w:val="1"/>
      <w:marLeft w:val="0"/>
      <w:marRight w:val="0"/>
      <w:marTop w:val="0"/>
      <w:marBottom w:val="0"/>
      <w:divBdr>
        <w:top w:val="none" w:sz="0" w:space="0" w:color="auto"/>
        <w:left w:val="none" w:sz="0" w:space="0" w:color="auto"/>
        <w:bottom w:val="none" w:sz="0" w:space="0" w:color="auto"/>
        <w:right w:val="none" w:sz="0" w:space="0" w:color="auto"/>
      </w:divBdr>
    </w:div>
    <w:div w:id="1383670418">
      <w:bodyDiv w:val="1"/>
      <w:marLeft w:val="0"/>
      <w:marRight w:val="0"/>
      <w:marTop w:val="0"/>
      <w:marBottom w:val="0"/>
      <w:divBdr>
        <w:top w:val="none" w:sz="0" w:space="0" w:color="auto"/>
        <w:left w:val="none" w:sz="0" w:space="0" w:color="auto"/>
        <w:bottom w:val="none" w:sz="0" w:space="0" w:color="auto"/>
        <w:right w:val="none" w:sz="0" w:space="0" w:color="auto"/>
      </w:divBdr>
    </w:div>
    <w:div w:id="1639608812">
      <w:bodyDiv w:val="1"/>
      <w:marLeft w:val="0"/>
      <w:marRight w:val="0"/>
      <w:marTop w:val="0"/>
      <w:marBottom w:val="0"/>
      <w:divBdr>
        <w:top w:val="none" w:sz="0" w:space="0" w:color="auto"/>
        <w:left w:val="none" w:sz="0" w:space="0" w:color="auto"/>
        <w:bottom w:val="none" w:sz="0" w:space="0" w:color="auto"/>
        <w:right w:val="none" w:sz="0" w:space="0" w:color="auto"/>
      </w:divBdr>
    </w:div>
    <w:div w:id="196831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macioniene@tm.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rastine@tm.lt" TargetMode="External"/><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60</rusiavimas>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6130A-55FC-44D4-AC18-4544DF19E93C}">
  <ds:schemaRef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7d48d0-422d-42ee-9c56-8fc8cd5675e3"/>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B3016BC-38B8-4BD6-9544-2D7FB018C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17d48d0-422d-42ee-9c56-8fc8cd5675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8F5E2F-AB9E-49AB-974D-45590B896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9049</Words>
  <Characters>5158</Characters>
  <Application>Microsoft Office Word</Application>
  <DocSecurity>0</DocSecurity>
  <Lines>42</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[Adresatas]</vt:lpstr>
      <vt:lpstr>[Adresatas]</vt:lpstr>
    </vt:vector>
  </TitlesOfParts>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2021-08-10 Nr. G-2021-8505</dc:title>
  <dc:creator>D.Glodenis</dc:creator>
  <cp:lastModifiedBy>KEIDŪNĖ Vilma</cp:lastModifiedBy>
  <cp:revision>3</cp:revision>
  <cp:lastPrinted>2020-01-13T12:15:00Z</cp:lastPrinted>
  <dcterms:created xsi:type="dcterms:W3CDTF">2021-08-12T09:35:00Z</dcterms:created>
  <dcterms:modified xsi:type="dcterms:W3CDTF">2021-09-01T12:19:00Z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