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Cs w:val="24"/>
        </w:rPr>
        <w:alias w:val="pagrindine"/>
        <w:tag w:val="part_46a0fb91daf64f5292e9262b495ae84e"/>
        <w:id w:val="1957282416"/>
        <w:lock w:val="sdtLocked"/>
      </w:sdtPr>
      <w:sdtEndPr/>
      <w:sdtContent>
        <w:p w:rsidR="005427A1" w:rsidRPr="00295AA1" w:rsidRDefault="005427A1" w:rsidP="00295AA1">
          <w:pPr>
            <w:tabs>
              <w:tab w:val="center" w:pos="4819"/>
              <w:tab w:val="right" w:pos="9638"/>
            </w:tabs>
            <w:spacing w:line="360" w:lineRule="auto"/>
            <w:rPr>
              <w:szCs w:val="24"/>
            </w:rPr>
          </w:pPr>
        </w:p>
        <w:p w:rsidR="005427A1" w:rsidRPr="00295AA1" w:rsidRDefault="00AC3DB9" w:rsidP="00295AA1">
          <w:pPr>
            <w:spacing w:line="360" w:lineRule="auto"/>
            <w:jc w:val="center"/>
            <w:rPr>
              <w:szCs w:val="24"/>
            </w:rPr>
          </w:pPr>
          <w:r w:rsidRPr="00295AA1">
            <w:rPr>
              <w:noProof/>
              <w:szCs w:val="24"/>
              <w:lang w:eastAsia="lt-LT"/>
            </w:rPr>
            <w:drawing>
              <wp:inline distT="0" distB="0" distL="0" distR="0" wp14:anchorId="1540DAA7" wp14:editId="7411083D">
                <wp:extent cx="523875" cy="6191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5427A1" w:rsidRPr="00295AA1" w:rsidRDefault="005427A1" w:rsidP="00295AA1">
          <w:pPr>
            <w:spacing w:line="360" w:lineRule="auto"/>
            <w:ind w:firstLine="851"/>
            <w:jc w:val="center"/>
            <w:rPr>
              <w:szCs w:val="24"/>
            </w:rPr>
          </w:pPr>
        </w:p>
        <w:p w:rsidR="005427A1" w:rsidRPr="00295AA1" w:rsidRDefault="00AC3DB9" w:rsidP="00295AA1">
          <w:pPr>
            <w:spacing w:line="360" w:lineRule="auto"/>
            <w:jc w:val="center"/>
            <w:rPr>
              <w:b/>
              <w:bCs/>
              <w:szCs w:val="24"/>
            </w:rPr>
          </w:pPr>
          <w:r w:rsidRPr="00295AA1">
            <w:rPr>
              <w:b/>
              <w:bCs/>
              <w:szCs w:val="24"/>
            </w:rPr>
            <w:t>LIETUVOS RESPUBLIKOS SEIMO</w:t>
          </w:r>
        </w:p>
        <w:p w:rsidR="005427A1" w:rsidRPr="00295AA1" w:rsidRDefault="00AC3DB9" w:rsidP="00295AA1">
          <w:pPr>
            <w:spacing w:line="360" w:lineRule="auto"/>
            <w:jc w:val="center"/>
            <w:rPr>
              <w:b/>
              <w:bCs/>
              <w:spacing w:val="4"/>
              <w:szCs w:val="24"/>
            </w:rPr>
          </w:pPr>
          <w:r w:rsidRPr="00295AA1">
            <w:rPr>
              <w:b/>
              <w:bCs/>
              <w:spacing w:val="4"/>
              <w:szCs w:val="24"/>
            </w:rPr>
            <w:t>PETICIJŲ KOMISIJA</w:t>
          </w:r>
        </w:p>
        <w:p w:rsidR="005427A1" w:rsidRPr="00295AA1" w:rsidRDefault="00AC3DB9" w:rsidP="00295AA1">
          <w:pPr>
            <w:spacing w:line="360" w:lineRule="auto"/>
            <w:jc w:val="center"/>
            <w:rPr>
              <w:rFonts w:eastAsia="Calibri"/>
              <w:b/>
              <w:szCs w:val="24"/>
            </w:rPr>
          </w:pPr>
          <w:r w:rsidRPr="00295AA1">
            <w:rPr>
              <w:rFonts w:eastAsia="Calibri"/>
              <w:b/>
              <w:szCs w:val="24"/>
            </w:rPr>
            <w:t>IŠVADA</w:t>
          </w:r>
        </w:p>
        <w:p w:rsidR="005427A1" w:rsidRPr="00295AA1" w:rsidRDefault="00AC3DB9" w:rsidP="00295AA1">
          <w:pPr>
            <w:spacing w:line="360" w:lineRule="auto"/>
            <w:jc w:val="center"/>
            <w:rPr>
              <w:rFonts w:eastAsia="Calibri"/>
              <w:b/>
              <w:szCs w:val="24"/>
            </w:rPr>
          </w:pPr>
          <w:r w:rsidRPr="00295AA1">
            <w:rPr>
              <w:rFonts w:eastAsia="Calibri"/>
              <w:b/>
              <w:szCs w:val="24"/>
            </w:rPr>
            <w:t>DĖL PETICIJOJE PATEIKTO SIŪLYMO NETENKINIMO</w:t>
          </w:r>
        </w:p>
        <w:p w:rsidR="005427A1" w:rsidRPr="00295AA1" w:rsidRDefault="00EB4FAD" w:rsidP="00295AA1">
          <w:pPr>
            <w:spacing w:line="360" w:lineRule="auto"/>
            <w:jc w:val="center"/>
            <w:rPr>
              <w:rFonts w:eastAsia="Calibri"/>
              <w:szCs w:val="24"/>
              <w:lang w:val="en-US"/>
            </w:rPr>
          </w:pPr>
          <w:r w:rsidRPr="00295AA1">
            <w:rPr>
              <w:rFonts w:eastAsia="Calibri"/>
              <w:szCs w:val="24"/>
            </w:rPr>
            <w:t>2</w:t>
          </w:r>
          <w:r w:rsidR="007C5124" w:rsidRPr="00295AA1">
            <w:rPr>
              <w:rFonts w:eastAsia="Calibri"/>
              <w:szCs w:val="24"/>
            </w:rPr>
            <w:t xml:space="preserve">025 m. balandžio </w:t>
          </w:r>
          <w:r w:rsidR="007C5124" w:rsidRPr="00295AA1">
            <w:rPr>
              <w:rFonts w:eastAsia="Calibri"/>
              <w:szCs w:val="24"/>
              <w:lang w:val="en-US"/>
            </w:rPr>
            <w:t>16</w:t>
          </w:r>
          <w:r w:rsidR="007C5124" w:rsidRPr="00295AA1">
            <w:rPr>
              <w:rFonts w:eastAsia="Calibri"/>
              <w:szCs w:val="24"/>
            </w:rPr>
            <w:t xml:space="preserve"> d. Nr. 250-I-7</w:t>
          </w:r>
        </w:p>
        <w:p w:rsidR="005427A1" w:rsidRPr="00295AA1" w:rsidRDefault="00AC3DB9" w:rsidP="00295AA1">
          <w:pPr>
            <w:spacing w:line="360" w:lineRule="auto"/>
            <w:jc w:val="center"/>
            <w:rPr>
              <w:rFonts w:eastAsia="Calibri"/>
              <w:szCs w:val="24"/>
            </w:rPr>
          </w:pPr>
          <w:r w:rsidRPr="00295AA1">
            <w:rPr>
              <w:rFonts w:eastAsia="Calibri"/>
              <w:szCs w:val="24"/>
            </w:rPr>
            <w:t>Vilnius</w:t>
          </w:r>
        </w:p>
        <w:p w:rsidR="005427A1" w:rsidRPr="00295AA1" w:rsidRDefault="005427A1" w:rsidP="00295AA1">
          <w:pPr>
            <w:spacing w:line="360" w:lineRule="auto"/>
            <w:jc w:val="center"/>
            <w:rPr>
              <w:rFonts w:eastAsia="Calibri"/>
              <w:szCs w:val="24"/>
            </w:rPr>
          </w:pPr>
        </w:p>
        <w:sdt>
          <w:sdtPr>
            <w:rPr>
              <w:szCs w:val="24"/>
            </w:rPr>
            <w:alias w:val="preambule"/>
            <w:tag w:val="part_4a1e2754778e450bbfed49196cc2268c"/>
            <w:id w:val="-236793222"/>
            <w:lock w:val="sdtLocked"/>
          </w:sdtPr>
          <w:sdtEndPr/>
          <w:sdtContent>
            <w:p w:rsidR="00696869" w:rsidRPr="00295AA1" w:rsidRDefault="00AC3DB9" w:rsidP="00295AA1">
              <w:pPr>
                <w:shd w:val="clear" w:color="auto" w:fill="FFFFFF"/>
                <w:spacing w:line="360" w:lineRule="auto"/>
                <w:ind w:firstLine="567"/>
                <w:jc w:val="both"/>
                <w:rPr>
                  <w:rFonts w:eastAsia="Calibri"/>
                  <w:szCs w:val="24"/>
                </w:rPr>
              </w:pPr>
              <w:r w:rsidRPr="00295AA1">
                <w:rPr>
                  <w:szCs w:val="24"/>
                </w:rPr>
                <w:t>Lietuvos Respublikos Seimo Pe</w:t>
              </w:r>
              <w:r w:rsidR="00FF75B2" w:rsidRPr="00295AA1">
                <w:rPr>
                  <w:szCs w:val="24"/>
                </w:rPr>
                <w:t xml:space="preserve">ticijų komisija </w:t>
              </w:r>
              <w:r w:rsidR="00C145A4" w:rsidRPr="00295AA1">
                <w:rPr>
                  <w:szCs w:val="24"/>
                </w:rPr>
                <w:t xml:space="preserve">(toliau – Komisija) </w:t>
              </w:r>
              <w:r w:rsidR="007C5124" w:rsidRPr="00295AA1">
                <w:rPr>
                  <w:szCs w:val="24"/>
                </w:rPr>
                <w:t xml:space="preserve">2025 m. balandžio </w:t>
              </w:r>
              <w:r w:rsidR="007C5124" w:rsidRPr="00295AA1">
                <w:rPr>
                  <w:szCs w:val="24"/>
                  <w:lang w:val="en-US"/>
                </w:rPr>
                <w:t>16</w:t>
              </w:r>
              <w:r w:rsidRPr="00295AA1">
                <w:rPr>
                  <w:szCs w:val="24"/>
                </w:rPr>
                <w:t xml:space="preserve"> d.</w:t>
              </w:r>
              <w:r w:rsidR="00916CF8" w:rsidRPr="00295AA1">
                <w:rPr>
                  <w:szCs w:val="24"/>
                </w:rPr>
                <w:t xml:space="preserve"> posėdyje išnagrinėjo pareiškėjo</w:t>
              </w:r>
              <w:r w:rsidRPr="00295AA1">
                <w:rPr>
                  <w:szCs w:val="24"/>
                </w:rPr>
                <w:t xml:space="preserve"> petic</w:t>
              </w:r>
              <w:r w:rsidR="00D92E3C" w:rsidRPr="00295AA1">
                <w:rPr>
                  <w:szCs w:val="24"/>
                </w:rPr>
                <w:t>iją, kurioje pateiktas siūlymas</w:t>
              </w:r>
              <w:r w:rsidR="00D92E3C" w:rsidRPr="00295AA1">
                <w:rPr>
                  <w:color w:val="1F4E79" w:themeColor="accent1" w:themeShade="80"/>
                  <w:szCs w:val="24"/>
                  <w:lang w:bidi="bn-IN"/>
                </w:rPr>
                <w:t xml:space="preserve"> </w:t>
              </w:r>
              <w:r w:rsidR="007C5124" w:rsidRPr="00295AA1">
                <w:rPr>
                  <w:szCs w:val="24"/>
                </w:rPr>
                <w:t xml:space="preserve">pakeisti </w:t>
              </w:r>
              <w:proofErr w:type="spellStart"/>
              <w:r w:rsidR="007C5124" w:rsidRPr="00295AA1">
                <w:rPr>
                  <w:szCs w:val="24"/>
                  <w:lang w:val="en"/>
                </w:rPr>
                <w:t>Lietuvos</w:t>
              </w:r>
              <w:proofErr w:type="spellEnd"/>
              <w:r w:rsidR="007C5124" w:rsidRPr="00295AA1">
                <w:rPr>
                  <w:szCs w:val="24"/>
                  <w:lang w:val="en"/>
                </w:rPr>
                <w:t xml:space="preserve"> </w:t>
              </w:r>
              <w:proofErr w:type="spellStart"/>
              <w:r w:rsidR="007C5124" w:rsidRPr="00295AA1">
                <w:rPr>
                  <w:szCs w:val="24"/>
                  <w:lang w:val="en"/>
                </w:rPr>
                <w:t>Respublikos</w:t>
              </w:r>
              <w:proofErr w:type="spellEnd"/>
              <w:r w:rsidR="007C5124" w:rsidRPr="00295AA1">
                <w:rPr>
                  <w:szCs w:val="24"/>
                  <w:lang w:val="en"/>
                </w:rPr>
                <w:t xml:space="preserve"> </w:t>
              </w:r>
              <w:proofErr w:type="spellStart"/>
              <w:r w:rsidR="007C5124" w:rsidRPr="00295AA1">
                <w:rPr>
                  <w:szCs w:val="24"/>
                  <w:lang w:val="en"/>
                </w:rPr>
                <w:t>saugaus</w:t>
              </w:r>
              <w:proofErr w:type="spellEnd"/>
              <w:r w:rsidR="007C5124" w:rsidRPr="00295AA1">
                <w:rPr>
                  <w:szCs w:val="24"/>
                  <w:lang w:val="en"/>
                </w:rPr>
                <w:t xml:space="preserve"> </w:t>
              </w:r>
              <w:proofErr w:type="spellStart"/>
              <w:r w:rsidR="007C5124" w:rsidRPr="00295AA1">
                <w:rPr>
                  <w:szCs w:val="24"/>
                  <w:lang w:val="en"/>
                </w:rPr>
                <w:t>eismo</w:t>
              </w:r>
              <w:proofErr w:type="spellEnd"/>
              <w:r w:rsidR="007C5124" w:rsidRPr="00295AA1">
                <w:rPr>
                  <w:szCs w:val="24"/>
                  <w:lang w:val="en"/>
                </w:rPr>
                <w:t xml:space="preserve"> </w:t>
              </w:r>
              <w:proofErr w:type="spellStart"/>
              <w:r w:rsidR="007C5124" w:rsidRPr="00295AA1">
                <w:rPr>
                  <w:szCs w:val="24"/>
                  <w:lang w:val="en"/>
                </w:rPr>
                <w:t>automobilių</w:t>
              </w:r>
              <w:proofErr w:type="spellEnd"/>
              <w:r w:rsidR="007C5124" w:rsidRPr="00295AA1">
                <w:rPr>
                  <w:szCs w:val="24"/>
                  <w:lang w:val="en"/>
                </w:rPr>
                <w:t xml:space="preserve"> </w:t>
              </w:r>
              <w:proofErr w:type="spellStart"/>
              <w:r w:rsidR="007C5124" w:rsidRPr="00295AA1">
                <w:rPr>
                  <w:szCs w:val="24"/>
                  <w:lang w:val="en"/>
                </w:rPr>
                <w:t>keliais</w:t>
              </w:r>
              <w:proofErr w:type="spellEnd"/>
              <w:r w:rsidR="007C5124" w:rsidRPr="00295AA1">
                <w:rPr>
                  <w:szCs w:val="24"/>
                  <w:lang w:val="en"/>
                </w:rPr>
                <w:t xml:space="preserve"> </w:t>
              </w:r>
              <w:proofErr w:type="spellStart"/>
              <w:r w:rsidR="007C5124" w:rsidRPr="00295AA1">
                <w:rPr>
                  <w:szCs w:val="24"/>
                  <w:lang w:val="en"/>
                </w:rPr>
                <w:t>įstatymo</w:t>
              </w:r>
              <w:proofErr w:type="spellEnd"/>
              <w:r w:rsidR="007C5124" w:rsidRPr="00295AA1">
                <w:rPr>
                  <w:szCs w:val="24"/>
                  <w:lang w:val="en"/>
                </w:rPr>
                <w:t xml:space="preserve"> </w:t>
              </w:r>
              <w:r w:rsidR="007C5124" w:rsidRPr="00295AA1">
                <w:rPr>
                  <w:szCs w:val="24"/>
                </w:rPr>
                <w:t xml:space="preserve">(toliau – Įstatymas) </w:t>
              </w:r>
              <w:r w:rsidR="007C5124" w:rsidRPr="00295AA1">
                <w:rPr>
                  <w:szCs w:val="24"/>
                  <w:lang w:val="en-US"/>
                </w:rPr>
                <w:t>17</w:t>
              </w:r>
              <w:r w:rsidR="007C5124" w:rsidRPr="00295AA1">
                <w:rPr>
                  <w:szCs w:val="24"/>
                  <w:vertAlign w:val="superscript"/>
                  <w:lang w:val="en-US"/>
                </w:rPr>
                <w:t xml:space="preserve">1 </w:t>
              </w:r>
              <w:r w:rsidR="007C5124" w:rsidRPr="00295AA1">
                <w:rPr>
                  <w:rFonts w:eastAsia="Calibri"/>
                  <w:szCs w:val="24"/>
                </w:rPr>
                <w:t xml:space="preserve">straipsnio 4 dalies 5 punktą, panaikinant elektrinių </w:t>
              </w:r>
              <w:proofErr w:type="spellStart"/>
              <w:r w:rsidR="007C5124" w:rsidRPr="00295AA1">
                <w:rPr>
                  <w:rFonts w:eastAsia="Calibri"/>
                  <w:szCs w:val="24"/>
                </w:rPr>
                <w:t>mikrojudumo</w:t>
              </w:r>
              <w:proofErr w:type="spellEnd"/>
              <w:r w:rsidR="007C5124" w:rsidRPr="00295AA1">
                <w:rPr>
                  <w:rFonts w:eastAsia="Calibri"/>
                  <w:szCs w:val="24"/>
                </w:rPr>
                <w:t xml:space="preserve"> priemonių vairuotojams nustatytą draudimą važiuoti per pėsčiųjų perėją </w:t>
              </w:r>
              <w:r w:rsidR="00945D27" w:rsidRPr="00295AA1">
                <w:rPr>
                  <w:rFonts w:eastAsia="Calibri"/>
                  <w:szCs w:val="24"/>
                </w:rPr>
                <w:t xml:space="preserve">ir priėmė sprendimą </w:t>
              </w:r>
              <w:r w:rsidR="00945D27" w:rsidRPr="00295AA1">
                <w:rPr>
                  <w:szCs w:val="24"/>
                </w:rPr>
                <w:t xml:space="preserve">teikti Seimui išvadą </w:t>
              </w:r>
              <w:r w:rsidR="00945D27" w:rsidRPr="00295AA1">
                <w:rPr>
                  <w:rFonts w:eastAsia="Calibri"/>
                  <w:szCs w:val="24"/>
                </w:rPr>
                <w:t>netenkinti šio siūlymo.</w:t>
              </w:r>
              <w:r w:rsidR="00D627CE" w:rsidRPr="00295AA1">
                <w:rPr>
                  <w:rFonts w:eastAsia="Calibri"/>
                  <w:szCs w:val="24"/>
                </w:rPr>
                <w:t xml:space="preserve"> </w:t>
              </w:r>
            </w:p>
            <w:p w:rsidR="00696869" w:rsidRPr="00295AA1" w:rsidRDefault="00C145A4" w:rsidP="00295AA1">
              <w:pPr>
                <w:shd w:val="clear" w:color="auto" w:fill="FFFFFF"/>
                <w:spacing w:line="360" w:lineRule="auto"/>
                <w:ind w:firstLine="567"/>
                <w:jc w:val="both"/>
                <w:rPr>
                  <w:rFonts w:eastAsia="Calibri"/>
                  <w:szCs w:val="24"/>
                </w:rPr>
              </w:pPr>
              <w:r w:rsidRPr="00295AA1">
                <w:rPr>
                  <w:szCs w:val="24"/>
                </w:rPr>
                <w:t>K</w:t>
              </w:r>
              <w:r w:rsidR="00FF75B2" w:rsidRPr="00295AA1">
                <w:rPr>
                  <w:szCs w:val="24"/>
                </w:rPr>
                <w:t>omisija</w:t>
              </w:r>
              <w:r w:rsidR="00F60FE9" w:rsidRPr="00295AA1">
                <w:rPr>
                  <w:rFonts w:eastAsia="Calibri"/>
                  <w:szCs w:val="24"/>
                </w:rPr>
                <w:t xml:space="preserve"> sprendimą priė</w:t>
              </w:r>
              <w:r w:rsidR="00FF75B2" w:rsidRPr="00295AA1">
                <w:rPr>
                  <w:rFonts w:eastAsia="Calibri"/>
                  <w:szCs w:val="24"/>
                </w:rPr>
                <w:t>mė</w:t>
              </w:r>
              <w:r w:rsidR="00945D27" w:rsidRPr="00295AA1">
                <w:rPr>
                  <w:rFonts w:eastAsia="Calibri"/>
                  <w:szCs w:val="24"/>
                </w:rPr>
                <w:t xml:space="preserve"> atsižvelgus</w:t>
              </w:r>
              <w:r w:rsidR="00FF75B2" w:rsidRPr="00295AA1">
                <w:rPr>
                  <w:rFonts w:eastAsia="Calibri"/>
                  <w:szCs w:val="24"/>
                </w:rPr>
                <w:t>i</w:t>
              </w:r>
              <w:r w:rsidR="00945D27" w:rsidRPr="00295AA1">
                <w:rPr>
                  <w:rFonts w:eastAsia="Calibri"/>
                  <w:szCs w:val="24"/>
                </w:rPr>
                <w:t xml:space="preserve"> į </w:t>
              </w:r>
              <w:r w:rsidR="007C5124" w:rsidRPr="00295AA1">
                <w:rPr>
                  <w:szCs w:val="24"/>
                </w:rPr>
                <w:t xml:space="preserve">Lietuvos Respublikos susisiekimo ministerijos, Lietuvos Respublikos vidaus reikalų ministerijos, Policijos departamento prie Lietuvos Respublikos vidaus reikalų ministerijos, Seimo Teisės departamento </w:t>
              </w:r>
              <w:r w:rsidR="007C5124" w:rsidRPr="00295AA1">
                <w:rPr>
                  <w:rFonts w:eastAsia="Calibri"/>
                  <w:szCs w:val="24"/>
                </w:rPr>
                <w:t>nuomonę svarstomu klausimu.</w:t>
              </w:r>
            </w:p>
            <w:p w:rsidR="00295AA1" w:rsidRPr="006B76EC" w:rsidRDefault="007C5124" w:rsidP="006B76EC">
              <w:pPr>
                <w:shd w:val="clear" w:color="auto" w:fill="FFFFFF"/>
                <w:spacing w:line="360" w:lineRule="auto"/>
                <w:ind w:firstLine="567"/>
                <w:jc w:val="both"/>
                <w:rPr>
                  <w:rFonts w:eastAsia="Calibri"/>
                  <w:strike/>
                  <w:szCs w:val="24"/>
                </w:rPr>
              </w:pPr>
              <w:r w:rsidRPr="00295AA1">
                <w:rPr>
                  <w:bCs/>
                  <w:szCs w:val="24"/>
                </w:rPr>
                <w:t xml:space="preserve">Įstatymo </w:t>
              </w:r>
              <w:r w:rsidRPr="00295AA1">
                <w:rPr>
                  <w:szCs w:val="24"/>
                </w:rPr>
                <w:t>17</w:t>
              </w:r>
              <w:r w:rsidRPr="00295AA1">
                <w:rPr>
                  <w:szCs w:val="24"/>
                  <w:vertAlign w:val="superscript"/>
                </w:rPr>
                <w:t>1</w:t>
              </w:r>
              <w:r w:rsidRPr="00295AA1">
                <w:rPr>
                  <w:szCs w:val="24"/>
                </w:rPr>
                <w:t xml:space="preserve"> straipsnio 4 dalies 5 punkte nustatyta, kad elektrinių </w:t>
              </w:r>
              <w:proofErr w:type="spellStart"/>
              <w:r w:rsidRPr="00295AA1">
                <w:rPr>
                  <w:szCs w:val="24"/>
                </w:rPr>
                <w:t>mikrojudumo</w:t>
              </w:r>
              <w:proofErr w:type="spellEnd"/>
              <w:r w:rsidRPr="00295AA1">
                <w:rPr>
                  <w:szCs w:val="24"/>
                </w:rPr>
                <w:t xml:space="preserve"> priemonių vairuotojams draudžiama važiuoti per pėsčiųjų perėjas.</w:t>
              </w:r>
              <w:r w:rsidRPr="00295AA1">
                <w:rPr>
                  <w:rFonts w:eastAsia="Calibri"/>
                  <w:szCs w:val="24"/>
                </w:rPr>
                <w:t xml:space="preserve"> </w:t>
              </w:r>
              <w:r w:rsidR="006B76EC">
                <w:rPr>
                  <w:rFonts w:eastAsia="Calibri"/>
                  <w:szCs w:val="24"/>
                </w:rPr>
                <w:t xml:space="preserve">Pabrėžtina, kad </w:t>
              </w:r>
              <w:r w:rsidR="006B76EC">
                <w:rPr>
                  <w:bCs/>
                  <w:szCs w:val="24"/>
                </w:rPr>
                <w:t>p</w:t>
              </w:r>
              <w:r w:rsidR="002C2282" w:rsidRPr="00295AA1">
                <w:rPr>
                  <w:bCs/>
                  <w:szCs w:val="24"/>
                </w:rPr>
                <w:t>ėsčiųjų perėja ypatingai jautri vieta eismo saugumo prasme, kadangi pėsčiųjų perėjos prieigose susikonce</w:t>
              </w:r>
              <w:r w:rsidR="007077A9">
                <w:rPr>
                  <w:bCs/>
                  <w:szCs w:val="24"/>
                </w:rPr>
                <w:t>ntr</w:t>
              </w:r>
              <w:r w:rsidR="002C2282" w:rsidRPr="00295AA1">
                <w:rPr>
                  <w:bCs/>
                  <w:szCs w:val="24"/>
                </w:rPr>
                <w:t xml:space="preserve">uoja didelis pėsčiųjų, dviračių, elektrinių </w:t>
              </w:r>
              <w:proofErr w:type="spellStart"/>
              <w:r w:rsidR="002C2282" w:rsidRPr="00295AA1">
                <w:rPr>
                  <w:bCs/>
                  <w:szCs w:val="24"/>
                </w:rPr>
                <w:t>mikrojudumo</w:t>
              </w:r>
              <w:proofErr w:type="spellEnd"/>
              <w:r w:rsidR="002C2282" w:rsidRPr="00295AA1">
                <w:rPr>
                  <w:bCs/>
                  <w:szCs w:val="24"/>
                </w:rPr>
                <w:t xml:space="preserve"> priemonių ir kitų transporto priemonių kiekis, todėl siekiant eismo saugumo tikslinga skirtingas eismo dalyvių grupes ir jų srautus atskirti. </w:t>
              </w:r>
              <w:bookmarkStart w:id="0" w:name="_Hlk42161776"/>
              <w:r w:rsidR="002C2282" w:rsidRPr="00295AA1">
                <w:rPr>
                  <w:szCs w:val="24"/>
                </w:rPr>
                <w:t xml:space="preserve">Pėsčiųjų perėjomis važiuojant dviratininkams, elektrinių </w:t>
              </w:r>
              <w:proofErr w:type="spellStart"/>
              <w:r w:rsidR="002C2282" w:rsidRPr="00295AA1">
                <w:rPr>
                  <w:szCs w:val="24"/>
                </w:rPr>
                <w:t>mikrojudumo</w:t>
              </w:r>
              <w:proofErr w:type="spellEnd"/>
              <w:r w:rsidR="002C2282" w:rsidRPr="00295AA1">
                <w:rPr>
                  <w:szCs w:val="24"/>
                </w:rPr>
                <w:t xml:space="preserve"> priemonių vairuotojams nėra užtikrinami pėsčiųjų </w:t>
              </w:r>
              <w:r w:rsidR="007077A9">
                <w:rPr>
                  <w:szCs w:val="24"/>
                </w:rPr>
                <w:t>(ypač senjorų, vaikų, asmenų su negalia</w:t>
              </w:r>
              <w:r w:rsidR="002C2282" w:rsidRPr="00295AA1">
                <w:rPr>
                  <w:szCs w:val="24"/>
                </w:rPr>
                <w:t xml:space="preserve"> ar pėsčiųjų su vaikiškais vežimėliais ir kt.) saugumo interesai, </w:t>
              </w:r>
              <w:bookmarkStart w:id="1" w:name="_Hlk42162483"/>
              <w:bookmarkEnd w:id="0"/>
              <w:r w:rsidR="002C2282" w:rsidRPr="00295AA1">
                <w:rPr>
                  <w:szCs w:val="24"/>
                </w:rPr>
                <w:t xml:space="preserve">nes pėstieji turi išsitekti sąlyginai nedideliame pėsčiųjų perėjos plote ir per ribotą laiką saugiai prasilenkti su greta važiuojančiomis dviratėmis ir kitomis transporto priemonėmis. </w:t>
              </w:r>
              <w:bookmarkEnd w:id="1"/>
            </w:p>
            <w:p w:rsidR="00295AA1" w:rsidRPr="006B76EC" w:rsidRDefault="00696869" w:rsidP="00295AA1">
              <w:pPr>
                <w:spacing w:line="360" w:lineRule="auto"/>
                <w:ind w:firstLine="709"/>
                <w:contextualSpacing/>
                <w:jc w:val="both"/>
                <w:rPr>
                  <w:szCs w:val="24"/>
                </w:rPr>
              </w:pPr>
              <w:r w:rsidRPr="00295AA1">
                <w:rPr>
                  <w:szCs w:val="24"/>
                </w:rPr>
                <w:t xml:space="preserve">Lietuvos Respublikos susisiekimo ministro </w:t>
              </w:r>
              <w:r w:rsidRPr="00295AA1">
                <w:rPr>
                  <w:bCs/>
                  <w:szCs w:val="24"/>
                </w:rPr>
                <w:t>2024 m. lapkričio 26 d. įsakymu Nr. 3-415 „Dėl dviračių ir pėsčiųjų eismo infrastruktūros planavimo ir projektavimo taisyklių patvirtinimo“ buvo patvirtintos Dviračių ir pėsčiųjų eismo infrastruktūros pl</w:t>
              </w:r>
              <w:r w:rsidR="007077A9">
                <w:rPr>
                  <w:bCs/>
                  <w:szCs w:val="24"/>
                </w:rPr>
                <w:t>anavimo ir projektavimo taisyklė</w:t>
              </w:r>
              <w:r w:rsidRPr="00295AA1">
                <w:rPr>
                  <w:bCs/>
                  <w:szCs w:val="24"/>
                </w:rPr>
                <w:t>s (toliau – Taisyklės)</w:t>
              </w:r>
              <w:r w:rsidR="0038681D">
                <w:rPr>
                  <w:bCs/>
                  <w:szCs w:val="24"/>
                </w:rPr>
                <w:t>, kurios</w:t>
              </w:r>
              <w:r w:rsidRPr="00295AA1">
                <w:rPr>
                  <w:bCs/>
                  <w:szCs w:val="24"/>
                </w:rPr>
                <w:t xml:space="preserve"> nustato </w:t>
              </w:r>
              <w:r w:rsidRPr="00295AA1">
                <w:rPr>
                  <w:szCs w:val="24"/>
                </w:rPr>
                <w:t xml:space="preserve">dviračių ir pėsčiųjų eismo infrastruktūros planavimo ir projektavimo reikalavimus </w:t>
              </w:r>
              <w:r w:rsidRPr="00295AA1">
                <w:rPr>
                  <w:szCs w:val="24"/>
                  <w:lang w:eastAsia="lt-LT"/>
                </w:rPr>
                <w:t xml:space="preserve">Lietuvos Respublikos teritorijoje. </w:t>
              </w:r>
              <w:r w:rsidRPr="00295AA1">
                <w:rPr>
                  <w:bCs/>
                  <w:szCs w:val="24"/>
                </w:rPr>
                <w:t xml:space="preserve">Taisyklės parengtos remiantis užsienio šalių gerąja </w:t>
              </w:r>
              <w:r w:rsidRPr="00295AA1">
                <w:rPr>
                  <w:bCs/>
                  <w:szCs w:val="24"/>
                </w:rPr>
                <w:lastRenderedPageBreak/>
                <w:t xml:space="preserve">praktika ir suderintos su Lietuvos dviratininkų bendrija, Vilniaus, Kauno, Klaipėdos savivaldybėmis bei Lietuvos savivaldybių asociacija ir kitomis suinteresuotomis institucijomis. </w:t>
              </w:r>
              <w:r w:rsidR="0038681D">
                <w:rPr>
                  <w:bCs/>
                  <w:szCs w:val="24"/>
                </w:rPr>
                <w:t>Pažymėtina, kad dviračių infrastruktūrą</w:t>
              </w:r>
              <w:r w:rsidRPr="00295AA1">
                <w:rPr>
                  <w:bCs/>
                  <w:szCs w:val="24"/>
                </w:rPr>
                <w:t xml:space="preserve"> rekomenduojama atskirti nuo pėsčiųjų infrastruktūros</w:t>
              </w:r>
              <w:r w:rsidR="00295AA1" w:rsidRPr="00295AA1">
                <w:rPr>
                  <w:bCs/>
                  <w:szCs w:val="24"/>
                </w:rPr>
                <w:t xml:space="preserve">, </w:t>
              </w:r>
              <w:proofErr w:type="spellStart"/>
              <w:r w:rsidR="00295AA1" w:rsidRPr="00295AA1">
                <w:rPr>
                  <w:bCs/>
                  <w:szCs w:val="24"/>
                </w:rPr>
                <w:t>t.y</w:t>
              </w:r>
              <w:proofErr w:type="spellEnd"/>
              <w:r w:rsidR="00295AA1" w:rsidRPr="00295AA1">
                <w:rPr>
                  <w:bCs/>
                  <w:szCs w:val="24"/>
                </w:rPr>
                <w:t xml:space="preserve">. </w:t>
              </w:r>
              <w:r w:rsidR="00295AA1" w:rsidRPr="00295AA1">
                <w:rPr>
                  <w:szCs w:val="24"/>
                </w:rPr>
                <w:t xml:space="preserve">dviračių vairuotojai turi būti apsaugoti nuo intensyvaus motorinių transporto priemonių eismo taikant fizinio atskyrimo priemones arba mažinant motorinių transporto priemonių greitį ir intensyvumą tuose keliuose ir gatvėse, kuriuose dviračių eismas organizuojamas važiuojamojoje dalyje; be to, dviratis yra transporto priemonė, todėl dviračių eismą </w:t>
              </w:r>
              <w:r w:rsidR="00295AA1" w:rsidRPr="006B76EC">
                <w:rPr>
                  <w:szCs w:val="24"/>
                </w:rPr>
                <w:t xml:space="preserve">rekomenduojama </w:t>
              </w:r>
              <w:r w:rsidR="00295AA1" w:rsidRPr="006B76EC">
                <w:rPr>
                  <w:bCs/>
                  <w:szCs w:val="24"/>
                </w:rPr>
                <w:t>fiziškai atskirti ir nuo pėsčiųjų eismo</w:t>
              </w:r>
              <w:r w:rsidR="00295AA1" w:rsidRPr="006B76EC">
                <w:rPr>
                  <w:szCs w:val="24"/>
                </w:rPr>
                <w:t xml:space="preserve"> (išskyrus atvejus, kai eismo dalyvių eismas gali vy</w:t>
              </w:r>
              <w:r w:rsidR="006B76EC" w:rsidRPr="006B76EC">
                <w:rPr>
                  <w:szCs w:val="24"/>
                </w:rPr>
                <w:t>kti bendrame sraute, kaip numatyta</w:t>
              </w:r>
              <w:r w:rsidR="00295AA1" w:rsidRPr="006B76EC">
                <w:rPr>
                  <w:szCs w:val="24"/>
                </w:rPr>
                <w:t xml:space="preserve"> </w:t>
              </w:r>
              <w:r w:rsidR="006D65A0" w:rsidRPr="006D65A0">
                <w:rPr>
                  <w:color w:val="000000"/>
                  <w:szCs w:val="24"/>
                  <w:lang w:eastAsia="lt-LT"/>
                </w:rPr>
                <w:t xml:space="preserve">Lietuvos Respublikos Vyriausybės </w:t>
              </w:r>
              <w:r w:rsidR="006D65A0" w:rsidRPr="006B76EC">
                <w:rPr>
                  <w:color w:val="000000"/>
                  <w:szCs w:val="24"/>
                  <w:lang w:eastAsia="lt-LT"/>
                </w:rPr>
                <w:t>2002 m. gruodžio 11 d. nutarim</w:t>
              </w:r>
              <w:r w:rsidR="006B76EC" w:rsidRPr="006B76EC">
                <w:rPr>
                  <w:color w:val="000000"/>
                  <w:szCs w:val="24"/>
                  <w:lang w:eastAsia="lt-LT"/>
                </w:rPr>
                <w:t>e</w:t>
              </w:r>
              <w:r w:rsidR="006D65A0" w:rsidRPr="006D65A0">
                <w:rPr>
                  <w:color w:val="000000"/>
                  <w:szCs w:val="24"/>
                  <w:lang w:eastAsia="lt-LT"/>
                </w:rPr>
                <w:t xml:space="preserve"> Nr. 1950 „Dėl Kelių eismo taisyklių patvirtinimo“ </w:t>
              </w:r>
              <w:r w:rsidR="006D65A0" w:rsidRPr="006B76EC">
                <w:rPr>
                  <w:color w:val="000000"/>
                  <w:szCs w:val="24"/>
                  <w:lang w:eastAsia="lt-LT"/>
                </w:rPr>
                <w:t>(</w:t>
              </w:r>
              <w:r w:rsidR="006D65A0" w:rsidRPr="006B76EC">
                <w:rPr>
                  <w:szCs w:val="24"/>
                </w:rPr>
                <w:t xml:space="preserve">toliau – </w:t>
              </w:r>
              <w:r w:rsidR="00295AA1" w:rsidRPr="006B76EC">
                <w:rPr>
                  <w:szCs w:val="24"/>
                </w:rPr>
                <w:t>Kelių eismo taisyklės</w:t>
              </w:r>
              <w:r w:rsidR="006D65A0" w:rsidRPr="006B76EC">
                <w:rPr>
                  <w:szCs w:val="24"/>
                </w:rPr>
                <w:t>)</w:t>
              </w:r>
              <w:r w:rsidR="00295AA1" w:rsidRPr="006B76EC">
                <w:rPr>
                  <w:szCs w:val="24"/>
                </w:rPr>
                <w:t>;</w:t>
              </w:r>
            </w:p>
            <w:p w:rsidR="006B76EC" w:rsidRDefault="00D45233" w:rsidP="00295AA1">
              <w:pPr>
                <w:spacing w:line="360" w:lineRule="auto"/>
                <w:ind w:firstLine="709"/>
                <w:contextualSpacing/>
                <w:jc w:val="both"/>
                <w:rPr>
                  <w:bCs/>
                  <w:szCs w:val="24"/>
                </w:rPr>
              </w:pPr>
              <w:r w:rsidRPr="00295AA1">
                <w:rPr>
                  <w:bCs/>
                  <w:szCs w:val="24"/>
                </w:rPr>
                <w:t xml:space="preserve">Pažymėtina, kad 1991 m. lapkričio 20 d. Lietuvos Respublika prisijungė prie Kelių eismo konvencijos, pasirašytos 1968 m. lapkričio 8 d. Vienoje (toliau – Kelių eismo konvencija), ir prie Kelio ženklų ir signalų konvencijos, pasirašytos 1968 m. lapkričio 8 d. Vienoje (toliau – Kelio ženklų ir signalų konvencija), bei įsipareigojo užtikrinti, kad nacionalinių teisės aktų </w:t>
              </w:r>
              <w:bookmarkStart w:id="2" w:name="_GoBack"/>
              <w:bookmarkEnd w:id="2"/>
              <w:r w:rsidRPr="00295AA1">
                <w:rPr>
                  <w:bCs/>
                  <w:szCs w:val="24"/>
                </w:rPr>
                <w:t xml:space="preserve"> nuostatos atitiktų abiejų konvencijų nuostatas.</w:t>
              </w:r>
              <w:r w:rsidR="006B76EC">
                <w:rPr>
                  <w:bCs/>
                  <w:szCs w:val="24"/>
                </w:rPr>
                <w:t xml:space="preserve"> Remiantis</w:t>
              </w:r>
              <w:r w:rsidRPr="00295AA1">
                <w:rPr>
                  <w:bCs/>
                  <w:szCs w:val="24"/>
                </w:rPr>
                <w:t xml:space="preserve"> Kelio ženklų</w:t>
              </w:r>
              <w:r w:rsidR="006B76EC">
                <w:rPr>
                  <w:bCs/>
                  <w:szCs w:val="24"/>
                </w:rPr>
                <w:t xml:space="preserve"> ir signalų konvencijos nuostatomis</w:t>
              </w:r>
              <w:r w:rsidRPr="00295AA1">
                <w:rPr>
                  <w:bCs/>
                  <w:szCs w:val="24"/>
                </w:rPr>
                <w:t xml:space="preserve"> galima daryti išvadą, kad pėsčiųjų perėja ir dviračių pervaža yra du skirtingi dalykai ir atskiri skirtingų eismo dalyvių grupių eismui organizuoti naudojami eismo organizavimo sprendimai. Nei Kelių eismo konvencija, nei Kelio ženklų ir signalų konvencija nenurodo, kad pėsčiųjų perėja gali būti naudojama dviračių eismui, skirtingai nuo kitų nuostatų, kuriose numatyta tam tikra laisvė valstybėms pasirinkti jiems pr</w:t>
              </w:r>
              <w:r w:rsidR="006B76EC">
                <w:rPr>
                  <w:bCs/>
                  <w:szCs w:val="24"/>
                </w:rPr>
                <w:t>iimtiną eismo organizavimo būdą.</w:t>
              </w:r>
              <w:r w:rsidRPr="00295AA1">
                <w:rPr>
                  <w:bCs/>
                  <w:szCs w:val="24"/>
                </w:rPr>
                <w:t xml:space="preserve"> </w:t>
              </w:r>
            </w:p>
            <w:p w:rsidR="00D45233" w:rsidRPr="00295AA1" w:rsidRDefault="006B76EC" w:rsidP="00295AA1">
              <w:pPr>
                <w:spacing w:line="360" w:lineRule="auto"/>
                <w:ind w:firstLine="709"/>
                <w:contextualSpacing/>
                <w:jc w:val="both"/>
                <w:rPr>
                  <w:bCs/>
                  <w:szCs w:val="24"/>
                </w:rPr>
              </w:pPr>
              <w:r>
                <w:rPr>
                  <w:bCs/>
                  <w:szCs w:val="24"/>
                </w:rPr>
                <w:t>Atkreiptinas dėmesys, kad</w:t>
              </w:r>
              <w:r w:rsidR="00D45233" w:rsidRPr="00295AA1">
                <w:rPr>
                  <w:bCs/>
                  <w:szCs w:val="24"/>
                </w:rPr>
                <w:t xml:space="preserve"> nacionalinių teisės aktų nuostatos, apibrėžiančios pėsčiųjų perėjos ir dviračių pervažos paskirtį iš esmės atitinka Kelių eismo konvencijos ir Kelio ženklų ir signalų konvencijos nuostatas dėl pėsčiųjų perėjų ir dviračių pervažų naudojimo. </w:t>
              </w:r>
            </w:p>
            <w:p w:rsidR="007C5124" w:rsidRPr="006B76EC" w:rsidRDefault="007C5124" w:rsidP="006B76EC">
              <w:pPr>
                <w:widowControl w:val="0"/>
                <w:shd w:val="clear" w:color="auto" w:fill="FFFFFF"/>
                <w:tabs>
                  <w:tab w:val="left" w:pos="709"/>
                </w:tabs>
                <w:spacing w:line="360" w:lineRule="auto"/>
                <w:jc w:val="both"/>
                <w:rPr>
                  <w:szCs w:val="24"/>
                  <w:lang w:eastAsia="lt-LT"/>
                </w:rPr>
              </w:pPr>
              <w:r w:rsidRPr="00295AA1">
                <w:rPr>
                  <w:rFonts w:eastAsia="Calibri"/>
                  <w:szCs w:val="24"/>
                </w:rPr>
                <w:tab/>
              </w:r>
              <w:r w:rsidR="00696869" w:rsidRPr="00295AA1">
                <w:rPr>
                  <w:rFonts w:eastAsia="Calibri"/>
                  <w:szCs w:val="24"/>
                </w:rPr>
                <w:t>Komisijos nuomone,</w:t>
              </w:r>
              <w:r w:rsidR="008961E7" w:rsidRPr="00295AA1">
                <w:rPr>
                  <w:rFonts w:eastAsia="Calibri"/>
                  <w:szCs w:val="24"/>
                </w:rPr>
                <w:t xml:space="preserve"> </w:t>
              </w:r>
              <w:r w:rsidRPr="00295AA1">
                <w:rPr>
                  <w:rFonts w:eastAsia="Calibri"/>
                  <w:szCs w:val="24"/>
                </w:rPr>
                <w:t>p</w:t>
              </w:r>
              <w:r w:rsidR="006B76EC">
                <w:rPr>
                  <w:rFonts w:eastAsia="Calibri"/>
                  <w:szCs w:val="24"/>
                </w:rPr>
                <w:t xml:space="preserve">eticijoje siūlomas pakeitimas </w:t>
              </w:r>
              <w:r w:rsidR="00D45233" w:rsidRPr="00295AA1">
                <w:rPr>
                  <w:rFonts w:eastAsia="Calibri"/>
                  <w:szCs w:val="24"/>
                </w:rPr>
                <w:t xml:space="preserve">pažeistų </w:t>
              </w:r>
              <w:r w:rsidRPr="00295AA1">
                <w:rPr>
                  <w:rFonts w:eastAsia="Calibri"/>
                  <w:szCs w:val="24"/>
                </w:rPr>
                <w:t>įvairių pėstiesi</w:t>
              </w:r>
              <w:r w:rsidR="008961E7" w:rsidRPr="00295AA1">
                <w:rPr>
                  <w:rFonts w:eastAsia="Calibri"/>
                  <w:szCs w:val="24"/>
                </w:rPr>
                <w:t>ems priskiriamų grupių interes</w:t>
              </w:r>
              <w:r w:rsidR="00D45233" w:rsidRPr="00295AA1">
                <w:rPr>
                  <w:rFonts w:eastAsia="Calibri"/>
                  <w:szCs w:val="24"/>
                </w:rPr>
                <w:t>as</w:t>
              </w:r>
              <w:r w:rsidRPr="00295AA1">
                <w:rPr>
                  <w:rFonts w:eastAsia="Calibri"/>
                  <w:szCs w:val="24"/>
                </w:rPr>
                <w:t xml:space="preserve">, </w:t>
              </w:r>
              <w:r w:rsidR="00D45233" w:rsidRPr="00295AA1">
                <w:rPr>
                  <w:rFonts w:eastAsia="Calibri"/>
                  <w:szCs w:val="24"/>
                </w:rPr>
                <w:t xml:space="preserve">pažeistų </w:t>
              </w:r>
              <w:r w:rsidRPr="00295AA1">
                <w:rPr>
                  <w:color w:val="000000"/>
                  <w:szCs w:val="24"/>
                  <w:shd w:val="clear" w:color="auto" w:fill="FFFFFF"/>
                  <w:lang w:eastAsia="lt-LT"/>
                </w:rPr>
                <w:t xml:space="preserve">Įstatymo 4 straipsnyje nustatytus eismo saugumo užtikrinimo principus, </w:t>
              </w:r>
              <w:r w:rsidR="00A330EE">
                <w:rPr>
                  <w:color w:val="000000"/>
                  <w:szCs w:val="24"/>
                  <w:shd w:val="clear" w:color="auto" w:fill="FFFFFF"/>
                  <w:lang w:eastAsia="lt-LT"/>
                </w:rPr>
                <w:t xml:space="preserve">nebūtų </w:t>
              </w:r>
              <w:r w:rsidR="00A330EE">
                <w:rPr>
                  <w:rFonts w:eastAsia="Calibri"/>
                  <w:szCs w:val="24"/>
                  <w:lang w:eastAsia="lt-LT"/>
                </w:rPr>
                <w:t>sudaromos saugios ir vienodo</w:t>
              </w:r>
              <w:r w:rsidRPr="00295AA1">
                <w:rPr>
                  <w:rFonts w:eastAsia="Calibri"/>
                  <w:szCs w:val="24"/>
                  <w:lang w:eastAsia="lt-LT"/>
                </w:rPr>
                <w:t>s visiems eismo d</w:t>
              </w:r>
              <w:r w:rsidR="00A330EE">
                <w:rPr>
                  <w:rFonts w:eastAsia="Calibri"/>
                  <w:szCs w:val="24"/>
                  <w:lang w:eastAsia="lt-LT"/>
                </w:rPr>
                <w:t>alyviams dalyvavimo eisme sąlygo</w:t>
              </w:r>
              <w:r w:rsidRPr="00295AA1">
                <w:rPr>
                  <w:rFonts w:eastAsia="Calibri"/>
                  <w:szCs w:val="24"/>
                  <w:lang w:eastAsia="lt-LT"/>
                </w:rPr>
                <w:t>s</w:t>
              </w:r>
              <w:r w:rsidR="006B76EC">
                <w:rPr>
                  <w:rFonts w:eastAsia="Calibri"/>
                  <w:szCs w:val="24"/>
                  <w:lang w:eastAsia="lt-LT"/>
                </w:rPr>
                <w:t>.</w:t>
              </w:r>
              <w:r w:rsidRPr="00295AA1">
                <w:rPr>
                  <w:rFonts w:eastAsia="Calibri"/>
                  <w:szCs w:val="24"/>
                  <w:lang w:eastAsia="lt-LT"/>
                </w:rPr>
                <w:t xml:space="preserve"> </w:t>
              </w:r>
            </w:p>
            <w:p w:rsidR="005427A1" w:rsidRPr="00295AA1" w:rsidRDefault="00F60FE9" w:rsidP="00295AA1">
              <w:pPr>
                <w:spacing w:line="360" w:lineRule="auto"/>
                <w:ind w:firstLine="709"/>
                <w:jc w:val="both"/>
                <w:rPr>
                  <w:szCs w:val="24"/>
                </w:rPr>
              </w:pPr>
              <w:r w:rsidRPr="00295AA1">
                <w:rPr>
                  <w:rFonts w:eastAsia="Calibri"/>
                  <w:szCs w:val="24"/>
                  <w:lang w:eastAsia="ar-SA"/>
                </w:rPr>
                <w:t>Vadovaujantis Lietuvos Respublikos peticijų konstitucinio įstatymo 18 straipsnio 4 dalies 2 punktu ir Lietuvos Respublikos Seimo Peticijų komisijos nuostatų, patvirtintų Seimo 2023 m. birželio 27 d. nutarimu Nr. XIV-2101 „Dėl Lietuvos Respublikos Seimo Peticijų komisijos nuostatų patvirtinimo“, 8.7 punktu, Seimo Peticijų komisijos išvada dėl pareiškėjo peticijoje pateikto siūlymo netenkinimo teikiama Seimui, taip p</w:t>
              </w:r>
              <w:r w:rsidR="0070031F" w:rsidRPr="00295AA1">
                <w:rPr>
                  <w:rFonts w:eastAsia="Calibri"/>
                  <w:szCs w:val="24"/>
                  <w:lang w:eastAsia="ar-SA"/>
                </w:rPr>
                <w:t xml:space="preserve">at siūloma įtraukti į Seimo </w:t>
              </w:r>
              <w:r w:rsidR="005D0813" w:rsidRPr="00295AA1">
                <w:rPr>
                  <w:rFonts w:eastAsia="Calibri"/>
                  <w:szCs w:val="24"/>
                  <w:lang w:eastAsia="ar-SA"/>
                </w:rPr>
                <w:t>II (pavasario</w:t>
              </w:r>
              <w:r w:rsidRPr="00295AA1">
                <w:rPr>
                  <w:rFonts w:eastAsia="Calibri"/>
                  <w:szCs w:val="24"/>
                  <w:lang w:eastAsia="ar-SA"/>
                </w:rPr>
                <w:t>) sesijos darbotvarkę Seimo nutarimo „Dėl Lietuvos Respublikos Seimo Peticijų komisijos 202</w:t>
              </w:r>
              <w:r w:rsidR="005D0813" w:rsidRPr="00295AA1">
                <w:rPr>
                  <w:rFonts w:eastAsia="Calibri"/>
                  <w:szCs w:val="24"/>
                  <w:lang w:val="en-US" w:eastAsia="ar-SA"/>
                </w:rPr>
                <w:t>5</w:t>
              </w:r>
              <w:r w:rsidR="00D45233" w:rsidRPr="00295AA1">
                <w:rPr>
                  <w:rFonts w:eastAsia="Calibri"/>
                  <w:szCs w:val="24"/>
                  <w:lang w:eastAsia="ar-SA"/>
                </w:rPr>
                <w:t xml:space="preserve"> m. balandžio </w:t>
              </w:r>
              <w:r w:rsidR="00D45233" w:rsidRPr="00295AA1">
                <w:rPr>
                  <w:rFonts w:eastAsia="Calibri"/>
                  <w:szCs w:val="24"/>
                  <w:lang w:val="en-US" w:eastAsia="ar-SA"/>
                </w:rPr>
                <w:t>16</w:t>
              </w:r>
              <w:r w:rsidRPr="00295AA1">
                <w:rPr>
                  <w:rFonts w:eastAsia="Calibri"/>
                  <w:szCs w:val="24"/>
                  <w:lang w:val="en-US" w:eastAsia="ar-SA"/>
                </w:rPr>
                <w:t xml:space="preserve"> </w:t>
              </w:r>
              <w:r w:rsidR="00D45233" w:rsidRPr="00295AA1">
                <w:rPr>
                  <w:rFonts w:eastAsia="Calibri"/>
                  <w:szCs w:val="24"/>
                  <w:lang w:eastAsia="ar-SA"/>
                </w:rPr>
                <w:t>d. išvados Nr. 250-I-7</w:t>
              </w:r>
              <w:r w:rsidRPr="00295AA1">
                <w:rPr>
                  <w:rFonts w:eastAsia="Calibri"/>
                  <w:szCs w:val="24"/>
                  <w:lang w:eastAsia="ar-SA"/>
                </w:rPr>
                <w:t>“ projektą.</w:t>
              </w:r>
            </w:p>
          </w:sdtContent>
        </w:sdt>
        <w:sdt>
          <w:sdtPr>
            <w:rPr>
              <w:szCs w:val="24"/>
            </w:rPr>
            <w:alias w:val="pastraipa"/>
            <w:tag w:val="part_61e79df1cae74e789a0ffd222907bcc1"/>
            <w:id w:val="149337873"/>
            <w:lock w:val="sdtLocked"/>
          </w:sdtPr>
          <w:sdtEndPr/>
          <w:sdtContent>
            <w:p w:rsidR="00F60FE9" w:rsidRPr="00295AA1" w:rsidRDefault="00F60FE9" w:rsidP="00295AA1">
              <w:pPr>
                <w:spacing w:line="360" w:lineRule="auto"/>
                <w:jc w:val="both"/>
                <w:rPr>
                  <w:rFonts w:eastAsia="Calibri"/>
                  <w:szCs w:val="24"/>
                  <w:lang w:eastAsia="ar-SA"/>
                </w:rPr>
              </w:pPr>
            </w:p>
            <w:p w:rsidR="005427A1" w:rsidRPr="00295AA1" w:rsidRDefault="00AC3DB9" w:rsidP="00295AA1">
              <w:pPr>
                <w:tabs>
                  <w:tab w:val="left" w:pos="1134"/>
                </w:tabs>
                <w:spacing w:line="360" w:lineRule="auto"/>
                <w:jc w:val="both"/>
                <w:rPr>
                  <w:rFonts w:eastAsia="Calibri"/>
                  <w:szCs w:val="24"/>
                  <w:lang w:eastAsia="ar-SA"/>
                </w:rPr>
              </w:pPr>
              <w:r w:rsidRPr="00295AA1">
                <w:rPr>
                  <w:rFonts w:eastAsia="Calibri"/>
                  <w:szCs w:val="24"/>
                  <w:lang w:eastAsia="ar-SA"/>
                </w:rPr>
                <w:t xml:space="preserve">Komisijos </w:t>
              </w:r>
              <w:r w:rsidR="005D0813" w:rsidRPr="00295AA1">
                <w:rPr>
                  <w:rFonts w:eastAsia="Calibri"/>
                  <w:szCs w:val="24"/>
                  <w:lang w:eastAsia="ar-SA"/>
                </w:rPr>
                <w:t>pirmininkas</w:t>
              </w:r>
              <w:r w:rsidR="005D0813" w:rsidRPr="00295AA1">
                <w:rPr>
                  <w:rFonts w:eastAsia="Calibri"/>
                  <w:szCs w:val="24"/>
                  <w:lang w:eastAsia="ar-SA"/>
                </w:rPr>
                <w:tab/>
              </w:r>
              <w:r w:rsidR="005D0813" w:rsidRPr="00295AA1">
                <w:rPr>
                  <w:rFonts w:eastAsia="Calibri"/>
                  <w:szCs w:val="24"/>
                  <w:lang w:eastAsia="ar-SA"/>
                </w:rPr>
                <w:tab/>
              </w:r>
              <w:r w:rsidR="005D0813" w:rsidRPr="00295AA1">
                <w:rPr>
                  <w:rFonts w:eastAsia="Calibri"/>
                  <w:szCs w:val="24"/>
                  <w:lang w:eastAsia="ar-SA"/>
                </w:rPr>
                <w:tab/>
              </w:r>
              <w:r w:rsidR="005D0813" w:rsidRPr="00295AA1">
                <w:rPr>
                  <w:rFonts w:eastAsia="Calibri"/>
                  <w:szCs w:val="24"/>
                  <w:lang w:eastAsia="ar-SA"/>
                </w:rPr>
                <w:tab/>
              </w:r>
              <w:r w:rsidR="005D0813" w:rsidRPr="00295AA1">
                <w:rPr>
                  <w:rFonts w:eastAsia="Calibri"/>
                  <w:szCs w:val="24"/>
                  <w:lang w:eastAsia="ar-SA"/>
                </w:rPr>
                <w:tab/>
              </w:r>
              <w:r w:rsidR="00D45233" w:rsidRPr="00295AA1">
                <w:rPr>
                  <w:rFonts w:eastAsia="Calibri"/>
                  <w:szCs w:val="24"/>
                  <w:lang w:eastAsia="ar-SA"/>
                </w:rPr>
                <w:t xml:space="preserve">       </w:t>
              </w:r>
              <w:r w:rsidR="005D0813" w:rsidRPr="00295AA1">
                <w:rPr>
                  <w:rFonts w:eastAsia="Calibri"/>
                  <w:szCs w:val="24"/>
                  <w:lang w:eastAsia="ar-SA"/>
                </w:rPr>
                <w:t xml:space="preserve">Tadas </w:t>
              </w:r>
              <w:proofErr w:type="spellStart"/>
              <w:r w:rsidR="005D0813" w:rsidRPr="00295AA1">
                <w:rPr>
                  <w:rFonts w:eastAsia="Calibri"/>
                  <w:szCs w:val="24"/>
                  <w:lang w:eastAsia="ar-SA"/>
                </w:rPr>
                <w:t>Prajara</w:t>
              </w:r>
              <w:proofErr w:type="spellEnd"/>
            </w:p>
          </w:sdtContent>
        </w:sdt>
      </w:sdtContent>
    </w:sdt>
    <w:sectPr w:rsidR="005427A1" w:rsidRPr="00295AA1">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7A1" w:rsidRDefault="00AC3DB9">
      <w:pPr>
        <w:rPr>
          <w:rFonts w:ascii="CG Times" w:hAnsi="CG Times"/>
          <w:sz w:val="20"/>
        </w:rPr>
      </w:pPr>
      <w:r>
        <w:rPr>
          <w:rFonts w:ascii="CG Times" w:hAnsi="CG Times"/>
          <w:sz w:val="20"/>
        </w:rPr>
        <w:separator/>
      </w:r>
    </w:p>
  </w:endnote>
  <w:endnote w:type="continuationSeparator" w:id="0">
    <w:p w:rsidR="005427A1" w:rsidRDefault="00AC3DB9">
      <w:pPr>
        <w:rPr>
          <w:rFonts w:ascii="CG Times" w:hAnsi="CG Times"/>
          <w:sz w:val="20"/>
        </w:rPr>
      </w:pPr>
      <w:r>
        <w:rPr>
          <w:rFonts w:ascii="CG Times" w:hAnsi="CG Times"/>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ndale Sans UI">
    <w:altName w:val="Calibri"/>
    <w:charset w:val="BA"/>
    <w:family w:val="swiss"/>
    <w:pitch w:val="variable"/>
  </w:font>
  <w:font w:name="Tahoma">
    <w:panose1 w:val="020B0604030504040204"/>
    <w:charset w:val="BA"/>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A1" w:rsidRDefault="005427A1">
    <w:pPr>
      <w:tabs>
        <w:tab w:val="center" w:pos="4819"/>
        <w:tab w:val="right" w:pos="9638"/>
      </w:tabs>
      <w:rPr>
        <w:rFonts w:ascii="CG Times" w:hAnsi="CG Times"/>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A1" w:rsidRDefault="005427A1">
    <w:pPr>
      <w:tabs>
        <w:tab w:val="center" w:pos="4819"/>
        <w:tab w:val="right" w:pos="9638"/>
      </w:tabs>
      <w:rPr>
        <w:rFonts w:ascii="CG Times" w:hAnsi="CG Times"/>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A1" w:rsidRDefault="005427A1">
    <w:pPr>
      <w:tabs>
        <w:tab w:val="center" w:pos="4819"/>
        <w:tab w:val="right" w:pos="9638"/>
      </w:tabs>
      <w:rPr>
        <w:rFonts w:ascii="CG Times" w:hAnsi="CG Time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7A1" w:rsidRDefault="00AC3DB9">
      <w:pPr>
        <w:rPr>
          <w:rFonts w:ascii="CG Times" w:hAnsi="CG Times"/>
          <w:sz w:val="20"/>
        </w:rPr>
      </w:pPr>
      <w:r>
        <w:rPr>
          <w:rFonts w:ascii="CG Times" w:hAnsi="CG Times"/>
          <w:sz w:val="20"/>
        </w:rPr>
        <w:separator/>
      </w:r>
    </w:p>
  </w:footnote>
  <w:footnote w:type="continuationSeparator" w:id="0">
    <w:p w:rsidR="005427A1" w:rsidRDefault="00AC3DB9">
      <w:pPr>
        <w:rPr>
          <w:rFonts w:ascii="CG Times" w:hAnsi="CG Times"/>
          <w:sz w:val="20"/>
        </w:rPr>
      </w:pPr>
      <w:r>
        <w:rPr>
          <w:rFonts w:ascii="CG Times" w:hAnsi="CG Times"/>
          <w:sz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A1" w:rsidRDefault="005427A1">
    <w:pPr>
      <w:tabs>
        <w:tab w:val="center" w:pos="4819"/>
        <w:tab w:val="right" w:pos="9638"/>
      </w:tabs>
      <w:rPr>
        <w:rFonts w:ascii="CG Times" w:hAnsi="CG Times"/>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A1" w:rsidRDefault="00AC3DB9">
    <w:pPr>
      <w:tabs>
        <w:tab w:val="center" w:pos="4819"/>
        <w:tab w:val="right" w:pos="9638"/>
      </w:tabs>
      <w:jc w:val="center"/>
      <w:rPr>
        <w:szCs w:val="24"/>
      </w:rPr>
    </w:pPr>
    <w:r>
      <w:rPr>
        <w:szCs w:val="24"/>
      </w:rPr>
      <w:fldChar w:fldCharType="begin"/>
    </w:r>
    <w:r>
      <w:rPr>
        <w:szCs w:val="24"/>
      </w:rPr>
      <w:instrText>PAGE   \* MERGEFORMAT</w:instrText>
    </w:r>
    <w:r>
      <w:rPr>
        <w:szCs w:val="24"/>
      </w:rPr>
      <w:fldChar w:fldCharType="separate"/>
    </w:r>
    <w:r w:rsidR="007077A9">
      <w:rPr>
        <w:noProof/>
        <w:szCs w:val="24"/>
      </w:rPr>
      <w:t>2</w:t>
    </w:r>
    <w:r>
      <w:rPr>
        <w:szCs w:val="24"/>
      </w:rPr>
      <w:fldChar w:fldCharType="end"/>
    </w:r>
  </w:p>
  <w:p w:rsidR="005427A1" w:rsidRDefault="005427A1">
    <w:pPr>
      <w:tabs>
        <w:tab w:val="center" w:pos="4819"/>
        <w:tab w:val="right" w:pos="9638"/>
      </w:tabs>
      <w:rPr>
        <w:rFonts w:ascii="CG Times" w:hAnsi="CG Times"/>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A1" w:rsidRDefault="005427A1">
    <w:pPr>
      <w:tabs>
        <w:tab w:val="center" w:pos="4819"/>
        <w:tab w:val="right" w:pos="9638"/>
      </w:tabs>
      <w:rPr>
        <w:rFonts w:ascii="CG Times" w:hAnsi="CG Times"/>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4F0"/>
    <w:rsid w:val="000C730C"/>
    <w:rsid w:val="001136B4"/>
    <w:rsid w:val="00121904"/>
    <w:rsid w:val="00125A79"/>
    <w:rsid w:val="0013463E"/>
    <w:rsid w:val="00194795"/>
    <w:rsid w:val="00245A5E"/>
    <w:rsid w:val="00294884"/>
    <w:rsid w:val="00295AA1"/>
    <w:rsid w:val="002C2282"/>
    <w:rsid w:val="002F53CF"/>
    <w:rsid w:val="002F7036"/>
    <w:rsid w:val="003158B9"/>
    <w:rsid w:val="003364F0"/>
    <w:rsid w:val="0038681D"/>
    <w:rsid w:val="004C29E9"/>
    <w:rsid w:val="004E00ED"/>
    <w:rsid w:val="004E5D57"/>
    <w:rsid w:val="005427A1"/>
    <w:rsid w:val="00590DC6"/>
    <w:rsid w:val="00593097"/>
    <w:rsid w:val="005A0810"/>
    <w:rsid w:val="005D0813"/>
    <w:rsid w:val="00625B47"/>
    <w:rsid w:val="00643484"/>
    <w:rsid w:val="00696869"/>
    <w:rsid w:val="006A4651"/>
    <w:rsid w:val="006B76EC"/>
    <w:rsid w:val="006D65A0"/>
    <w:rsid w:val="006E593C"/>
    <w:rsid w:val="006F6DD9"/>
    <w:rsid w:val="0070031F"/>
    <w:rsid w:val="007077A9"/>
    <w:rsid w:val="00713644"/>
    <w:rsid w:val="00765218"/>
    <w:rsid w:val="007A014D"/>
    <w:rsid w:val="007C5124"/>
    <w:rsid w:val="007D2F42"/>
    <w:rsid w:val="00804FD1"/>
    <w:rsid w:val="0080743B"/>
    <w:rsid w:val="00823BFD"/>
    <w:rsid w:val="00834AA6"/>
    <w:rsid w:val="008709C3"/>
    <w:rsid w:val="008961E7"/>
    <w:rsid w:val="008C5B32"/>
    <w:rsid w:val="008D131C"/>
    <w:rsid w:val="008D1A94"/>
    <w:rsid w:val="008F1AA2"/>
    <w:rsid w:val="008F7A02"/>
    <w:rsid w:val="0091178E"/>
    <w:rsid w:val="00913CCE"/>
    <w:rsid w:val="00916CF8"/>
    <w:rsid w:val="00945D27"/>
    <w:rsid w:val="009E612F"/>
    <w:rsid w:val="00A330EE"/>
    <w:rsid w:val="00AC3DB9"/>
    <w:rsid w:val="00AE7509"/>
    <w:rsid w:val="00B80D4B"/>
    <w:rsid w:val="00BF2352"/>
    <w:rsid w:val="00BF5B1D"/>
    <w:rsid w:val="00C145A4"/>
    <w:rsid w:val="00C238C5"/>
    <w:rsid w:val="00C44D30"/>
    <w:rsid w:val="00C5060C"/>
    <w:rsid w:val="00C5458D"/>
    <w:rsid w:val="00C72C80"/>
    <w:rsid w:val="00C91424"/>
    <w:rsid w:val="00D4413C"/>
    <w:rsid w:val="00D45233"/>
    <w:rsid w:val="00D47EE6"/>
    <w:rsid w:val="00D627CE"/>
    <w:rsid w:val="00D92E3C"/>
    <w:rsid w:val="00DA51E1"/>
    <w:rsid w:val="00E560F5"/>
    <w:rsid w:val="00EB4FAD"/>
    <w:rsid w:val="00F60FE9"/>
    <w:rsid w:val="00F901F4"/>
    <w:rsid w:val="00FA0059"/>
    <w:rsid w:val="00FC7E67"/>
    <w:rsid w:val="00FD61F4"/>
    <w:rsid w:val="00FF75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562C7"/>
  <w15:chartTrackingRefBased/>
  <w15:docId w15:val="{41A0FEC3-8DAE-4169-9786-01E50267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3">
    <w:name w:val="heading 3"/>
    <w:basedOn w:val="prastasis"/>
    <w:link w:val="Antrat3Diagrama"/>
    <w:uiPriority w:val="9"/>
    <w:qFormat/>
    <w:rsid w:val="006D65A0"/>
    <w:pPr>
      <w:spacing w:before="100" w:beforeAutospacing="1" w:after="100" w:afterAutospacing="1"/>
      <w:outlineLvl w:val="2"/>
    </w:pPr>
    <w:rPr>
      <w:b/>
      <w:bCs/>
      <w:sz w:val="27"/>
      <w:szCs w:val="27"/>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C72C8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72C80"/>
    <w:rPr>
      <w:rFonts w:ascii="Segoe UI" w:hAnsi="Segoe UI" w:cs="Segoe UI"/>
      <w:sz w:val="18"/>
      <w:szCs w:val="18"/>
    </w:rPr>
  </w:style>
  <w:style w:type="character" w:customStyle="1" w:styleId="normaltextrun">
    <w:name w:val="normaltextrun"/>
    <w:basedOn w:val="Numatytasispastraiposriftas"/>
    <w:rsid w:val="006A4651"/>
  </w:style>
  <w:style w:type="paragraph" w:styleId="Puslapioinaostekstas">
    <w:name w:val="footnote text"/>
    <w:aliases w:val="Footnote Text Char1,Footnote Text Char Char,Footnote text,Footnote Text1,Char Char,Footnote Text2,Footnote Text11,ALTS FOOTNOTE11,Footnote Text Char111,Footnote Text Char Char Char11,Footnote Text Char1 Char Char Char Char11"/>
    <w:basedOn w:val="prastasis"/>
    <w:link w:val="PuslapioinaostekstasDiagrama"/>
    <w:qFormat/>
    <w:rsid w:val="00C145A4"/>
    <w:rPr>
      <w:rFonts w:ascii="Calibri" w:eastAsia="Calibri" w:hAnsi="Calibri" w:cs="Calibri"/>
      <w:sz w:val="20"/>
      <w:lang w:eastAsia="lt-LT"/>
    </w:rPr>
  </w:style>
  <w:style w:type="character" w:customStyle="1" w:styleId="PuslapioinaostekstasDiagrama">
    <w:name w:val="Puslapio išnašos tekstas Diagrama"/>
    <w:aliases w:val="Footnote Text Char1 Diagrama,Footnote Text Char Char Diagrama,Footnote text Diagrama,Footnote Text1 Diagrama,Char Char Diagrama,Footnote Text2 Diagrama,Footnote Text11 Diagrama,ALTS FOOTNOTE11 Diagrama"/>
    <w:basedOn w:val="Numatytasispastraiposriftas"/>
    <w:link w:val="Puslapioinaostekstas"/>
    <w:qFormat/>
    <w:rsid w:val="00C145A4"/>
    <w:rPr>
      <w:rFonts w:ascii="Calibri" w:eastAsia="Calibri" w:hAnsi="Calibri" w:cs="Calibri"/>
      <w:sz w:val="20"/>
      <w:lang w:eastAsia="lt-LT"/>
    </w:rPr>
  </w:style>
  <w:style w:type="character" w:styleId="Puslapioinaosnuoroda">
    <w:name w:val="footnote reference"/>
    <w:aliases w:val="16 Point,Superscript 6 Point,Footnote Reference Number,Footnote Reference_LVL6,Footnote Reference_LVL61,Footnote Reference_LVL62,Footnote Reference_LVL63,Footnote Reference_LVL64,Footnote call,BVI fnr,Footnote symbol,Footnote"/>
    <w:uiPriority w:val="99"/>
    <w:rsid w:val="00C145A4"/>
    <w:rPr>
      <w:vertAlign w:val="superscript"/>
    </w:rPr>
  </w:style>
  <w:style w:type="paragraph" w:customStyle="1" w:styleId="Default">
    <w:name w:val="Default"/>
    <w:rsid w:val="00C145A4"/>
    <w:pPr>
      <w:autoSpaceDE w:val="0"/>
      <w:autoSpaceDN w:val="0"/>
      <w:adjustRightInd w:val="0"/>
    </w:pPr>
    <w:rPr>
      <w:color w:val="000000"/>
      <w:szCs w:val="24"/>
      <w:lang w:eastAsia="lt-LT"/>
    </w:rPr>
  </w:style>
  <w:style w:type="character" w:styleId="Hipersaitas">
    <w:name w:val="Hyperlink"/>
    <w:rsid w:val="00D92E3C"/>
    <w:rPr>
      <w:color w:val="000080"/>
      <w:u w:val="single"/>
    </w:rPr>
  </w:style>
  <w:style w:type="paragraph" w:styleId="Pagrindinistekstas">
    <w:name w:val="Body Text"/>
    <w:basedOn w:val="prastasis"/>
    <w:link w:val="PagrindinistekstasDiagrama"/>
    <w:rsid w:val="00D92E3C"/>
    <w:pPr>
      <w:ind w:firstLine="567"/>
      <w:jc w:val="both"/>
    </w:pPr>
    <w:rPr>
      <w:rFonts w:eastAsia="Andale Sans UI" w:cs="Tahoma"/>
      <w:szCs w:val="24"/>
      <w:lang w:bidi="en-US"/>
    </w:rPr>
  </w:style>
  <w:style w:type="character" w:customStyle="1" w:styleId="PagrindinistekstasDiagrama">
    <w:name w:val="Pagrindinis tekstas Diagrama"/>
    <w:basedOn w:val="Numatytasispastraiposriftas"/>
    <w:link w:val="Pagrindinistekstas"/>
    <w:rsid w:val="00D92E3C"/>
    <w:rPr>
      <w:rFonts w:eastAsia="Andale Sans UI" w:cs="Tahoma"/>
      <w:szCs w:val="24"/>
      <w:lang w:bidi="en-US"/>
    </w:rPr>
  </w:style>
  <w:style w:type="paragraph" w:styleId="Komentarotekstas">
    <w:name w:val="annotation text"/>
    <w:basedOn w:val="prastasis"/>
    <w:link w:val="KomentarotekstasDiagrama"/>
    <w:unhideWhenUsed/>
    <w:rsid w:val="00D92E3C"/>
    <w:pPr>
      <w:jc w:val="both"/>
    </w:pPr>
    <w:rPr>
      <w:rFonts w:eastAsia="Andale Sans UI" w:cs="Tahoma"/>
      <w:sz w:val="20"/>
      <w:lang w:bidi="en-US"/>
    </w:rPr>
  </w:style>
  <w:style w:type="character" w:customStyle="1" w:styleId="KomentarotekstasDiagrama">
    <w:name w:val="Komentaro tekstas Diagrama"/>
    <w:basedOn w:val="Numatytasispastraiposriftas"/>
    <w:link w:val="Komentarotekstas"/>
    <w:rsid w:val="00D92E3C"/>
    <w:rPr>
      <w:rFonts w:eastAsia="Andale Sans UI" w:cs="Tahoma"/>
      <w:sz w:val="20"/>
      <w:lang w:bidi="en-US"/>
    </w:rPr>
  </w:style>
  <w:style w:type="character" w:customStyle="1" w:styleId="normal-h">
    <w:name w:val="normal-h"/>
    <w:basedOn w:val="Numatytasispastraiposriftas"/>
    <w:rsid w:val="00D92E3C"/>
  </w:style>
  <w:style w:type="character" w:customStyle="1" w:styleId="contentpasted1">
    <w:name w:val="contentpasted1"/>
    <w:basedOn w:val="Numatytasispastraiposriftas"/>
    <w:rsid w:val="00D92E3C"/>
  </w:style>
  <w:style w:type="paragraph" w:styleId="Antrats">
    <w:name w:val="header"/>
    <w:aliases w:val="Char Diagrama Diagrama,Char,Diagrama Diagrama Diagrama, Char,En-tête-1,En-tête-2,hd,Header 2,Char2,Char3,Char Char Char Char,Char Char Char1,Char Char1,Diagrama"/>
    <w:basedOn w:val="prastasis"/>
    <w:link w:val="AntratsDiagrama"/>
    <w:rsid w:val="008F1AA2"/>
    <w:pPr>
      <w:tabs>
        <w:tab w:val="center" w:pos="4320"/>
        <w:tab w:val="right" w:pos="8640"/>
      </w:tabs>
    </w:pPr>
    <w:rPr>
      <w:sz w:val="20"/>
    </w:rPr>
  </w:style>
  <w:style w:type="character" w:customStyle="1" w:styleId="AntratsDiagrama">
    <w:name w:val="Antraštės Diagrama"/>
    <w:aliases w:val="Char Diagrama Diagrama Diagrama,Char Diagrama,Diagrama Diagrama Diagrama Diagrama, Char Diagrama,En-tête-1 Diagrama,En-tête-2 Diagrama,hd Diagrama,Header 2 Diagrama,Char2 Diagrama,Char3 Diagrama,Char Char Char Char Diagrama"/>
    <w:basedOn w:val="Numatytasispastraiposriftas"/>
    <w:link w:val="Antrats"/>
    <w:qFormat/>
    <w:rsid w:val="008F1AA2"/>
    <w:rPr>
      <w:sz w:val="20"/>
    </w:rPr>
  </w:style>
  <w:style w:type="character" w:customStyle="1" w:styleId="clear">
    <w:name w:val="clear"/>
    <w:basedOn w:val="Numatytasispastraiposriftas"/>
    <w:rsid w:val="008F1AA2"/>
  </w:style>
  <w:style w:type="paragraph" w:customStyle="1" w:styleId="TableContents">
    <w:name w:val="Table Contents"/>
    <w:basedOn w:val="prastasis"/>
    <w:rsid w:val="005D0813"/>
    <w:pPr>
      <w:suppressLineNumbers/>
      <w:jc w:val="both"/>
    </w:pPr>
    <w:rPr>
      <w:rFonts w:eastAsia="Andale Sans UI" w:cs="Tahoma"/>
      <w:szCs w:val="24"/>
      <w:lang w:bidi="en-US"/>
    </w:rPr>
  </w:style>
  <w:style w:type="paragraph" w:styleId="Dokumentoinaostekstas">
    <w:name w:val="endnote text"/>
    <w:basedOn w:val="prastasis"/>
    <w:link w:val="DokumentoinaostekstasDiagrama"/>
    <w:uiPriority w:val="99"/>
    <w:unhideWhenUsed/>
    <w:rsid w:val="005D0813"/>
    <w:pPr>
      <w:jc w:val="both"/>
    </w:pPr>
    <w:rPr>
      <w:rFonts w:eastAsia="Andale Sans UI" w:cs="Tahoma"/>
      <w:sz w:val="20"/>
      <w:lang w:bidi="en-US"/>
    </w:rPr>
  </w:style>
  <w:style w:type="character" w:customStyle="1" w:styleId="DokumentoinaostekstasDiagrama">
    <w:name w:val="Dokumento išnašos tekstas Diagrama"/>
    <w:basedOn w:val="Numatytasispastraiposriftas"/>
    <w:link w:val="Dokumentoinaostekstas"/>
    <w:uiPriority w:val="99"/>
    <w:rsid w:val="005D0813"/>
    <w:rPr>
      <w:rFonts w:eastAsia="Andale Sans UI" w:cs="Tahoma"/>
      <w:sz w:val="20"/>
      <w:lang w:bidi="en-US"/>
    </w:rPr>
  </w:style>
  <w:style w:type="character" w:styleId="Dokumentoinaosnumeris">
    <w:name w:val="endnote reference"/>
    <w:basedOn w:val="Numatytasispastraiposriftas"/>
    <w:uiPriority w:val="99"/>
    <w:semiHidden/>
    <w:unhideWhenUsed/>
    <w:rsid w:val="005D0813"/>
    <w:rPr>
      <w:vertAlign w:val="superscript"/>
    </w:rPr>
  </w:style>
  <w:style w:type="character" w:customStyle="1" w:styleId="ng-star-inserted">
    <w:name w:val="ng-star-inserted"/>
    <w:basedOn w:val="Numatytasispastraiposriftas"/>
    <w:rsid w:val="005D0813"/>
  </w:style>
  <w:style w:type="character" w:customStyle="1" w:styleId="Antrat3Diagrama">
    <w:name w:val="Antraštė 3 Diagrama"/>
    <w:basedOn w:val="Numatytasispastraiposriftas"/>
    <w:link w:val="Antrat3"/>
    <w:uiPriority w:val="9"/>
    <w:rsid w:val="006D65A0"/>
    <w:rPr>
      <w:b/>
      <w:bCs/>
      <w:sz w:val="27"/>
      <w:szCs w:val="27"/>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318543">
      <w:bodyDiv w:val="1"/>
      <w:marLeft w:val="0"/>
      <w:marRight w:val="0"/>
      <w:marTop w:val="0"/>
      <w:marBottom w:val="0"/>
      <w:divBdr>
        <w:top w:val="none" w:sz="0" w:space="0" w:color="auto"/>
        <w:left w:val="none" w:sz="0" w:space="0" w:color="auto"/>
        <w:bottom w:val="none" w:sz="0" w:space="0" w:color="auto"/>
        <w:right w:val="none" w:sz="0" w:space="0" w:color="auto"/>
      </w:divBdr>
    </w:div>
    <w:div w:id="595863544">
      <w:bodyDiv w:val="1"/>
      <w:marLeft w:val="0"/>
      <w:marRight w:val="0"/>
      <w:marTop w:val="0"/>
      <w:marBottom w:val="0"/>
      <w:divBdr>
        <w:top w:val="none" w:sz="0" w:space="0" w:color="auto"/>
        <w:left w:val="none" w:sz="0" w:space="0" w:color="auto"/>
        <w:bottom w:val="none" w:sz="0" w:space="0" w:color="auto"/>
        <w:right w:val="none" w:sz="0" w:space="0" w:color="auto"/>
      </w:divBdr>
    </w:div>
    <w:div w:id="83021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arts xmlns="http://lrs.lt/TAIS/DocParts">
  <Part Type="pagrindine" DocPartId="eb2e099258dd4196bcf9666e11ceaa92" PartId="46a0fb91daf64f5292e9262b495ae84e">
    <Part Type="preambule" DocPartId="b68f453c061a44198d6034e8509d844f" PartId="4a1e2754778e450bbfed49196cc2268c"/>
    <Part Type="pastraipa" DocPartId="cc8180f4cc3343f09fa32348a6b664ac" PartId="61e79df1cae74e789a0ffd222907bcc1"/>
  </Part>
</Par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47D90CBC16D234CA619BBDEA3061AC4" ma:contentTypeVersion="1" ma:contentTypeDescription="Kurkite naują dokumentą." ma:contentTypeScope="" ma:versionID="a6d6312ad059faab99d9e01f97183c19">
  <xsd:schema xmlns:xsd="http://www.w3.org/2001/XMLSchema" xmlns:xs="http://www.w3.org/2001/XMLSchema" xmlns:p="http://schemas.microsoft.com/office/2006/metadata/properties" xmlns:ns2="28130d43-1b56-4a10-ad88-2cd38123f4c1" targetNamespace="http://schemas.microsoft.com/office/2006/metadata/properties" ma:root="true" ma:fieldsID="28535331f7f19f408e5e49ec73000621" ns2:_="">
    <xsd:import namespace="28130d43-1b56-4a10-ad88-2cd38123f4c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0d43-1b56-4a10-ad88-2cd38123f4c1"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28130d43-1b56-4a10-ad88-2cd38123f4c1">Z6YWEJNPDQQR-896559167-562</_dlc_DocId>
    <_dlc_DocIdUrl xmlns="28130d43-1b56-4a10-ad88-2cd38123f4c1">
      <Url>https://intranetas.lrs.lt/29/_layouts/15/DocIdRedir.aspx?ID=Z6YWEJNPDQQR-896559167-562</Url>
      <Description>Z6YWEJNPDQQR-896559167-562</Description>
    </_dlc_DocIdUrl>
  </documentManagement>
</p:properties>
</file>

<file path=customXml/itemProps1.xml><?xml version="1.0" encoding="utf-8"?>
<ds:datastoreItem xmlns:ds="http://schemas.openxmlformats.org/officeDocument/2006/customXml" ds:itemID="{572F02B0-E301-4EC6-94A1-980E93393CA3}">
  <ds:schemaRefs>
    <ds:schemaRef ds:uri="http://lrs.lt/TAIS/DocParts"/>
  </ds:schemaRefs>
</ds:datastoreItem>
</file>

<file path=customXml/itemProps2.xml><?xml version="1.0" encoding="utf-8"?>
<ds:datastoreItem xmlns:ds="http://schemas.openxmlformats.org/officeDocument/2006/customXml" ds:itemID="{2D0F914F-3A94-4E18-9148-E03BAB4E68D8}">
  <ds:schemaRefs>
    <ds:schemaRef ds:uri="http://schemas.openxmlformats.org/officeDocument/2006/bibliography"/>
  </ds:schemaRefs>
</ds:datastoreItem>
</file>

<file path=customXml/itemProps3.xml><?xml version="1.0" encoding="utf-8"?>
<ds:datastoreItem xmlns:ds="http://schemas.openxmlformats.org/officeDocument/2006/customXml" ds:itemID="{8AF7D526-07AD-4ECE-AF84-DB179A13C91C}"/>
</file>

<file path=customXml/itemProps4.xml><?xml version="1.0" encoding="utf-8"?>
<ds:datastoreItem xmlns:ds="http://schemas.openxmlformats.org/officeDocument/2006/customXml" ds:itemID="{CA556848-15A0-47AE-B0A7-BA3A2797AE60}"/>
</file>

<file path=customXml/itemProps5.xml><?xml version="1.0" encoding="utf-8"?>
<ds:datastoreItem xmlns:ds="http://schemas.openxmlformats.org/officeDocument/2006/customXml" ds:itemID="{1773BD4C-695F-46A6-8994-F6215F45ECEF}"/>
</file>

<file path=customXml/itemProps6.xml><?xml version="1.0" encoding="utf-8"?>
<ds:datastoreItem xmlns:ds="http://schemas.openxmlformats.org/officeDocument/2006/customXml" ds:itemID="{FD0ACF59-8DD9-4EDD-B2C8-66AAA799B37C}"/>
</file>

<file path=docProps/app.xml><?xml version="1.0" encoding="utf-8"?>
<Properties xmlns="http://schemas.openxmlformats.org/officeDocument/2006/extended-properties" xmlns:vt="http://schemas.openxmlformats.org/officeDocument/2006/docPropsVTypes">
  <Template>Normal</Template>
  <TotalTime>382</TotalTime>
  <Pages>2</Pages>
  <Words>3364</Words>
  <Characters>1919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GRICIŪTĖ Rasa</dc:creator>
  <cp:lastModifiedBy>KNIUKŠTIENĖ Rimantė</cp:lastModifiedBy>
  <cp:revision>50</cp:revision>
  <cp:lastPrinted>2025-05-20T07:53:00Z</cp:lastPrinted>
  <dcterms:created xsi:type="dcterms:W3CDTF">2024-06-05T07:01:00Z</dcterms:created>
  <dcterms:modified xsi:type="dcterms:W3CDTF">2025-05-20T08:19:00Z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0x010100147D90CBC16D234CA619BBDEA3061AC4</vt:lpwstr>
  </property>
  <property fmtid="{D5CDD505-2E9C-101B-9397-08002B2CF9AE}" pid="3" name="_dlc_DocIdItemGuid">
    <vt:lpwstr>8bf4d1bc-56cc-434f-a456-308152ea66ba</vt:lpwstr>
  </property>
</Properties>
</file>