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37" w:rsidRPr="00694B02" w:rsidRDefault="00792337" w:rsidP="0059116A">
      <w:pPr>
        <w:spacing w:after="0" w:line="360" w:lineRule="auto"/>
        <w:jc w:val="center"/>
      </w:pPr>
      <w:bookmarkStart w:id="0" w:name="_GoBack"/>
      <w:bookmarkEnd w:id="0"/>
      <w:r w:rsidRPr="00694B02">
        <w:rPr>
          <w:noProof/>
          <w:lang w:eastAsia="lt-LT"/>
        </w:rPr>
        <w:drawing>
          <wp:inline distT="0" distB="0" distL="0" distR="0" wp14:anchorId="1F84EC23" wp14:editId="4963BAB4">
            <wp:extent cx="522605" cy="61468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37" w:rsidRPr="00694B02" w:rsidRDefault="00792337" w:rsidP="0059116A">
      <w:pPr>
        <w:spacing w:after="0" w:line="360" w:lineRule="auto"/>
        <w:jc w:val="center"/>
        <w:rPr>
          <w:rFonts w:eastAsia="Times New Roman"/>
          <w:b/>
        </w:rPr>
      </w:pPr>
      <w:r w:rsidRPr="00694B02">
        <w:rPr>
          <w:rFonts w:eastAsia="Times New Roman"/>
          <w:b/>
        </w:rPr>
        <w:t>LIETUVOS RESPUBLIKOS SEIMO KANCELIARIJOS</w:t>
      </w:r>
    </w:p>
    <w:p w:rsidR="00792337" w:rsidRPr="00694B02" w:rsidRDefault="00792337" w:rsidP="0059116A">
      <w:pPr>
        <w:spacing w:after="0" w:line="360" w:lineRule="auto"/>
        <w:jc w:val="center"/>
        <w:rPr>
          <w:rFonts w:eastAsia="Times New Roman"/>
          <w:b/>
          <w:spacing w:val="4"/>
        </w:rPr>
      </w:pPr>
      <w:r w:rsidRPr="00694B02">
        <w:rPr>
          <w:rFonts w:eastAsia="Times New Roman"/>
          <w:b/>
          <w:spacing w:val="4"/>
        </w:rPr>
        <w:t>TEISĖS DEPARTAMENTAS</w:t>
      </w:r>
    </w:p>
    <w:p w:rsidR="00792337" w:rsidRPr="00694B02" w:rsidRDefault="00792337" w:rsidP="0053676C">
      <w:pPr>
        <w:spacing w:after="0" w:line="240" w:lineRule="auto"/>
        <w:ind w:right="11"/>
        <w:jc w:val="center"/>
        <w:rPr>
          <w:rFonts w:eastAsia="Times New Roman"/>
          <w:b/>
          <w:spacing w:val="4"/>
        </w:rPr>
      </w:pPr>
    </w:p>
    <w:p w:rsidR="00792337" w:rsidRPr="00694B02" w:rsidRDefault="00792337" w:rsidP="0053676C">
      <w:pPr>
        <w:spacing w:after="0" w:line="240" w:lineRule="auto"/>
        <w:ind w:right="11"/>
        <w:jc w:val="center"/>
        <w:rPr>
          <w:rFonts w:eastAsia="Times New Roman"/>
          <w:sz w:val="18"/>
          <w:szCs w:val="18"/>
        </w:rPr>
      </w:pPr>
      <w:r w:rsidRPr="00694B02">
        <w:rPr>
          <w:rFonts w:eastAsia="Times New Roman"/>
          <w:sz w:val="18"/>
          <w:szCs w:val="18"/>
        </w:rPr>
        <w:t>Biudžetinė įstaiga  Gedimino pr. 53,</w:t>
      </w:r>
      <w:r w:rsidR="0053676C" w:rsidRPr="00694B02">
        <w:rPr>
          <w:rFonts w:eastAsia="Times New Roman"/>
          <w:sz w:val="18"/>
          <w:szCs w:val="18"/>
        </w:rPr>
        <w:t xml:space="preserve"> 01109 Vilnius </w:t>
      </w:r>
      <w:r w:rsidR="008E5B52" w:rsidRPr="00694B02">
        <w:rPr>
          <w:rFonts w:eastAsia="Times New Roman"/>
          <w:sz w:val="18"/>
          <w:szCs w:val="18"/>
        </w:rPr>
        <w:t>Tel. +3</w:t>
      </w:r>
      <w:r w:rsidR="0053676C" w:rsidRPr="00694B02">
        <w:rPr>
          <w:rFonts w:eastAsia="Times New Roman"/>
          <w:sz w:val="18"/>
          <w:szCs w:val="18"/>
        </w:rPr>
        <w:t>70 5 209 6169</w:t>
      </w:r>
      <w:r w:rsidRPr="00694B02">
        <w:rPr>
          <w:rFonts w:eastAsia="Times New Roman"/>
          <w:sz w:val="18"/>
          <w:szCs w:val="18"/>
        </w:rPr>
        <w:t xml:space="preserve"> El. p. td@lrs.lt</w:t>
      </w:r>
    </w:p>
    <w:p w:rsidR="00792337" w:rsidRPr="00694B02" w:rsidRDefault="00792337" w:rsidP="0053676C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94B02">
        <w:rPr>
          <w:rFonts w:eastAsia="Times New Roman"/>
          <w:sz w:val="18"/>
          <w:szCs w:val="18"/>
        </w:rPr>
        <w:t>Duomenys kaupiami ir saugomi  Juridinių asmenų registre  Kodas 188605295</w:t>
      </w:r>
    </w:p>
    <w:p w:rsidR="00792337" w:rsidRPr="00694B02" w:rsidRDefault="00792337" w:rsidP="0059116A">
      <w:pPr>
        <w:spacing w:after="0" w:line="360" w:lineRule="auto"/>
        <w:rPr>
          <w:rFonts w:eastAsia="Times New Roman"/>
          <w:sz w:val="18"/>
          <w:szCs w:val="18"/>
        </w:rPr>
      </w:pPr>
      <w:r w:rsidRPr="00694B02">
        <w:rPr>
          <w:rFonts w:eastAsia="Times New Roman"/>
          <w:sz w:val="18"/>
          <w:szCs w:val="18"/>
        </w:rPr>
        <w:t>________________________________________________________________________________________</w:t>
      </w:r>
      <w:r w:rsidR="00CE5CC2" w:rsidRPr="00694B02">
        <w:rPr>
          <w:rFonts w:eastAsia="Times New Roman"/>
          <w:sz w:val="18"/>
          <w:szCs w:val="18"/>
        </w:rPr>
        <w:t>___________________</w:t>
      </w:r>
    </w:p>
    <w:p w:rsidR="00792337" w:rsidRPr="00694B02" w:rsidRDefault="00792337" w:rsidP="0059116A">
      <w:pPr>
        <w:spacing w:after="0" w:line="360" w:lineRule="auto"/>
        <w:rPr>
          <w:sz w:val="24"/>
          <w:szCs w:val="24"/>
        </w:rPr>
      </w:pPr>
    </w:p>
    <w:p w:rsidR="00792337" w:rsidRPr="00694B02" w:rsidRDefault="00792337" w:rsidP="0059116A">
      <w:pPr>
        <w:spacing w:after="0" w:line="360" w:lineRule="auto"/>
        <w:rPr>
          <w:rFonts w:cs="Times New Roman"/>
          <w:sz w:val="24"/>
          <w:szCs w:val="24"/>
        </w:rPr>
      </w:pPr>
      <w:r w:rsidRPr="00694B02">
        <w:rPr>
          <w:rFonts w:cs="Times New Roman"/>
          <w:sz w:val="24"/>
          <w:szCs w:val="24"/>
        </w:rPr>
        <w:t xml:space="preserve">Lietuvos </w:t>
      </w:r>
      <w:r w:rsidR="002B7484" w:rsidRPr="00694B02">
        <w:rPr>
          <w:rFonts w:cs="Times New Roman"/>
          <w:sz w:val="24"/>
          <w:szCs w:val="24"/>
        </w:rPr>
        <w:t>Respublikos Seimo</w:t>
      </w:r>
      <w:r w:rsidR="002B7484" w:rsidRPr="00694B02">
        <w:rPr>
          <w:rFonts w:cs="Times New Roman"/>
          <w:sz w:val="24"/>
          <w:szCs w:val="24"/>
        </w:rPr>
        <w:tab/>
      </w:r>
      <w:r w:rsidR="002B7484" w:rsidRPr="00694B02">
        <w:rPr>
          <w:rFonts w:cs="Times New Roman"/>
          <w:sz w:val="24"/>
          <w:szCs w:val="24"/>
        </w:rPr>
        <w:tab/>
      </w:r>
      <w:r w:rsidR="002B7484" w:rsidRPr="00694B02">
        <w:rPr>
          <w:rFonts w:cs="Times New Roman"/>
          <w:sz w:val="24"/>
          <w:szCs w:val="24"/>
        </w:rPr>
        <w:tab/>
      </w:r>
      <w:r w:rsidR="00312B0F">
        <w:rPr>
          <w:rFonts w:cs="Times New Roman"/>
          <w:sz w:val="24"/>
          <w:szCs w:val="24"/>
        </w:rPr>
        <w:t xml:space="preserve">  </w:t>
      </w:r>
      <w:r w:rsidR="00214404" w:rsidRPr="00C26611">
        <w:rPr>
          <w:rFonts w:cs="Times New Roman"/>
          <w:sz w:val="24"/>
          <w:szCs w:val="24"/>
        </w:rPr>
        <w:t>2024-03</w:t>
      </w:r>
      <w:r w:rsidR="00A24306" w:rsidRPr="00C26611">
        <w:rPr>
          <w:rFonts w:cs="Times New Roman"/>
          <w:sz w:val="24"/>
          <w:szCs w:val="24"/>
        </w:rPr>
        <w:t>-</w:t>
      </w:r>
      <w:r w:rsidR="001E42E8" w:rsidRPr="00C26611">
        <w:rPr>
          <w:rFonts w:cs="Times New Roman"/>
          <w:sz w:val="24"/>
          <w:szCs w:val="24"/>
        </w:rPr>
        <w:t>25</w:t>
      </w:r>
      <w:r w:rsidR="000B2372" w:rsidRPr="00694B02">
        <w:rPr>
          <w:rFonts w:cs="Times New Roman"/>
          <w:sz w:val="24"/>
          <w:szCs w:val="24"/>
        </w:rPr>
        <w:t xml:space="preserve">  </w:t>
      </w:r>
      <w:r w:rsidRPr="00694B02">
        <w:rPr>
          <w:rFonts w:cs="Times New Roman"/>
          <w:sz w:val="24"/>
          <w:szCs w:val="24"/>
        </w:rPr>
        <w:t xml:space="preserve"> Nr. V-202</w:t>
      </w:r>
      <w:r w:rsidR="00F504B4" w:rsidRPr="00694B02">
        <w:rPr>
          <w:rFonts w:cs="Times New Roman"/>
          <w:sz w:val="24"/>
          <w:szCs w:val="24"/>
        </w:rPr>
        <w:t>4</w:t>
      </w:r>
      <w:r w:rsidRPr="00694B02">
        <w:rPr>
          <w:rFonts w:cs="Times New Roman"/>
          <w:sz w:val="24"/>
          <w:szCs w:val="24"/>
        </w:rPr>
        <w:t>-</w:t>
      </w:r>
    </w:p>
    <w:p w:rsidR="00792337" w:rsidRPr="00694B02" w:rsidRDefault="00792337" w:rsidP="0059116A">
      <w:pPr>
        <w:spacing w:after="0" w:line="360" w:lineRule="auto"/>
        <w:rPr>
          <w:rFonts w:cs="Times New Roman"/>
          <w:sz w:val="24"/>
          <w:szCs w:val="24"/>
        </w:rPr>
      </w:pPr>
      <w:r w:rsidRPr="00694B02">
        <w:rPr>
          <w:rFonts w:cs="Times New Roman"/>
          <w:sz w:val="24"/>
          <w:szCs w:val="24"/>
        </w:rPr>
        <w:t>Peticijų komisijai</w:t>
      </w:r>
      <w:r w:rsidRPr="00694B02">
        <w:rPr>
          <w:rFonts w:cs="Times New Roman"/>
          <w:sz w:val="24"/>
          <w:szCs w:val="24"/>
        </w:rPr>
        <w:tab/>
      </w:r>
      <w:r w:rsidR="002D21C8" w:rsidRPr="00694B02">
        <w:rPr>
          <w:rFonts w:cs="Times New Roman"/>
          <w:sz w:val="24"/>
          <w:szCs w:val="24"/>
        </w:rPr>
        <w:tab/>
      </w:r>
      <w:r w:rsidR="002D21C8" w:rsidRPr="00694B02">
        <w:rPr>
          <w:rFonts w:cs="Times New Roman"/>
          <w:sz w:val="24"/>
          <w:szCs w:val="24"/>
        </w:rPr>
        <w:tab/>
        <w:t xml:space="preserve">                     Į 2024</w:t>
      </w:r>
      <w:r w:rsidR="007A6C24" w:rsidRPr="00694B02">
        <w:rPr>
          <w:rFonts w:cs="Times New Roman"/>
          <w:sz w:val="24"/>
          <w:szCs w:val="24"/>
        </w:rPr>
        <w:t>-</w:t>
      </w:r>
      <w:r w:rsidR="003D24DD">
        <w:rPr>
          <w:rFonts w:cs="Times New Roman"/>
          <w:sz w:val="24"/>
          <w:szCs w:val="24"/>
        </w:rPr>
        <w:t>03</w:t>
      </w:r>
      <w:r w:rsidR="00B359D8" w:rsidRPr="00694B02">
        <w:rPr>
          <w:rFonts w:cs="Times New Roman"/>
          <w:sz w:val="24"/>
          <w:szCs w:val="24"/>
        </w:rPr>
        <w:t>-</w:t>
      </w:r>
      <w:r w:rsidR="00312B0F">
        <w:rPr>
          <w:rFonts w:cs="Times New Roman"/>
          <w:sz w:val="24"/>
          <w:szCs w:val="24"/>
        </w:rPr>
        <w:t>13</w:t>
      </w:r>
      <w:r w:rsidR="00B359D8" w:rsidRPr="00694B02">
        <w:rPr>
          <w:rFonts w:cs="Times New Roman"/>
          <w:sz w:val="24"/>
          <w:szCs w:val="24"/>
        </w:rPr>
        <w:t xml:space="preserve"> </w:t>
      </w:r>
      <w:r w:rsidR="009D24C0" w:rsidRPr="00694B02">
        <w:rPr>
          <w:rFonts w:cs="Times New Roman"/>
          <w:sz w:val="24"/>
          <w:szCs w:val="24"/>
        </w:rPr>
        <w:t xml:space="preserve"> Nr.</w:t>
      </w:r>
      <w:r w:rsidR="00F504B4" w:rsidRPr="00694B02">
        <w:rPr>
          <w:rFonts w:cs="Times New Roman"/>
          <w:sz w:val="24"/>
          <w:szCs w:val="24"/>
        </w:rPr>
        <w:t xml:space="preserve"> </w:t>
      </w:r>
      <w:r w:rsidR="00312B0F">
        <w:rPr>
          <w:rFonts w:cs="Times New Roman"/>
          <w:bCs/>
          <w:sz w:val="24"/>
          <w:szCs w:val="24"/>
        </w:rPr>
        <w:t>V-2024-3892</w:t>
      </w:r>
      <w:r w:rsidRPr="00694B02">
        <w:rPr>
          <w:rFonts w:cs="Times New Roman"/>
          <w:sz w:val="24"/>
          <w:szCs w:val="24"/>
        </w:rPr>
        <w:tab/>
      </w:r>
      <w:r w:rsidRPr="00694B02">
        <w:rPr>
          <w:rFonts w:cs="Times New Roman"/>
          <w:sz w:val="24"/>
          <w:szCs w:val="24"/>
        </w:rPr>
        <w:tab/>
      </w:r>
      <w:r w:rsidRPr="00694B02">
        <w:rPr>
          <w:rFonts w:cs="Times New Roman"/>
          <w:sz w:val="24"/>
          <w:szCs w:val="24"/>
        </w:rPr>
        <w:tab/>
      </w:r>
      <w:r w:rsidRPr="00694B02">
        <w:rPr>
          <w:rFonts w:cs="Times New Roman"/>
          <w:sz w:val="24"/>
          <w:szCs w:val="24"/>
        </w:rPr>
        <w:tab/>
      </w:r>
      <w:r w:rsidRPr="00694B02">
        <w:rPr>
          <w:rFonts w:cs="Times New Roman"/>
          <w:sz w:val="24"/>
          <w:szCs w:val="24"/>
        </w:rPr>
        <w:tab/>
      </w:r>
      <w:r w:rsidRPr="00694B02">
        <w:rPr>
          <w:rFonts w:cs="Times New Roman"/>
          <w:sz w:val="24"/>
          <w:szCs w:val="24"/>
        </w:rPr>
        <w:tab/>
      </w:r>
    </w:p>
    <w:p w:rsidR="00792337" w:rsidRPr="001E2089" w:rsidRDefault="001E2089" w:rsidP="001E2089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E2089">
        <w:rPr>
          <w:rFonts w:cs="Times New Roman"/>
          <w:b/>
          <w:sz w:val="24"/>
          <w:szCs w:val="24"/>
        </w:rPr>
        <w:t>D</w:t>
      </w:r>
      <w:r w:rsidRPr="001E208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ĖL </w:t>
      </w:r>
      <w:r w:rsidR="00312B0F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G.</w:t>
      </w:r>
      <w:r w:rsidR="00F5008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12B0F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STOŠKAUS </w:t>
      </w:r>
      <w:r w:rsidRPr="001E208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SIŪLYMO PAKEISTI </w:t>
      </w:r>
      <w:r w:rsidR="003D24DD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VALSTYBĖS GARANTUOJAMOS TEISINĖS PAGALBOS ĮSTATYMO 12 STRAIPSNIO 6 PUNKTĄ</w:t>
      </w:r>
    </w:p>
    <w:p w:rsidR="00792337" w:rsidRPr="00694B02" w:rsidRDefault="00792337" w:rsidP="0059116A">
      <w:pPr>
        <w:spacing w:after="0" w:line="360" w:lineRule="auto"/>
        <w:rPr>
          <w:rFonts w:cs="Times New Roman"/>
          <w:b/>
          <w:strike/>
          <w:sz w:val="24"/>
          <w:szCs w:val="24"/>
        </w:rPr>
      </w:pPr>
    </w:p>
    <w:p w:rsidR="00397A51" w:rsidRDefault="00312B0F" w:rsidP="00F16652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Teisės departamentas</w:t>
      </w:r>
      <w:r w:rsidR="00397A51">
        <w:rPr>
          <w:rFonts w:cs="Times New Roman"/>
          <w:sz w:val="24"/>
          <w:szCs w:val="24"/>
        </w:rPr>
        <w:t xml:space="preserve">, įvertinęs </w:t>
      </w:r>
      <w:r w:rsidRPr="00312B0F">
        <w:rPr>
          <w:rFonts w:cs="Times New Roman"/>
          <w:sz w:val="24"/>
          <w:szCs w:val="24"/>
        </w:rPr>
        <w:t xml:space="preserve">Giedriaus Stoškaus </w:t>
      </w:r>
      <w:r>
        <w:rPr>
          <w:rFonts w:cs="Times New Roman"/>
          <w:sz w:val="24"/>
          <w:szCs w:val="24"/>
        </w:rPr>
        <w:t xml:space="preserve">(toliau – </w:t>
      </w:r>
      <w:r w:rsidR="00F50089">
        <w:rPr>
          <w:rFonts w:cs="Times New Roman"/>
          <w:sz w:val="24"/>
          <w:szCs w:val="24"/>
        </w:rPr>
        <w:t>Pareiškėjas) pateikto siūlymo</w:t>
      </w:r>
      <w:r w:rsidR="00397A51">
        <w:rPr>
          <w:rFonts w:cs="Times New Roman"/>
          <w:sz w:val="24"/>
          <w:szCs w:val="24"/>
        </w:rPr>
        <w:t xml:space="preserve"> pakeisti </w:t>
      </w:r>
      <w:r w:rsidR="008E2024">
        <w:rPr>
          <w:rFonts w:cs="Times New Roman"/>
          <w:sz w:val="24"/>
          <w:szCs w:val="24"/>
        </w:rPr>
        <w:t>V</w:t>
      </w:r>
      <w:r w:rsidRPr="00312B0F">
        <w:rPr>
          <w:rFonts w:cs="Times New Roman"/>
          <w:sz w:val="24"/>
          <w:szCs w:val="24"/>
        </w:rPr>
        <w:t>alstybės garantuojamos teisi</w:t>
      </w:r>
      <w:r w:rsidR="00397A51">
        <w:rPr>
          <w:rFonts w:cs="Times New Roman"/>
          <w:sz w:val="24"/>
          <w:szCs w:val="24"/>
        </w:rPr>
        <w:t>nės pagalbos įstatymo 12 straipsnio 6 punktą</w:t>
      </w:r>
      <w:r w:rsidR="009F50AF">
        <w:rPr>
          <w:rFonts w:cs="Times New Roman"/>
          <w:sz w:val="24"/>
          <w:szCs w:val="24"/>
        </w:rPr>
        <w:t xml:space="preserve"> (išbraukti jame esančius žodžius ,,</w:t>
      </w:r>
      <w:r w:rsidR="00145E8E">
        <w:rPr>
          <w:rFonts w:cs="Times New Roman"/>
          <w:sz w:val="24"/>
          <w:szCs w:val="24"/>
        </w:rPr>
        <w:t xml:space="preserve">arba sukakę </w:t>
      </w:r>
      <w:r w:rsidR="009F50AF" w:rsidRPr="009F50AF">
        <w:rPr>
          <w:rFonts w:cs="Times New Roman"/>
          <w:sz w:val="24"/>
          <w:szCs w:val="24"/>
        </w:rPr>
        <w:t>Lietuvos Respublikos socialinio drau</w:t>
      </w:r>
      <w:r w:rsidR="00145E8E">
        <w:rPr>
          <w:rFonts w:cs="Times New Roman"/>
          <w:sz w:val="24"/>
          <w:szCs w:val="24"/>
        </w:rPr>
        <w:t xml:space="preserve">dimo pensijų įstatymo nustatytą </w:t>
      </w:r>
      <w:r w:rsidR="009F50AF" w:rsidRPr="009F50AF">
        <w:rPr>
          <w:rFonts w:cs="Times New Roman"/>
          <w:sz w:val="24"/>
          <w:szCs w:val="24"/>
        </w:rPr>
        <w:t xml:space="preserve">senatvės pensijos amžių asmenys, kuriems teisės aktų </w:t>
      </w:r>
      <w:r w:rsidR="00145E8E">
        <w:rPr>
          <w:rFonts w:cs="Times New Roman"/>
          <w:sz w:val="24"/>
          <w:szCs w:val="24"/>
        </w:rPr>
        <w:t xml:space="preserve">nustatyta tvarka yra nustatytas </w:t>
      </w:r>
      <w:r w:rsidR="009F50AF" w:rsidRPr="009F50AF">
        <w:rPr>
          <w:rFonts w:cs="Times New Roman"/>
          <w:sz w:val="24"/>
          <w:szCs w:val="24"/>
        </w:rPr>
        <w:t>15 procentų</w:t>
      </w:r>
      <w:r w:rsidR="00145E8E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145E8E">
        <w:rPr>
          <w:rFonts w:cs="Times New Roman"/>
          <w:sz w:val="24"/>
          <w:szCs w:val="24"/>
        </w:rPr>
        <w:t>dalyvumo</w:t>
      </w:r>
      <w:proofErr w:type="spellEnd"/>
      <w:r w:rsidR="00145E8E">
        <w:rPr>
          <w:rFonts w:cs="Times New Roman"/>
          <w:sz w:val="24"/>
          <w:szCs w:val="24"/>
        </w:rPr>
        <w:t xml:space="preserve"> </w:t>
      </w:r>
      <w:r w:rsidR="009F50AF" w:rsidRPr="009F50AF">
        <w:rPr>
          <w:rFonts w:cs="Times New Roman"/>
          <w:sz w:val="24"/>
          <w:szCs w:val="24"/>
        </w:rPr>
        <w:t>lygis</w:t>
      </w:r>
      <w:r w:rsidR="009F50AF">
        <w:rPr>
          <w:rFonts w:cs="Times New Roman"/>
          <w:sz w:val="24"/>
          <w:szCs w:val="24"/>
        </w:rPr>
        <w:t>“)</w:t>
      </w:r>
      <w:r w:rsidR="009F50AF" w:rsidRPr="009F50AF">
        <w:rPr>
          <w:rFonts w:cs="Times New Roman"/>
          <w:sz w:val="24"/>
          <w:szCs w:val="24"/>
        </w:rPr>
        <w:t xml:space="preserve"> </w:t>
      </w:r>
      <w:r w:rsidR="00397A51">
        <w:rPr>
          <w:rFonts w:cs="Times New Roman"/>
          <w:sz w:val="24"/>
          <w:szCs w:val="24"/>
        </w:rPr>
        <w:t xml:space="preserve">argumentus, teikia šią nuomonę. </w:t>
      </w:r>
    </w:p>
    <w:p w:rsidR="00F16652" w:rsidRDefault="00145E8E" w:rsidP="00F16652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Pažymime, kad </w:t>
      </w:r>
      <w:r w:rsidR="00397A51" w:rsidRPr="00397A51">
        <w:rPr>
          <w:rFonts w:cs="Times New Roman"/>
          <w:sz w:val="24"/>
          <w:szCs w:val="24"/>
        </w:rPr>
        <w:t>Seimas 2022 m. gruodžio 20 d. priėmė Lietuvos Respublikos neįgaliųjų socialinės integracijos įstatymo Nr. I-2044 pakeitimo įstatymą Nr. XIV-1722 (toliau – Įstatymas Nr. XIV-1722), pagal ku</w:t>
      </w:r>
      <w:r w:rsidR="00397A51">
        <w:rPr>
          <w:rFonts w:cs="Times New Roman"/>
          <w:sz w:val="24"/>
          <w:szCs w:val="24"/>
        </w:rPr>
        <w:t>rį 2024 m. sausio 1 d. įsigaliojo</w:t>
      </w:r>
      <w:r w:rsidR="00397A51" w:rsidRPr="00397A51">
        <w:rPr>
          <w:rFonts w:cs="Times New Roman"/>
          <w:sz w:val="24"/>
          <w:szCs w:val="24"/>
        </w:rPr>
        <w:t xml:space="preserve"> Lietuvos Respublikos asmens su negalia te</w:t>
      </w:r>
      <w:r w:rsidR="00397A51">
        <w:rPr>
          <w:rFonts w:cs="Times New Roman"/>
          <w:sz w:val="24"/>
          <w:szCs w:val="24"/>
        </w:rPr>
        <w:t xml:space="preserve">isių apsaugos </w:t>
      </w:r>
      <w:r w:rsidR="00A3180B">
        <w:rPr>
          <w:rFonts w:cs="Times New Roman"/>
          <w:sz w:val="24"/>
          <w:szCs w:val="24"/>
        </w:rPr>
        <w:t xml:space="preserve">pagrindų </w:t>
      </w:r>
      <w:r w:rsidR="00397A51">
        <w:rPr>
          <w:rFonts w:cs="Times New Roman"/>
          <w:sz w:val="24"/>
          <w:szCs w:val="24"/>
        </w:rPr>
        <w:t xml:space="preserve">įstatymas. </w:t>
      </w:r>
      <w:r w:rsidR="00C47B1F">
        <w:rPr>
          <w:rFonts w:cs="Times New Roman"/>
          <w:sz w:val="24"/>
          <w:szCs w:val="24"/>
        </w:rPr>
        <w:t xml:space="preserve">Šio įstatymo 19 straipsnio 1 dalies 2 punkte numatyta, kad </w:t>
      </w:r>
      <w:proofErr w:type="spellStart"/>
      <w:r w:rsidR="00C47B1F">
        <w:rPr>
          <w:rFonts w:cs="Times New Roman"/>
          <w:sz w:val="24"/>
          <w:szCs w:val="24"/>
        </w:rPr>
        <w:t>dalyvumo</w:t>
      </w:r>
      <w:proofErr w:type="spellEnd"/>
      <w:r w:rsidR="00C47B1F">
        <w:rPr>
          <w:rFonts w:cs="Times New Roman"/>
          <w:sz w:val="24"/>
          <w:szCs w:val="24"/>
        </w:rPr>
        <w:t xml:space="preserve"> lygis nustatomas </w:t>
      </w:r>
      <w:r w:rsidR="00C35121" w:rsidRPr="00486A33">
        <w:rPr>
          <w:rFonts w:cs="Times New Roman"/>
          <w:sz w:val="24"/>
          <w:szCs w:val="24"/>
          <w:u w:val="single"/>
        </w:rPr>
        <w:t xml:space="preserve">visiems </w:t>
      </w:r>
      <w:r w:rsidR="00C47B1F" w:rsidRPr="00486A33">
        <w:rPr>
          <w:rFonts w:cs="Times New Roman"/>
          <w:sz w:val="24"/>
          <w:szCs w:val="24"/>
          <w:u w:val="single"/>
        </w:rPr>
        <w:t>pilnamečiams asmenims</w:t>
      </w:r>
      <w:r w:rsidR="00F16652">
        <w:rPr>
          <w:rFonts w:cs="Times New Roman"/>
          <w:sz w:val="24"/>
          <w:szCs w:val="24"/>
        </w:rPr>
        <w:t xml:space="preserve"> (</w:t>
      </w:r>
      <w:r w:rsidR="00F16652" w:rsidRPr="00F16652">
        <w:rPr>
          <w:rFonts w:cs="Times New Roman"/>
          <w:bCs/>
          <w:sz w:val="24"/>
          <w:szCs w:val="24"/>
        </w:rPr>
        <w:t>atkreiptinas dėmesys į tai, kad iki 2023 m. gruodžio 31 d. asmenims iki senatvės pensijos amžiaus sukakties dienos buvo nustatomas darbingumo lygis, o senatvės pensijos amžių sukakusiems asmenims – specialiųjų poreikių lygis</w:t>
      </w:r>
      <w:r w:rsidR="00F16652">
        <w:rPr>
          <w:rFonts w:cs="Times New Roman"/>
          <w:bCs/>
          <w:sz w:val="24"/>
          <w:szCs w:val="24"/>
        </w:rPr>
        <w:t>).</w:t>
      </w:r>
      <w:r w:rsidR="00F16652" w:rsidRPr="00F16652">
        <w:rPr>
          <w:rFonts w:cs="Times New Roman"/>
          <w:sz w:val="24"/>
          <w:szCs w:val="24"/>
        </w:rPr>
        <w:t xml:space="preserve"> </w:t>
      </w:r>
      <w:r w:rsidR="009621B1">
        <w:rPr>
          <w:rFonts w:cs="Times New Roman"/>
          <w:sz w:val="24"/>
          <w:szCs w:val="24"/>
        </w:rPr>
        <w:t>Tai</w:t>
      </w:r>
      <w:r w:rsidR="00ED0B52">
        <w:rPr>
          <w:rFonts w:cs="Times New Roman"/>
          <w:sz w:val="24"/>
          <w:szCs w:val="24"/>
        </w:rPr>
        <w:t>gi, nuo 2024 m. sausio 1 dienos</w:t>
      </w:r>
      <w:r w:rsidR="009621B1">
        <w:rPr>
          <w:rFonts w:cs="Times New Roman"/>
          <w:sz w:val="24"/>
          <w:szCs w:val="24"/>
        </w:rPr>
        <w:t xml:space="preserve"> </w:t>
      </w:r>
      <w:proofErr w:type="spellStart"/>
      <w:r w:rsidR="009621B1">
        <w:rPr>
          <w:rFonts w:cs="Times New Roman"/>
          <w:sz w:val="24"/>
          <w:szCs w:val="24"/>
        </w:rPr>
        <w:t>dalyvumo</w:t>
      </w:r>
      <w:proofErr w:type="spellEnd"/>
      <w:r w:rsidR="009621B1">
        <w:rPr>
          <w:rFonts w:cs="Times New Roman"/>
          <w:sz w:val="24"/>
          <w:szCs w:val="24"/>
        </w:rPr>
        <w:t xml:space="preserve"> lygis nustatomas </w:t>
      </w:r>
      <w:r w:rsidR="009621B1" w:rsidRPr="009621B1">
        <w:rPr>
          <w:rFonts w:cs="Times New Roman"/>
          <w:sz w:val="24"/>
          <w:szCs w:val="24"/>
        </w:rPr>
        <w:t>tiek darbingo amžiaus asmenims, tiek asmenims, sukakusiems Lietuvos Respublikos socialinio draudimo pensijų įstatyme nustatytą senatvės pensijos amžių</w:t>
      </w:r>
      <w:r w:rsidR="009621B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Todėl įvertinus tai, V</w:t>
      </w:r>
      <w:r w:rsidRPr="00145E8E">
        <w:rPr>
          <w:rFonts w:cs="Times New Roman"/>
          <w:sz w:val="24"/>
          <w:szCs w:val="24"/>
        </w:rPr>
        <w:t>alstybės garantuojamos teisinės pagalbos įstatymo</w:t>
      </w:r>
      <w:r>
        <w:rPr>
          <w:rFonts w:cs="Times New Roman"/>
          <w:sz w:val="24"/>
          <w:szCs w:val="24"/>
        </w:rPr>
        <w:t xml:space="preserve"> 12 straipsnio 6 punkte </w:t>
      </w:r>
      <w:r w:rsidR="00CA7676">
        <w:rPr>
          <w:rFonts w:cs="Times New Roman"/>
          <w:sz w:val="24"/>
          <w:szCs w:val="24"/>
        </w:rPr>
        <w:t xml:space="preserve">atskirai per jungtuką „arba“ nurodyti asmenis, sukakusius senatvės pensijos amžių, kuriems </w:t>
      </w:r>
      <w:r w:rsidR="00CA7676" w:rsidRPr="00CA7676">
        <w:rPr>
          <w:rFonts w:cs="Times New Roman"/>
          <w:sz w:val="24"/>
          <w:szCs w:val="24"/>
        </w:rPr>
        <w:t>teisės aktų nustatyta tvarka yra nustatytas 15 procentų</w:t>
      </w:r>
      <w:r w:rsidR="00CA7676" w:rsidRPr="00CA767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CA7676" w:rsidRPr="00CA7676">
        <w:rPr>
          <w:rFonts w:cs="Times New Roman"/>
          <w:sz w:val="24"/>
          <w:szCs w:val="24"/>
        </w:rPr>
        <w:t>dalyvumo</w:t>
      </w:r>
      <w:proofErr w:type="spellEnd"/>
      <w:r w:rsidR="00CA7676" w:rsidRPr="00CA7676">
        <w:rPr>
          <w:rFonts w:cs="Times New Roman"/>
          <w:sz w:val="24"/>
          <w:szCs w:val="24"/>
        </w:rPr>
        <w:t xml:space="preserve"> lygis</w:t>
      </w:r>
      <w:r w:rsidR="00CA7676">
        <w:rPr>
          <w:rFonts w:cs="Times New Roman"/>
          <w:sz w:val="24"/>
          <w:szCs w:val="24"/>
        </w:rPr>
        <w:t xml:space="preserve"> nereikėtų, nes ši asmenų grupė bet kuriuo atveju patektų po šiame punkte nurodyta </w:t>
      </w:r>
      <w:r w:rsidR="00F25498">
        <w:rPr>
          <w:rFonts w:cs="Times New Roman"/>
          <w:sz w:val="24"/>
          <w:szCs w:val="24"/>
        </w:rPr>
        <w:t xml:space="preserve">kita </w:t>
      </w:r>
      <w:r w:rsidR="00CA7676">
        <w:rPr>
          <w:rFonts w:cs="Times New Roman"/>
          <w:sz w:val="24"/>
          <w:szCs w:val="24"/>
        </w:rPr>
        <w:t>asmenų grupe,</w:t>
      </w:r>
      <w:r w:rsidR="00F25498">
        <w:rPr>
          <w:rFonts w:cs="Times New Roman"/>
          <w:sz w:val="24"/>
          <w:szCs w:val="24"/>
        </w:rPr>
        <w:t xml:space="preserve"> </w:t>
      </w:r>
      <w:proofErr w:type="spellStart"/>
      <w:r w:rsidR="00F25498">
        <w:rPr>
          <w:rFonts w:cs="Times New Roman"/>
          <w:sz w:val="24"/>
          <w:szCs w:val="24"/>
        </w:rPr>
        <w:t>t.y</w:t>
      </w:r>
      <w:proofErr w:type="spellEnd"/>
      <w:r w:rsidR="00F25498">
        <w:rPr>
          <w:rFonts w:cs="Times New Roman"/>
          <w:sz w:val="24"/>
          <w:szCs w:val="24"/>
        </w:rPr>
        <w:t>. asmenis,</w:t>
      </w:r>
      <w:r w:rsidR="00CA767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kuriems nustatytas </w:t>
      </w:r>
      <w:r w:rsidRPr="00145E8E">
        <w:rPr>
          <w:rFonts w:cs="Times New Roman"/>
          <w:sz w:val="24"/>
          <w:szCs w:val="24"/>
        </w:rPr>
        <w:t xml:space="preserve">0–25 procentų </w:t>
      </w:r>
      <w:proofErr w:type="spellStart"/>
      <w:r w:rsidRPr="00145E8E">
        <w:rPr>
          <w:rFonts w:cs="Times New Roman"/>
          <w:sz w:val="24"/>
          <w:szCs w:val="24"/>
        </w:rPr>
        <w:t>dalyvumo</w:t>
      </w:r>
      <w:proofErr w:type="spellEnd"/>
      <w:r w:rsidRPr="00145E8E">
        <w:rPr>
          <w:rFonts w:cs="Times New Roman"/>
          <w:sz w:val="24"/>
          <w:szCs w:val="24"/>
        </w:rPr>
        <w:t xml:space="preserve"> lygis</w:t>
      </w:r>
      <w:r w:rsidR="00CA767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0A2F84" w:rsidRDefault="00145E8E" w:rsidP="00F16652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Tačiau </w:t>
      </w:r>
      <w:r w:rsidR="00F10A1B">
        <w:rPr>
          <w:rFonts w:cs="Times New Roman"/>
          <w:sz w:val="24"/>
          <w:szCs w:val="24"/>
        </w:rPr>
        <w:t xml:space="preserve">kartu </w:t>
      </w:r>
      <w:r>
        <w:rPr>
          <w:rFonts w:cs="Times New Roman"/>
          <w:sz w:val="24"/>
          <w:szCs w:val="24"/>
        </w:rPr>
        <w:t>atkreiptinas dėmesys į tai, kad į</w:t>
      </w:r>
      <w:r w:rsidR="00486A33" w:rsidRPr="001D4729">
        <w:rPr>
          <w:rFonts w:cs="Times New Roman"/>
          <w:sz w:val="24"/>
          <w:szCs w:val="24"/>
        </w:rPr>
        <w:t xml:space="preserve">statymo Nr. XIV-1722 2 straipsnio 3 </w:t>
      </w:r>
      <w:r w:rsidR="001D4729" w:rsidRPr="001D4729">
        <w:rPr>
          <w:rFonts w:cs="Times New Roman"/>
          <w:sz w:val="24"/>
          <w:szCs w:val="24"/>
        </w:rPr>
        <w:t xml:space="preserve">dalimi </w:t>
      </w:r>
      <w:r w:rsidR="00486A33" w:rsidRPr="001D4729">
        <w:rPr>
          <w:rFonts w:cs="Times New Roman"/>
          <w:sz w:val="24"/>
          <w:szCs w:val="24"/>
        </w:rPr>
        <w:t xml:space="preserve">nustatytas asmens su negalia teisių ir garantijų išsaugojimas („asmenims, kuriems iki šio įstatymo įsigaliojimo dienos buvo nustatytas darbingumo lygis arba specialiųjų poreikių lygis, nustatytas </w:t>
      </w:r>
      <w:r w:rsidR="00486A33" w:rsidRPr="001D4729">
        <w:rPr>
          <w:rFonts w:cs="Times New Roman"/>
          <w:sz w:val="24"/>
          <w:szCs w:val="24"/>
        </w:rPr>
        <w:lastRenderedPageBreak/>
        <w:t xml:space="preserve">darbingumo lygis arba specialiųjų poreikių lygis galioja iki nustatyto termino pabaigos“), </w:t>
      </w:r>
      <w:r w:rsidR="001D4729" w:rsidRPr="001D4729">
        <w:rPr>
          <w:rFonts w:cs="Times New Roman"/>
          <w:sz w:val="24"/>
          <w:szCs w:val="24"/>
        </w:rPr>
        <w:t xml:space="preserve">o 2 straipsnio 6 dalyje nurodyta, kad siekiant išsaugoti asmenų, kuriems iki šio įstatymo įsigaliojimo dienos buvo nustatytas didelių ar vidutinių specialiųjų poreikių lygis, teises, numatomas šiems asmenims nustatyto specialiųjų poreikių lygio prilyginimo </w:t>
      </w:r>
      <w:proofErr w:type="spellStart"/>
      <w:r w:rsidR="001D4729" w:rsidRPr="001D4729">
        <w:rPr>
          <w:rFonts w:cs="Times New Roman"/>
          <w:sz w:val="24"/>
          <w:szCs w:val="24"/>
        </w:rPr>
        <w:t>dalyvumo</w:t>
      </w:r>
      <w:proofErr w:type="spellEnd"/>
      <w:r w:rsidR="001D4729" w:rsidRPr="001D4729">
        <w:rPr>
          <w:rFonts w:cs="Times New Roman"/>
          <w:sz w:val="24"/>
          <w:szCs w:val="24"/>
        </w:rPr>
        <w:t xml:space="preserve"> lygiui pereinamasis laikotarpis – nuo 2024 m. sausio 1 d. iki 2027 m. gruodžio 31 d. </w:t>
      </w:r>
    </w:p>
    <w:p w:rsidR="002C1E32" w:rsidRDefault="00E0740E" w:rsidP="00F16652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Todėl</w:t>
      </w:r>
      <w:r w:rsidR="00010E1D" w:rsidRPr="00010E1D">
        <w:rPr>
          <w:rFonts w:cs="Times New Roman"/>
          <w:sz w:val="24"/>
          <w:szCs w:val="24"/>
        </w:rPr>
        <w:t xml:space="preserve"> </w:t>
      </w:r>
      <w:r w:rsidR="00010E1D">
        <w:rPr>
          <w:rFonts w:cs="Times New Roman"/>
          <w:sz w:val="24"/>
          <w:szCs w:val="24"/>
        </w:rPr>
        <w:t xml:space="preserve">siekiant </w:t>
      </w:r>
      <w:r w:rsidR="002C1E32">
        <w:rPr>
          <w:rFonts w:cs="Times New Roman"/>
          <w:sz w:val="24"/>
          <w:szCs w:val="24"/>
        </w:rPr>
        <w:t>V</w:t>
      </w:r>
      <w:r w:rsidR="002C1E32" w:rsidRPr="002C1E32">
        <w:rPr>
          <w:rFonts w:cs="Times New Roman"/>
          <w:sz w:val="24"/>
          <w:szCs w:val="24"/>
        </w:rPr>
        <w:t xml:space="preserve">alstybės garantuojamos teisinės pagalbos įstatymo </w:t>
      </w:r>
      <w:r w:rsidR="002C1E32">
        <w:rPr>
          <w:rFonts w:cs="Times New Roman"/>
          <w:sz w:val="24"/>
          <w:szCs w:val="24"/>
        </w:rPr>
        <w:t>12 straipsnio 6 punkto nuostatas</w:t>
      </w:r>
      <w:r w:rsidR="002C1E32" w:rsidRPr="002C1E32">
        <w:rPr>
          <w:rFonts w:cs="Times New Roman"/>
          <w:sz w:val="24"/>
          <w:szCs w:val="24"/>
        </w:rPr>
        <w:t xml:space="preserve"> </w:t>
      </w:r>
      <w:r w:rsidR="00010E1D" w:rsidRPr="00010E1D">
        <w:rPr>
          <w:rFonts w:cs="Times New Roman"/>
          <w:sz w:val="24"/>
          <w:szCs w:val="24"/>
        </w:rPr>
        <w:t xml:space="preserve">suderinti </w:t>
      </w:r>
      <w:r w:rsidR="002C1E32">
        <w:rPr>
          <w:rFonts w:cs="Times New Roman"/>
          <w:sz w:val="24"/>
          <w:szCs w:val="24"/>
        </w:rPr>
        <w:t xml:space="preserve">su </w:t>
      </w:r>
      <w:r w:rsidR="003519DF">
        <w:rPr>
          <w:rFonts w:cs="Times New Roman"/>
          <w:sz w:val="24"/>
          <w:szCs w:val="24"/>
        </w:rPr>
        <w:t xml:space="preserve">Įstatymo </w:t>
      </w:r>
      <w:r w:rsidR="003519DF" w:rsidRPr="003519DF">
        <w:rPr>
          <w:rFonts w:cs="Times New Roman"/>
          <w:sz w:val="24"/>
          <w:szCs w:val="24"/>
        </w:rPr>
        <w:t>Nr. XIV-1722</w:t>
      </w:r>
      <w:r w:rsidR="003519DF">
        <w:rPr>
          <w:rFonts w:cs="Times New Roman"/>
          <w:sz w:val="24"/>
          <w:szCs w:val="24"/>
        </w:rPr>
        <w:t xml:space="preserve"> </w:t>
      </w:r>
      <w:r w:rsidR="002C1E32">
        <w:rPr>
          <w:rFonts w:cs="Times New Roman"/>
          <w:sz w:val="24"/>
          <w:szCs w:val="24"/>
        </w:rPr>
        <w:t xml:space="preserve">nuostatomis, siūlome Pareiškėjo </w:t>
      </w:r>
      <w:r w:rsidR="002C1E32" w:rsidRPr="002C1E32">
        <w:rPr>
          <w:rFonts w:cs="Times New Roman"/>
          <w:sz w:val="24"/>
          <w:szCs w:val="24"/>
        </w:rPr>
        <w:t>p</w:t>
      </w:r>
      <w:r w:rsidR="002C1E32">
        <w:rPr>
          <w:rFonts w:cs="Times New Roman"/>
          <w:sz w:val="24"/>
          <w:szCs w:val="24"/>
        </w:rPr>
        <w:t>eticijoje išdėstytą reikalavimą</w:t>
      </w:r>
      <w:r w:rsidR="002C1E32" w:rsidRPr="002C1E32">
        <w:rPr>
          <w:rFonts w:cs="Times New Roman"/>
          <w:sz w:val="24"/>
          <w:szCs w:val="24"/>
        </w:rPr>
        <w:t xml:space="preserve"> tenkinti</w:t>
      </w:r>
      <w:r w:rsidR="00F10A1B">
        <w:rPr>
          <w:rFonts w:cs="Times New Roman"/>
          <w:sz w:val="24"/>
          <w:szCs w:val="24"/>
        </w:rPr>
        <w:t>, šio punkto nuostatą išdėstant taip:</w:t>
      </w:r>
    </w:p>
    <w:p w:rsidR="00397A51" w:rsidRPr="00397A51" w:rsidRDefault="00F431B9" w:rsidP="00F16652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  <w:bookmarkStart w:id="1" w:name="part_c8024e0dc37e4a6f9aa9b562f4ab48fc"/>
      <w:bookmarkStart w:id="2" w:name="part_4f3699ebe5e8461cb4c5e2e4d1c8e775"/>
      <w:bookmarkEnd w:id="1"/>
      <w:bookmarkEnd w:id="2"/>
      <w:r>
        <w:rPr>
          <w:rFonts w:cs="Times New Roman"/>
          <w:sz w:val="24"/>
          <w:szCs w:val="24"/>
        </w:rPr>
        <w:t>„</w:t>
      </w:r>
      <w:r w:rsidR="007F06BE">
        <w:rPr>
          <w:rFonts w:cs="Times New Roman"/>
          <w:sz w:val="24"/>
          <w:szCs w:val="24"/>
        </w:rPr>
        <w:t xml:space="preserve">6) </w:t>
      </w:r>
      <w:r w:rsidR="00397A51" w:rsidRPr="00397A51">
        <w:rPr>
          <w:rFonts w:cs="Times New Roman"/>
          <w:sz w:val="24"/>
          <w:szCs w:val="24"/>
        </w:rPr>
        <w:t>asmenys, kuriems nustatytas sunkaus</w:t>
      </w:r>
      <w:r w:rsidR="007F06BE">
        <w:rPr>
          <w:rFonts w:cs="Times New Roman"/>
          <w:b/>
          <w:bCs/>
          <w:sz w:val="24"/>
          <w:szCs w:val="24"/>
        </w:rPr>
        <w:t xml:space="preserve"> </w:t>
      </w:r>
      <w:r w:rsidR="007F06BE">
        <w:rPr>
          <w:rFonts w:cs="Times New Roman"/>
          <w:sz w:val="24"/>
          <w:szCs w:val="24"/>
        </w:rPr>
        <w:t xml:space="preserve">neįgalumo lygis arba </w:t>
      </w:r>
      <w:r w:rsidR="00397A51" w:rsidRPr="00397A51">
        <w:rPr>
          <w:rFonts w:cs="Times New Roman"/>
          <w:sz w:val="24"/>
          <w:szCs w:val="24"/>
        </w:rPr>
        <w:t xml:space="preserve">0–25 procentų </w:t>
      </w:r>
      <w:proofErr w:type="spellStart"/>
      <w:r w:rsidR="00397A51" w:rsidRPr="00397A51">
        <w:rPr>
          <w:rFonts w:cs="Times New Roman"/>
          <w:sz w:val="24"/>
          <w:szCs w:val="24"/>
        </w:rPr>
        <w:t>dalyvumo</w:t>
      </w:r>
      <w:proofErr w:type="spellEnd"/>
      <w:r w:rsidR="00397A51" w:rsidRPr="00397A51">
        <w:rPr>
          <w:rFonts w:cs="Times New Roman"/>
          <w:sz w:val="24"/>
          <w:szCs w:val="24"/>
        </w:rPr>
        <w:t xml:space="preserve"> lygis, </w:t>
      </w:r>
      <w:r w:rsidR="007F06BE">
        <w:rPr>
          <w:rFonts w:cs="Times New Roman"/>
          <w:strike/>
          <w:sz w:val="24"/>
          <w:szCs w:val="24"/>
        </w:rPr>
        <w:t xml:space="preserve">arba sukakę </w:t>
      </w:r>
      <w:r w:rsidR="00397A51" w:rsidRPr="00010E1D">
        <w:rPr>
          <w:rFonts w:cs="Times New Roman"/>
          <w:strike/>
          <w:sz w:val="24"/>
          <w:szCs w:val="24"/>
        </w:rPr>
        <w:t>Lietuvos Respublikos socialinio drau</w:t>
      </w:r>
      <w:r w:rsidR="007F06BE">
        <w:rPr>
          <w:rFonts w:cs="Times New Roman"/>
          <w:strike/>
          <w:sz w:val="24"/>
          <w:szCs w:val="24"/>
        </w:rPr>
        <w:t xml:space="preserve">dimo pensijų įstatymo nustatytą </w:t>
      </w:r>
      <w:r w:rsidR="00397A51" w:rsidRPr="00010E1D">
        <w:rPr>
          <w:rFonts w:cs="Times New Roman"/>
          <w:strike/>
          <w:sz w:val="24"/>
          <w:szCs w:val="24"/>
        </w:rPr>
        <w:t xml:space="preserve">senatvės pensijos amžių asmenys, kuriems teisės aktų </w:t>
      </w:r>
      <w:r w:rsidR="007F06BE">
        <w:rPr>
          <w:rFonts w:cs="Times New Roman"/>
          <w:strike/>
          <w:sz w:val="24"/>
          <w:szCs w:val="24"/>
        </w:rPr>
        <w:t xml:space="preserve">nustatyta tvarka yra nustatytas </w:t>
      </w:r>
      <w:r w:rsidR="00397A51" w:rsidRPr="00010E1D">
        <w:rPr>
          <w:rFonts w:cs="Times New Roman"/>
          <w:strike/>
          <w:sz w:val="24"/>
          <w:szCs w:val="24"/>
        </w:rPr>
        <w:t>15 procentų</w:t>
      </w:r>
      <w:r w:rsidR="007F06BE">
        <w:rPr>
          <w:rFonts w:cs="Times New Roman"/>
          <w:b/>
          <w:bCs/>
          <w:strike/>
          <w:sz w:val="24"/>
          <w:szCs w:val="24"/>
        </w:rPr>
        <w:t xml:space="preserve"> </w:t>
      </w:r>
      <w:proofErr w:type="spellStart"/>
      <w:r w:rsidR="007F06BE">
        <w:rPr>
          <w:rFonts w:cs="Times New Roman"/>
          <w:strike/>
          <w:sz w:val="24"/>
          <w:szCs w:val="24"/>
        </w:rPr>
        <w:t>dalyvumo</w:t>
      </w:r>
      <w:proofErr w:type="spellEnd"/>
      <w:r w:rsidR="007F06BE">
        <w:rPr>
          <w:rFonts w:cs="Times New Roman"/>
          <w:strike/>
          <w:sz w:val="24"/>
          <w:szCs w:val="24"/>
        </w:rPr>
        <w:t xml:space="preserve"> l</w:t>
      </w:r>
      <w:r w:rsidR="00397A51" w:rsidRPr="00010E1D">
        <w:rPr>
          <w:rFonts w:cs="Times New Roman"/>
          <w:strike/>
          <w:sz w:val="24"/>
          <w:szCs w:val="24"/>
        </w:rPr>
        <w:t>ygis</w:t>
      </w:r>
      <w:r w:rsidR="007F06BE">
        <w:rPr>
          <w:rFonts w:cs="Times New Roman"/>
          <w:sz w:val="24"/>
          <w:szCs w:val="24"/>
        </w:rPr>
        <w:t xml:space="preserve"> </w:t>
      </w:r>
      <w:r w:rsidR="007F06BE">
        <w:rPr>
          <w:rFonts w:cs="Times New Roman"/>
          <w:b/>
          <w:sz w:val="24"/>
          <w:szCs w:val="24"/>
        </w:rPr>
        <w:t xml:space="preserve">(iki 2023 m. gruodžio 31 d. </w:t>
      </w:r>
      <w:r w:rsidR="00010E1D" w:rsidRPr="00010E1D">
        <w:rPr>
          <w:rFonts w:cs="Times New Roman"/>
          <w:b/>
          <w:sz w:val="24"/>
          <w:szCs w:val="24"/>
        </w:rPr>
        <w:t>nustatytas 0–25 procentų darbingumo lygis arba didel</w:t>
      </w:r>
      <w:r w:rsidR="00223E84">
        <w:rPr>
          <w:rFonts w:cs="Times New Roman"/>
          <w:b/>
          <w:sz w:val="24"/>
          <w:szCs w:val="24"/>
        </w:rPr>
        <w:t>ių specialiųjų poreikių lygis</w:t>
      </w:r>
      <w:r w:rsidR="00010E1D" w:rsidRPr="00010E1D">
        <w:rPr>
          <w:rFonts w:cs="Times New Roman"/>
          <w:b/>
          <w:sz w:val="24"/>
          <w:szCs w:val="24"/>
        </w:rPr>
        <w:t>)</w:t>
      </w:r>
      <w:r w:rsidR="00397A51" w:rsidRPr="00397A51">
        <w:rPr>
          <w:rFonts w:cs="Times New Roman"/>
          <w:sz w:val="24"/>
          <w:szCs w:val="24"/>
        </w:rPr>
        <w:t>, taip pat šiame punkte nurodytų asmenų globėjai (rūpintojai), kai valstybės garantuojama teisinė pagalba reikalinga globotinio (rūpintinio) teisėms ir interesams atstovauti bei ginti;</w:t>
      </w:r>
      <w:r>
        <w:rPr>
          <w:rFonts w:cs="Times New Roman"/>
          <w:sz w:val="24"/>
          <w:szCs w:val="24"/>
        </w:rPr>
        <w:t>“.</w:t>
      </w:r>
    </w:p>
    <w:p w:rsidR="00572AF4" w:rsidRDefault="00572AF4" w:rsidP="005013AF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572AF4" w:rsidRDefault="00572AF4" w:rsidP="005013AF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3D24DD" w:rsidRPr="003D24DD" w:rsidRDefault="003D24DD" w:rsidP="003D24DD">
      <w:pPr>
        <w:spacing w:line="360" w:lineRule="auto"/>
        <w:jc w:val="both"/>
        <w:rPr>
          <w:rFonts w:cs="Times New Roman"/>
          <w:sz w:val="24"/>
          <w:szCs w:val="24"/>
        </w:rPr>
      </w:pPr>
      <w:r w:rsidRPr="003D24DD">
        <w:rPr>
          <w:rFonts w:cs="Times New Roman"/>
          <w:sz w:val="24"/>
          <w:szCs w:val="24"/>
        </w:rPr>
        <w:t xml:space="preserve">Departamento direktorius                                                                                        Dainius </w:t>
      </w:r>
      <w:proofErr w:type="spellStart"/>
      <w:r w:rsidRPr="003D24DD">
        <w:rPr>
          <w:rFonts w:cs="Times New Roman"/>
          <w:sz w:val="24"/>
          <w:szCs w:val="24"/>
        </w:rPr>
        <w:t>Zebleckis</w:t>
      </w:r>
      <w:proofErr w:type="spellEnd"/>
    </w:p>
    <w:p w:rsidR="00572AF4" w:rsidRDefault="00572AF4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9621B1" w:rsidRDefault="009621B1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9621B1" w:rsidRDefault="009621B1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9621B1" w:rsidRDefault="009621B1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9621B1" w:rsidRDefault="009621B1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9621B1" w:rsidRDefault="009621B1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3519DF" w:rsidRDefault="003519DF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B6523B" w:rsidRDefault="00B6523B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F10A1B" w:rsidRDefault="00F10A1B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F10A1B" w:rsidRDefault="00F10A1B" w:rsidP="003D24DD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572AF4" w:rsidRPr="003D24DD" w:rsidRDefault="00F10A1B" w:rsidP="00F10A1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10A1B">
        <w:rPr>
          <w:rFonts w:cs="Times New Roman"/>
          <w:sz w:val="24"/>
          <w:szCs w:val="24"/>
        </w:rPr>
        <w:t xml:space="preserve">E. </w:t>
      </w:r>
      <w:proofErr w:type="spellStart"/>
      <w:r w:rsidRPr="00F10A1B">
        <w:rPr>
          <w:rFonts w:cs="Times New Roman"/>
          <w:sz w:val="24"/>
          <w:szCs w:val="24"/>
        </w:rPr>
        <w:t>Drėgvaitė</w:t>
      </w:r>
      <w:proofErr w:type="spellEnd"/>
      <w:r w:rsidRPr="00F10A1B">
        <w:rPr>
          <w:rFonts w:cs="Times New Roman"/>
          <w:sz w:val="24"/>
          <w:szCs w:val="24"/>
        </w:rPr>
        <w:t>, tel. +370 5 209 6891, el. p. egle.dregvaite@lrs.lt</w:t>
      </w:r>
    </w:p>
    <w:p w:rsidR="003D24DD" w:rsidRPr="003D24DD" w:rsidRDefault="003D24DD" w:rsidP="00F10A1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D24DD">
        <w:rPr>
          <w:rFonts w:cs="Times New Roman"/>
          <w:sz w:val="24"/>
          <w:szCs w:val="24"/>
        </w:rPr>
        <w:t>I. Šambaraitė, tel. +370 5 209 6850, el. p. </w:t>
      </w:r>
      <w:hyperlink r:id="rId9" w:tgtFrame="_parent" w:history="1">
        <w:r w:rsidRPr="003D24DD">
          <w:rPr>
            <w:rStyle w:val="Hipersaitas"/>
            <w:rFonts w:cs="Times New Roman"/>
            <w:sz w:val="24"/>
            <w:szCs w:val="24"/>
            <w:u w:val="none"/>
          </w:rPr>
          <w:t>irena.sambaraite@lrs.lt</w:t>
        </w:r>
      </w:hyperlink>
    </w:p>
    <w:p w:rsidR="001B79CF" w:rsidRPr="00694B02" w:rsidRDefault="003D24DD" w:rsidP="001E42E8">
      <w:pPr>
        <w:spacing w:line="360" w:lineRule="auto"/>
        <w:ind w:firstLine="851"/>
        <w:jc w:val="both"/>
        <w:rPr>
          <w:sz w:val="24"/>
          <w:szCs w:val="24"/>
        </w:rPr>
      </w:pPr>
      <w:r w:rsidRPr="003D24DD">
        <w:rPr>
          <w:rFonts w:cs="Times New Roman"/>
          <w:sz w:val="24"/>
          <w:szCs w:val="24"/>
        </w:rPr>
        <w:t>  </w:t>
      </w:r>
    </w:p>
    <w:sectPr w:rsidR="001B79CF" w:rsidRPr="00694B02" w:rsidSect="00053077">
      <w:headerReference w:type="default" r:id="rId10"/>
      <w:headerReference w:type="first" r:id="rId11"/>
      <w:pgSz w:w="11906" w:h="16838"/>
      <w:pgMar w:top="14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99" w:rsidRDefault="00AF0999" w:rsidP="00EA0A26">
      <w:pPr>
        <w:spacing w:after="0" w:line="240" w:lineRule="auto"/>
      </w:pPr>
      <w:r>
        <w:separator/>
      </w:r>
    </w:p>
  </w:endnote>
  <w:endnote w:type="continuationSeparator" w:id="0">
    <w:p w:rsidR="00AF0999" w:rsidRDefault="00AF0999" w:rsidP="00EA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99" w:rsidRDefault="00AF0999" w:rsidP="00EA0A26">
      <w:pPr>
        <w:spacing w:after="0" w:line="240" w:lineRule="auto"/>
      </w:pPr>
      <w:r>
        <w:separator/>
      </w:r>
    </w:p>
  </w:footnote>
  <w:footnote w:type="continuationSeparator" w:id="0">
    <w:p w:rsidR="00AF0999" w:rsidRDefault="00AF0999" w:rsidP="00EA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771929"/>
      <w:docPartObj>
        <w:docPartGallery w:val="Page Numbers (Top of Page)"/>
        <w:docPartUnique/>
      </w:docPartObj>
    </w:sdtPr>
    <w:sdtEndPr/>
    <w:sdtContent>
      <w:p w:rsidR="00AF0999" w:rsidRDefault="00AF09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B18">
          <w:rPr>
            <w:noProof/>
          </w:rPr>
          <w:t>2</w:t>
        </w:r>
        <w:r>
          <w:fldChar w:fldCharType="end"/>
        </w:r>
      </w:p>
    </w:sdtContent>
  </w:sdt>
  <w:p w:rsidR="00AF0999" w:rsidRDefault="00AF09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99" w:rsidRDefault="00AF0999" w:rsidP="00AF0999">
    <w:pPr>
      <w:pStyle w:val="Antrats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A"/>
    <w:rsid w:val="00002349"/>
    <w:rsid w:val="00003A47"/>
    <w:rsid w:val="00010E1D"/>
    <w:rsid w:val="00035F39"/>
    <w:rsid w:val="00045403"/>
    <w:rsid w:val="00053077"/>
    <w:rsid w:val="00054808"/>
    <w:rsid w:val="00057E75"/>
    <w:rsid w:val="000603AB"/>
    <w:rsid w:val="0006188B"/>
    <w:rsid w:val="00094FC6"/>
    <w:rsid w:val="0009587B"/>
    <w:rsid w:val="000958B3"/>
    <w:rsid w:val="0009650C"/>
    <w:rsid w:val="000A093B"/>
    <w:rsid w:val="000A2F84"/>
    <w:rsid w:val="000B2372"/>
    <w:rsid w:val="000B790D"/>
    <w:rsid w:val="000C4164"/>
    <w:rsid w:val="000C4176"/>
    <w:rsid w:val="000E26B2"/>
    <w:rsid w:val="000E39B2"/>
    <w:rsid w:val="000F76CB"/>
    <w:rsid w:val="00100958"/>
    <w:rsid w:val="001033F0"/>
    <w:rsid w:val="001113AB"/>
    <w:rsid w:val="00116B89"/>
    <w:rsid w:val="001204E6"/>
    <w:rsid w:val="00145E8E"/>
    <w:rsid w:val="001578D0"/>
    <w:rsid w:val="0016638E"/>
    <w:rsid w:val="00173597"/>
    <w:rsid w:val="00173D51"/>
    <w:rsid w:val="00174E81"/>
    <w:rsid w:val="00175570"/>
    <w:rsid w:val="00184CFB"/>
    <w:rsid w:val="001A3288"/>
    <w:rsid w:val="001A47EA"/>
    <w:rsid w:val="001A63B4"/>
    <w:rsid w:val="001A7B81"/>
    <w:rsid w:val="001B3E05"/>
    <w:rsid w:val="001B790F"/>
    <w:rsid w:val="001B79CF"/>
    <w:rsid w:val="001C083F"/>
    <w:rsid w:val="001D112E"/>
    <w:rsid w:val="001D4729"/>
    <w:rsid w:val="001D6BE8"/>
    <w:rsid w:val="001E2089"/>
    <w:rsid w:val="001E3623"/>
    <w:rsid w:val="001E42E8"/>
    <w:rsid w:val="00214404"/>
    <w:rsid w:val="00215D80"/>
    <w:rsid w:val="00223223"/>
    <w:rsid w:val="00223E84"/>
    <w:rsid w:val="00224E4F"/>
    <w:rsid w:val="002312B7"/>
    <w:rsid w:val="002531D1"/>
    <w:rsid w:val="002550D7"/>
    <w:rsid w:val="00262B58"/>
    <w:rsid w:val="0027070D"/>
    <w:rsid w:val="00280679"/>
    <w:rsid w:val="002851FC"/>
    <w:rsid w:val="002B26A1"/>
    <w:rsid w:val="002B6312"/>
    <w:rsid w:val="002B7484"/>
    <w:rsid w:val="002C1E32"/>
    <w:rsid w:val="002C708A"/>
    <w:rsid w:val="002D21C8"/>
    <w:rsid w:val="002D3136"/>
    <w:rsid w:val="002F2607"/>
    <w:rsid w:val="00312B0F"/>
    <w:rsid w:val="00341B94"/>
    <w:rsid w:val="0035060D"/>
    <w:rsid w:val="003519DF"/>
    <w:rsid w:val="0038555A"/>
    <w:rsid w:val="00394404"/>
    <w:rsid w:val="00397A51"/>
    <w:rsid w:val="003D24DD"/>
    <w:rsid w:val="003D4768"/>
    <w:rsid w:val="003E7D62"/>
    <w:rsid w:val="003F104A"/>
    <w:rsid w:val="003F388A"/>
    <w:rsid w:val="00407A7D"/>
    <w:rsid w:val="00413B4F"/>
    <w:rsid w:val="0042293E"/>
    <w:rsid w:val="0042383A"/>
    <w:rsid w:val="004310A0"/>
    <w:rsid w:val="0045306E"/>
    <w:rsid w:val="004670A7"/>
    <w:rsid w:val="0047187B"/>
    <w:rsid w:val="00484C37"/>
    <w:rsid w:val="00486A33"/>
    <w:rsid w:val="004909B6"/>
    <w:rsid w:val="0049755F"/>
    <w:rsid w:val="004A1B0B"/>
    <w:rsid w:val="004C22AA"/>
    <w:rsid w:val="004D4C8A"/>
    <w:rsid w:val="004D7B8C"/>
    <w:rsid w:val="004E1175"/>
    <w:rsid w:val="004F2738"/>
    <w:rsid w:val="004F654C"/>
    <w:rsid w:val="005013AF"/>
    <w:rsid w:val="00517C86"/>
    <w:rsid w:val="005333A1"/>
    <w:rsid w:val="0053676C"/>
    <w:rsid w:val="00572AF4"/>
    <w:rsid w:val="00582576"/>
    <w:rsid w:val="0059116A"/>
    <w:rsid w:val="005968E8"/>
    <w:rsid w:val="005B1D2C"/>
    <w:rsid w:val="005C22AB"/>
    <w:rsid w:val="005C24BA"/>
    <w:rsid w:val="005C7435"/>
    <w:rsid w:val="005F1797"/>
    <w:rsid w:val="005F357C"/>
    <w:rsid w:val="00606604"/>
    <w:rsid w:val="006165CF"/>
    <w:rsid w:val="006263E2"/>
    <w:rsid w:val="00626AE0"/>
    <w:rsid w:val="006555D0"/>
    <w:rsid w:val="00694B02"/>
    <w:rsid w:val="006A3314"/>
    <w:rsid w:val="006A6A3E"/>
    <w:rsid w:val="006B1375"/>
    <w:rsid w:val="006B2769"/>
    <w:rsid w:val="006E43C2"/>
    <w:rsid w:val="006E563B"/>
    <w:rsid w:val="0070549D"/>
    <w:rsid w:val="00727CDB"/>
    <w:rsid w:val="00727FD6"/>
    <w:rsid w:val="00737D53"/>
    <w:rsid w:val="007459F8"/>
    <w:rsid w:val="007468A1"/>
    <w:rsid w:val="00751D30"/>
    <w:rsid w:val="00752BA2"/>
    <w:rsid w:val="0075338C"/>
    <w:rsid w:val="00772E8D"/>
    <w:rsid w:val="00780C19"/>
    <w:rsid w:val="007913B5"/>
    <w:rsid w:val="00792337"/>
    <w:rsid w:val="007A6C24"/>
    <w:rsid w:val="007B18BF"/>
    <w:rsid w:val="007D67A2"/>
    <w:rsid w:val="007E5055"/>
    <w:rsid w:val="007F06BE"/>
    <w:rsid w:val="00803734"/>
    <w:rsid w:val="00804B18"/>
    <w:rsid w:val="00815E20"/>
    <w:rsid w:val="0082190E"/>
    <w:rsid w:val="00830D2E"/>
    <w:rsid w:val="00837F94"/>
    <w:rsid w:val="008535D8"/>
    <w:rsid w:val="00864A6A"/>
    <w:rsid w:val="00871AD3"/>
    <w:rsid w:val="00882C98"/>
    <w:rsid w:val="008833A0"/>
    <w:rsid w:val="00893A32"/>
    <w:rsid w:val="008B0412"/>
    <w:rsid w:val="008D6F2E"/>
    <w:rsid w:val="008D712C"/>
    <w:rsid w:val="008E2024"/>
    <w:rsid w:val="008E5B52"/>
    <w:rsid w:val="008F0197"/>
    <w:rsid w:val="00904102"/>
    <w:rsid w:val="00907465"/>
    <w:rsid w:val="009344D8"/>
    <w:rsid w:val="00941ECB"/>
    <w:rsid w:val="00947C19"/>
    <w:rsid w:val="009621B1"/>
    <w:rsid w:val="00963C82"/>
    <w:rsid w:val="00976579"/>
    <w:rsid w:val="00977905"/>
    <w:rsid w:val="009909F8"/>
    <w:rsid w:val="00995B91"/>
    <w:rsid w:val="009B30ED"/>
    <w:rsid w:val="009D0901"/>
    <w:rsid w:val="009D24C0"/>
    <w:rsid w:val="009E2A56"/>
    <w:rsid w:val="009E2A7F"/>
    <w:rsid w:val="009F3524"/>
    <w:rsid w:val="009F50AF"/>
    <w:rsid w:val="00A054F6"/>
    <w:rsid w:val="00A11FAD"/>
    <w:rsid w:val="00A21C04"/>
    <w:rsid w:val="00A24306"/>
    <w:rsid w:val="00A3180B"/>
    <w:rsid w:val="00A33102"/>
    <w:rsid w:val="00A44C2E"/>
    <w:rsid w:val="00A45D9F"/>
    <w:rsid w:val="00A566EB"/>
    <w:rsid w:val="00A57D0F"/>
    <w:rsid w:val="00A62B2C"/>
    <w:rsid w:val="00A76E3C"/>
    <w:rsid w:val="00A91317"/>
    <w:rsid w:val="00AA17AF"/>
    <w:rsid w:val="00AB32F2"/>
    <w:rsid w:val="00AB58B5"/>
    <w:rsid w:val="00AC01F7"/>
    <w:rsid w:val="00AE11CF"/>
    <w:rsid w:val="00AE4416"/>
    <w:rsid w:val="00AE4F0A"/>
    <w:rsid w:val="00AF0999"/>
    <w:rsid w:val="00AF1832"/>
    <w:rsid w:val="00B24611"/>
    <w:rsid w:val="00B3124A"/>
    <w:rsid w:val="00B3177E"/>
    <w:rsid w:val="00B359D8"/>
    <w:rsid w:val="00B40711"/>
    <w:rsid w:val="00B47492"/>
    <w:rsid w:val="00B6523B"/>
    <w:rsid w:val="00B86BFD"/>
    <w:rsid w:val="00B95B74"/>
    <w:rsid w:val="00B96CD8"/>
    <w:rsid w:val="00BA09D4"/>
    <w:rsid w:val="00BA5464"/>
    <w:rsid w:val="00BB152A"/>
    <w:rsid w:val="00BB5C6C"/>
    <w:rsid w:val="00BB74F9"/>
    <w:rsid w:val="00BC1462"/>
    <w:rsid w:val="00BC4280"/>
    <w:rsid w:val="00BD1FDC"/>
    <w:rsid w:val="00BD5430"/>
    <w:rsid w:val="00BD7505"/>
    <w:rsid w:val="00BD7FBA"/>
    <w:rsid w:val="00BF4DB2"/>
    <w:rsid w:val="00C148EA"/>
    <w:rsid w:val="00C20ACF"/>
    <w:rsid w:val="00C25CC2"/>
    <w:rsid w:val="00C26611"/>
    <w:rsid w:val="00C35121"/>
    <w:rsid w:val="00C47B1F"/>
    <w:rsid w:val="00C8293C"/>
    <w:rsid w:val="00C975F1"/>
    <w:rsid w:val="00CA5803"/>
    <w:rsid w:val="00CA7500"/>
    <w:rsid w:val="00CA7676"/>
    <w:rsid w:val="00CB0BA0"/>
    <w:rsid w:val="00CC5289"/>
    <w:rsid w:val="00CD69F5"/>
    <w:rsid w:val="00CD7FF8"/>
    <w:rsid w:val="00CE2885"/>
    <w:rsid w:val="00CE54A9"/>
    <w:rsid w:val="00CE5CC2"/>
    <w:rsid w:val="00CE6D53"/>
    <w:rsid w:val="00CF036A"/>
    <w:rsid w:val="00D25C8D"/>
    <w:rsid w:val="00D304E5"/>
    <w:rsid w:val="00D3119D"/>
    <w:rsid w:val="00D3135C"/>
    <w:rsid w:val="00D31746"/>
    <w:rsid w:val="00D35BD7"/>
    <w:rsid w:val="00D42C56"/>
    <w:rsid w:val="00D43CE6"/>
    <w:rsid w:val="00D5709E"/>
    <w:rsid w:val="00D70D2E"/>
    <w:rsid w:val="00D77263"/>
    <w:rsid w:val="00D77DA7"/>
    <w:rsid w:val="00D87691"/>
    <w:rsid w:val="00DA496D"/>
    <w:rsid w:val="00DB2BFF"/>
    <w:rsid w:val="00DB459B"/>
    <w:rsid w:val="00DB5EAA"/>
    <w:rsid w:val="00DB6FED"/>
    <w:rsid w:val="00DD74D1"/>
    <w:rsid w:val="00E0740E"/>
    <w:rsid w:val="00E07D92"/>
    <w:rsid w:val="00E21793"/>
    <w:rsid w:val="00E325A1"/>
    <w:rsid w:val="00E35BC3"/>
    <w:rsid w:val="00E47F7E"/>
    <w:rsid w:val="00E70980"/>
    <w:rsid w:val="00E766E9"/>
    <w:rsid w:val="00E87B00"/>
    <w:rsid w:val="00EA0A26"/>
    <w:rsid w:val="00EA0F5E"/>
    <w:rsid w:val="00EC43C7"/>
    <w:rsid w:val="00ED0B52"/>
    <w:rsid w:val="00ED4A90"/>
    <w:rsid w:val="00F000E7"/>
    <w:rsid w:val="00F0287D"/>
    <w:rsid w:val="00F10A1B"/>
    <w:rsid w:val="00F1645C"/>
    <w:rsid w:val="00F16652"/>
    <w:rsid w:val="00F214CE"/>
    <w:rsid w:val="00F25498"/>
    <w:rsid w:val="00F35D22"/>
    <w:rsid w:val="00F431B9"/>
    <w:rsid w:val="00F50089"/>
    <w:rsid w:val="00F504B4"/>
    <w:rsid w:val="00F5189C"/>
    <w:rsid w:val="00F5659A"/>
    <w:rsid w:val="00F56B5B"/>
    <w:rsid w:val="00F82C76"/>
    <w:rsid w:val="00F8583D"/>
    <w:rsid w:val="00F9522F"/>
    <w:rsid w:val="00F97AC6"/>
    <w:rsid w:val="00FA2B63"/>
    <w:rsid w:val="00FA446F"/>
    <w:rsid w:val="00FA50BF"/>
    <w:rsid w:val="00FB6FF3"/>
    <w:rsid w:val="00FD26CE"/>
    <w:rsid w:val="00FD3FA3"/>
    <w:rsid w:val="00FD71C7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2382"/>
  <w15:chartTrackingRefBased/>
  <w15:docId w15:val="{26B9DF9D-2CEB-42F3-B588-A330874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0A2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0A2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A0A2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92337"/>
    <w:pPr>
      <w:tabs>
        <w:tab w:val="center" w:pos="4819"/>
        <w:tab w:val="right" w:pos="9638"/>
      </w:tabs>
      <w:spacing w:after="0" w:line="240" w:lineRule="auto"/>
      <w:jc w:val="both"/>
    </w:pPr>
    <w:rPr>
      <w:rFonts w:eastAsia="Calibri" w:cs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2337"/>
    <w:rPr>
      <w:rFonts w:eastAsia="Calibri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D24C0"/>
    <w:pPr>
      <w:spacing w:after="120" w:line="360" w:lineRule="auto"/>
      <w:jc w:val="both"/>
    </w:pPr>
    <w:rPr>
      <w:rFonts w:eastAsia="Calibri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24C0"/>
    <w:rPr>
      <w:rFonts w:eastAsia="Calibri" w:cs="Times New Roman"/>
      <w:sz w:val="24"/>
    </w:rPr>
  </w:style>
  <w:style w:type="character" w:styleId="Hipersaitas">
    <w:name w:val="Hyperlink"/>
    <w:semiHidden/>
    <w:rsid w:val="009D24C0"/>
    <w:rPr>
      <w:color w:val="000000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591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116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7263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BD5430"/>
    <w:pPr>
      <w:spacing w:after="0" w:line="240" w:lineRule="auto"/>
    </w:pPr>
  </w:style>
  <w:style w:type="paragraph" w:styleId="Sraopastraipa">
    <w:name w:val="List Paragraph"/>
    <w:basedOn w:val="prastasis"/>
    <w:qFormat/>
    <w:rsid w:val="0070549D"/>
    <w:pPr>
      <w:suppressAutoHyphens/>
      <w:overflowPunct w:val="0"/>
      <w:spacing w:after="0" w:line="240" w:lineRule="auto"/>
      <w:ind w:left="720" w:firstLine="1134"/>
      <w:contextualSpacing/>
      <w:jc w:val="both"/>
    </w:pPr>
    <w:rPr>
      <w:rFonts w:ascii="Calibri" w:eastAsia="Calibri" w:hAnsi="Calibri" w:cs="DejaVu Sans"/>
      <w:sz w:val="24"/>
    </w:rPr>
  </w:style>
  <w:style w:type="paragraph" w:styleId="prastasiniatinklio">
    <w:name w:val="Normal (Web)"/>
    <w:basedOn w:val="prastasis"/>
    <w:uiPriority w:val="99"/>
    <w:unhideWhenUsed/>
    <w:rsid w:val="004F2738"/>
    <w:pPr>
      <w:spacing w:after="300" w:line="300" w:lineRule="atLeast"/>
    </w:pPr>
    <w:rPr>
      <w:rFonts w:eastAsia="Times New Roman" w:cs="Times New Roman"/>
      <w:sz w:val="24"/>
      <w:szCs w:val="24"/>
      <w:lang w:eastAsia="lt-LT"/>
    </w:rPr>
  </w:style>
  <w:style w:type="paragraph" w:customStyle="1" w:styleId="motarg">
    <w:name w:val="motarg"/>
    <w:basedOn w:val="prastasis"/>
    <w:rsid w:val="00501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E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ena.sambaraite@lrs.l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Z6YWEJNPDQQR-896559167-420</_dlc_DocId>
    <_dlc_DocIdUrl xmlns="28130d43-1b56-4a10-ad88-2cd38123f4c1">
      <Url>https://intranetas.lrs.lt/29/_layouts/15/DocIdRedir.aspx?ID=Z6YWEJNPDQQR-896559167-420</Url>
      <Description>Z6YWEJNPDQQR-896559167-420</Description>
    </_dlc_DocIdUrl>
  </documentManagement>
</p:properties>
</file>

<file path=customXml/itemProps1.xml><?xml version="1.0" encoding="utf-8"?>
<ds:datastoreItem xmlns:ds="http://schemas.openxmlformats.org/officeDocument/2006/customXml" ds:itemID="{A1EB6870-7A02-44E1-912A-A81B2F79B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FC0B7-3EC6-4F67-A4A9-D8293D886557}"/>
</file>

<file path=customXml/itemProps3.xml><?xml version="1.0" encoding="utf-8"?>
<ds:datastoreItem xmlns:ds="http://schemas.openxmlformats.org/officeDocument/2006/customXml" ds:itemID="{29A3D8F0-31CC-436A-BE79-3708A5241E1E}"/>
</file>

<file path=customXml/itemProps4.xml><?xml version="1.0" encoding="utf-8"?>
<ds:datastoreItem xmlns:ds="http://schemas.openxmlformats.org/officeDocument/2006/customXml" ds:itemID="{0784CC10-2A3C-4BB0-B467-498C9BE90150}"/>
</file>

<file path=customXml/itemProps5.xml><?xml version="1.0" encoding="utf-8"?>
<ds:datastoreItem xmlns:ds="http://schemas.openxmlformats.org/officeDocument/2006/customXml" ds:itemID="{959A6F73-BABD-4B48-AAA1-D6A03363D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Seimas</dc:creator>
  <cp:keywords/>
  <dc:description/>
  <cp:lastModifiedBy>KNIUKŠTIENĖ Rimantė</cp:lastModifiedBy>
  <cp:revision>2</cp:revision>
  <cp:lastPrinted>2024-03-27T09:42:00Z</cp:lastPrinted>
  <dcterms:created xsi:type="dcterms:W3CDTF">2024-03-27T11:15:00Z</dcterms:created>
  <dcterms:modified xsi:type="dcterms:W3CDTF">2024-03-27T11:15:00Z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776612fa-ff29-4380-aa8d-9e82814b8452</vt:lpwstr>
  </property>
</Properties>
</file>