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3"/>
          <w:szCs w:val="23"/>
        </w:rPr>
        <w:alias w:val="pagrindine"/>
        <w:tag w:val="part_46a0fb91daf64f5292e9262b495ae84e"/>
        <w:id w:val="1957282416"/>
        <w:lock w:val="sdtLocked"/>
      </w:sdtPr>
      <w:sdtEndPr/>
      <w:sdtContent>
        <w:p w:rsidR="005427A1" w:rsidRPr="00D627CE" w:rsidRDefault="005427A1">
          <w:pPr>
            <w:tabs>
              <w:tab w:val="center" w:pos="4819"/>
              <w:tab w:val="right" w:pos="9638"/>
            </w:tabs>
            <w:rPr>
              <w:rFonts w:ascii="CG Times" w:hAnsi="CG Times"/>
              <w:sz w:val="23"/>
              <w:szCs w:val="23"/>
            </w:rPr>
          </w:pPr>
        </w:p>
        <w:p w:rsidR="005427A1" w:rsidRPr="00D627CE" w:rsidRDefault="00AC3DB9">
          <w:pPr>
            <w:jc w:val="center"/>
            <w:rPr>
              <w:sz w:val="23"/>
              <w:szCs w:val="23"/>
            </w:rPr>
          </w:pPr>
          <w:r w:rsidRPr="00D627CE">
            <w:rPr>
              <w:noProof/>
              <w:sz w:val="23"/>
              <w:szCs w:val="23"/>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D627CE" w:rsidRDefault="005427A1">
          <w:pPr>
            <w:ind w:firstLine="851"/>
            <w:jc w:val="center"/>
            <w:rPr>
              <w:sz w:val="23"/>
              <w:szCs w:val="23"/>
            </w:rPr>
          </w:pPr>
        </w:p>
        <w:p w:rsidR="005427A1" w:rsidRPr="00D627CE" w:rsidRDefault="00AC3DB9">
          <w:pPr>
            <w:jc w:val="center"/>
            <w:rPr>
              <w:b/>
              <w:bCs/>
              <w:sz w:val="23"/>
              <w:szCs w:val="23"/>
            </w:rPr>
          </w:pPr>
          <w:r w:rsidRPr="00D627CE">
            <w:rPr>
              <w:b/>
              <w:bCs/>
              <w:sz w:val="23"/>
              <w:szCs w:val="23"/>
            </w:rPr>
            <w:t>LIETUVOS RESPUBLIKOS SEIMO</w:t>
          </w:r>
        </w:p>
        <w:p w:rsidR="005427A1" w:rsidRPr="00D627CE" w:rsidRDefault="00AC3DB9">
          <w:pPr>
            <w:spacing w:line="360" w:lineRule="auto"/>
            <w:jc w:val="center"/>
            <w:rPr>
              <w:b/>
              <w:bCs/>
              <w:spacing w:val="4"/>
              <w:sz w:val="23"/>
              <w:szCs w:val="23"/>
            </w:rPr>
          </w:pPr>
          <w:r w:rsidRPr="00D627CE">
            <w:rPr>
              <w:b/>
              <w:bCs/>
              <w:spacing w:val="4"/>
              <w:sz w:val="23"/>
              <w:szCs w:val="23"/>
            </w:rPr>
            <w:t>PETICIJŲ KOMISIJA</w:t>
          </w:r>
        </w:p>
        <w:p w:rsidR="005427A1" w:rsidRPr="00D627CE" w:rsidRDefault="00AC3DB9">
          <w:pPr>
            <w:spacing w:line="360" w:lineRule="auto"/>
            <w:jc w:val="center"/>
            <w:rPr>
              <w:rFonts w:eastAsia="Calibri"/>
              <w:b/>
              <w:sz w:val="23"/>
              <w:szCs w:val="23"/>
            </w:rPr>
          </w:pPr>
          <w:r w:rsidRPr="00D627CE">
            <w:rPr>
              <w:rFonts w:eastAsia="Calibri"/>
              <w:b/>
              <w:sz w:val="23"/>
              <w:szCs w:val="23"/>
            </w:rPr>
            <w:t>IŠVADA</w:t>
          </w:r>
        </w:p>
        <w:p w:rsidR="005427A1" w:rsidRPr="00D627CE" w:rsidRDefault="00AC3DB9">
          <w:pPr>
            <w:spacing w:line="360" w:lineRule="auto"/>
            <w:jc w:val="center"/>
            <w:rPr>
              <w:rFonts w:eastAsia="Calibri"/>
              <w:b/>
              <w:sz w:val="23"/>
              <w:szCs w:val="23"/>
            </w:rPr>
          </w:pPr>
          <w:r w:rsidRPr="00D627CE">
            <w:rPr>
              <w:rFonts w:eastAsia="Calibri"/>
              <w:b/>
              <w:sz w:val="23"/>
              <w:szCs w:val="23"/>
            </w:rPr>
            <w:t>DĖL PETICIJOJE PATEIKTO SIŪLYMO NETENKINIMO</w:t>
          </w:r>
        </w:p>
        <w:p w:rsidR="005427A1" w:rsidRPr="00D627CE" w:rsidRDefault="00FF75B2">
          <w:pPr>
            <w:spacing w:line="360" w:lineRule="auto"/>
            <w:jc w:val="center"/>
            <w:rPr>
              <w:rFonts w:eastAsia="Calibri"/>
              <w:sz w:val="23"/>
              <w:szCs w:val="23"/>
              <w:lang w:val="en-US"/>
            </w:rPr>
          </w:pPr>
          <w:r w:rsidRPr="00D627CE">
            <w:rPr>
              <w:rFonts w:eastAsia="Calibri"/>
              <w:sz w:val="23"/>
              <w:szCs w:val="23"/>
            </w:rPr>
            <w:t xml:space="preserve">2024 m. birželio </w:t>
          </w:r>
          <w:r w:rsidR="00916CF8">
            <w:rPr>
              <w:rFonts w:eastAsia="Calibri"/>
              <w:sz w:val="23"/>
              <w:szCs w:val="23"/>
              <w:lang w:val="en-US"/>
            </w:rPr>
            <w:t>19</w:t>
          </w:r>
          <w:r w:rsidR="00A80077">
            <w:rPr>
              <w:rFonts w:eastAsia="Calibri"/>
              <w:sz w:val="23"/>
              <w:szCs w:val="23"/>
            </w:rPr>
            <w:t xml:space="preserve"> d. Nr. 250-I-19</w:t>
          </w:r>
        </w:p>
        <w:p w:rsidR="005427A1" w:rsidRPr="00D627CE" w:rsidRDefault="00AC3DB9">
          <w:pPr>
            <w:spacing w:line="360" w:lineRule="auto"/>
            <w:jc w:val="center"/>
            <w:rPr>
              <w:rFonts w:eastAsia="Calibri"/>
              <w:sz w:val="23"/>
              <w:szCs w:val="23"/>
            </w:rPr>
          </w:pPr>
          <w:r w:rsidRPr="00D627CE">
            <w:rPr>
              <w:rFonts w:eastAsia="Calibri"/>
              <w:sz w:val="23"/>
              <w:szCs w:val="23"/>
            </w:rPr>
            <w:t>Vilnius</w:t>
          </w:r>
        </w:p>
        <w:p w:rsidR="005427A1" w:rsidRPr="00D627CE" w:rsidRDefault="005427A1">
          <w:pPr>
            <w:spacing w:line="360" w:lineRule="auto"/>
            <w:jc w:val="center"/>
            <w:rPr>
              <w:rFonts w:eastAsia="Calibri"/>
              <w:sz w:val="23"/>
              <w:szCs w:val="23"/>
            </w:rPr>
          </w:pPr>
        </w:p>
        <w:sdt>
          <w:sdtPr>
            <w:rPr>
              <w:color w:val="auto"/>
              <w:szCs w:val="20"/>
              <w:lang w:eastAsia="en-US"/>
            </w:rPr>
            <w:alias w:val="preambule"/>
            <w:tag w:val="part_4a1e2754778e450bbfed49196cc2268c"/>
            <w:id w:val="-236793222"/>
            <w:lock w:val="sdtLocked"/>
          </w:sdtPr>
          <w:sdtEndPr/>
          <w:sdtContent>
            <w:p w:rsidR="005D69F4" w:rsidRDefault="00A80077" w:rsidP="003A6158">
              <w:pPr>
                <w:pStyle w:val="Default"/>
                <w:spacing w:line="360" w:lineRule="auto"/>
                <w:ind w:firstLine="720"/>
                <w:jc w:val="both"/>
                <w:rPr>
                  <w:rFonts w:eastAsia="Calibri"/>
                </w:rPr>
              </w:pPr>
              <w:r w:rsidRPr="004E5D57">
                <w:t xml:space="preserve">Lietuvos Respublikos Seimo Peticijų komisija (toliau – Komisija) 2024 m. birželio </w:t>
              </w:r>
              <w:r w:rsidRPr="004E5D57">
                <w:rPr>
                  <w:lang w:val="en-US"/>
                </w:rPr>
                <w:t>19</w:t>
              </w:r>
              <w:r w:rsidRPr="004E5D57">
                <w:t xml:space="preserve"> d. posėdyje išnagrinėjo pareiškėjo peticiją, kurioje pateiktas siūlymas</w:t>
              </w:r>
              <w:r w:rsidRPr="004E5D57">
                <w:rPr>
                  <w:color w:val="1F4E79" w:themeColor="accent1" w:themeShade="80"/>
                  <w:lang w:bidi="bn-IN"/>
                </w:rPr>
                <w:t xml:space="preserve"> </w:t>
              </w:r>
              <w:r w:rsidRPr="00620304">
                <w:t>pakeisti Lietuvos Respublikos specialiųjų žemės naudojimo sąlygų įstatymo 55 straipsnio 2 dalį ir ją išdėstyti taip: „Aerodromo triukšmo apsauginėje zonoje draudžiama rekonstruoti (jeigu rekonstravimo metu didėja pastato išorės matmenys) gyvenamosios paskirties pastatus, išskyrus atvejus, leisti kai statant, remontuojant, rekonstruojant, renovuojant (jeigu rekonstravimo metu didėja pastato išorės matmenys) visuomeninius ir gyvenamosios paskirties pastatus yra įrengiamos ir privalo būti numatytos triukšmą mažinančios priemonės (įskaitant, bet neapsiribojant triukšmą izoliuojantys langai, skirti gyvenamiesiems kambariams, virtuvėms, valgomiesiems bei miegamiesiems kambariams, stogų ir fasadų izoliavimo nuo triukšmo priemonės, triukšmą izoliuojančios ventiliacinės sistemos), atitinkančios HN 33:2011 „Triukšmo ribiniai dydžiai gyvenamuosiuose ir visuomeninės paskirties pastatuose bei jų aplinkoje“, kitų privalomų higienos normų ir statybos teisės aktų reikalavimus, bei užtikrinančios, kad aukščiau išvardintų paskirčių pastatų viduje nebūtų viršijami didžiausi leidžiami triukšmo ribiniai dydžiai. „papildyti įstatymo kompensavimo mechanizmo galimybes: dėl nuosavybės teise priklausančiame sklype deklaruoto Ypatingos valstybinės svarbos objekto – taikyti specialiąsias sąlygas arba žemės paėmimą visuomenės reikmėms, suteikiant kitą lygiavertį sklypą, esant galim</w:t>
              </w:r>
              <w:r>
                <w:t>ybei</w:t>
              </w:r>
              <w:r w:rsidRPr="007C1F4B">
                <w:t xml:space="preserve">“ </w:t>
              </w:r>
              <w:r w:rsidRPr="007C1F4B">
                <w:rPr>
                  <w:rFonts w:eastAsia="Calibri"/>
                </w:rPr>
                <w:t xml:space="preserve">ir priėmė sprendimą </w:t>
              </w:r>
              <w:r w:rsidRPr="007C1F4B">
                <w:t xml:space="preserve">teikti Seimui išvadą </w:t>
              </w:r>
              <w:r w:rsidRPr="007C1F4B">
                <w:rPr>
                  <w:rFonts w:eastAsia="Calibri"/>
                </w:rPr>
                <w:t>netenkinti šio siūlymo.</w:t>
              </w:r>
              <w:r w:rsidRPr="004E5D57">
                <w:rPr>
                  <w:rFonts w:eastAsia="Calibri"/>
                </w:rPr>
                <w:t xml:space="preserve"> </w:t>
              </w:r>
            </w:p>
            <w:p w:rsidR="00A80077" w:rsidRDefault="00A80077" w:rsidP="003A6158">
              <w:pPr>
                <w:pStyle w:val="Default"/>
                <w:spacing w:line="360" w:lineRule="auto"/>
                <w:ind w:firstLine="720"/>
                <w:jc w:val="both"/>
              </w:pPr>
              <w:r w:rsidRPr="004E5D57">
                <w:t>Komisija</w:t>
              </w:r>
              <w:r w:rsidRPr="004E5D57">
                <w:rPr>
                  <w:rFonts w:eastAsia="Calibri"/>
                </w:rPr>
                <w:t xml:space="preserve"> sprendimą priėmė atsižvelgusi į Lietuvos Respublikos </w:t>
              </w:r>
              <w:r w:rsidR="00A91626" w:rsidRPr="00C67B26">
                <w:t>Seimo ka</w:t>
              </w:r>
              <w:r w:rsidR="00A91626">
                <w:t xml:space="preserve">nceliarijos Teisės departamento, </w:t>
              </w:r>
              <w:r w:rsidR="00A91626" w:rsidRPr="00C67B26">
                <w:t xml:space="preserve">Lietuvos Respublikos susiekimo ministerijos ir </w:t>
              </w:r>
              <w:r w:rsidR="00A91626" w:rsidRPr="00F7461A">
                <w:rPr>
                  <w:noProof/>
                </w:rPr>
                <w:t>Akcinė</w:t>
              </w:r>
              <w:r w:rsidR="00A91626">
                <w:rPr>
                  <w:noProof/>
                </w:rPr>
                <w:t>s</w:t>
              </w:r>
              <w:r w:rsidR="00A91626" w:rsidRPr="00F7461A">
                <w:rPr>
                  <w:noProof/>
                </w:rPr>
                <w:t xml:space="preserve"> bendrovė</w:t>
              </w:r>
              <w:r w:rsidR="00A91626">
                <w:rPr>
                  <w:noProof/>
                </w:rPr>
                <w:t>s</w:t>
              </w:r>
              <w:r w:rsidR="00A91626" w:rsidRPr="00C67B26">
                <w:t xml:space="preserve"> Lietuvos oro uostai </w:t>
              </w:r>
              <w:r w:rsidRPr="005D69F4">
                <w:rPr>
                  <w:rFonts w:eastAsia="Calibri"/>
                </w:rPr>
                <w:t>nuomonę dėl peticijoje pateikto siūlymo.</w:t>
              </w:r>
              <w:r w:rsidRPr="004E5D57">
                <w:t xml:space="preserve"> </w:t>
              </w:r>
            </w:p>
            <w:p w:rsidR="00A80077" w:rsidRPr="00620304" w:rsidRDefault="00A80077" w:rsidP="00A80077">
              <w:pPr>
                <w:spacing w:line="360" w:lineRule="auto"/>
                <w:ind w:firstLine="720"/>
                <w:jc w:val="both"/>
                <w:rPr>
                  <w:color w:val="000000"/>
                  <w:szCs w:val="24"/>
                  <w:lang w:eastAsia="lt-LT"/>
                </w:rPr>
              </w:pPr>
              <w:r w:rsidRPr="00620304">
                <w:rPr>
                  <w:bCs/>
                  <w:color w:val="000000"/>
                  <w:szCs w:val="24"/>
                </w:rPr>
                <w:t>Specialiųjų žemės naudojimo sąlygų įstatymo (toliau – SŽNSĮ) 2 straipsnio 2 dalyje nustatyta, kad aerodromo triukšmo apsauginė zona -</w:t>
              </w:r>
              <w:r w:rsidRPr="00620304">
                <w:rPr>
                  <w:color w:val="000000"/>
                  <w:szCs w:val="24"/>
                </w:rPr>
                <w:t xml:space="preserve"> aplink aerodromą esanti teritorija, kurioje dėl galimo neigiamo triukšmo poveikio visuomenės sveikatai turi būti taikomos šiuo įstatymu nustatytos specialiosios žemės naudojimo sąlygos. Šio įstatymo 54 straipsnyje nustatyta, kad a</w:t>
              </w:r>
              <w:r w:rsidRPr="00620304">
                <w:rPr>
                  <w:color w:val="000000"/>
                  <w:szCs w:val="24"/>
                  <w:lang w:eastAsia="lt-LT"/>
                </w:rPr>
                <w:t xml:space="preserve">erodromo triukšmo apsauginė zona nustatoma aerodromams su dirbtine orlaivių kilimo ir tūpimo tako danga, </w:t>
              </w:r>
              <w:r w:rsidRPr="00620304">
                <w:rPr>
                  <w:color w:val="000000"/>
                  <w:szCs w:val="24"/>
                  <w:lang w:eastAsia="lt-LT"/>
                </w:rPr>
                <w:lastRenderedPageBreak/>
                <w:t xml:space="preserve">kai kilimo ir tūpimo tako ilgis ne trumpesnis kaip 1 200 metrų, atsižvelgus į modeliavimo būdu </w:t>
              </w:r>
              <w:r w:rsidR="009B06DD" w:rsidRPr="00620304">
                <w:rPr>
                  <w:szCs w:val="24"/>
                </w:rPr>
                <w:t xml:space="preserve">Lietuvos Respublikos </w:t>
              </w:r>
              <w:r w:rsidR="009B06DD">
                <w:rPr>
                  <w:color w:val="000000"/>
                  <w:szCs w:val="24"/>
                  <w:lang w:eastAsia="lt-LT"/>
                </w:rPr>
                <w:t>a</w:t>
              </w:r>
              <w:r w:rsidRPr="00620304">
                <w:rPr>
                  <w:color w:val="000000"/>
                  <w:szCs w:val="24"/>
                  <w:lang w:eastAsia="lt-LT"/>
                </w:rPr>
                <w:t>viacijos įstatyme</w:t>
              </w:r>
              <w:r w:rsidR="009B06DD">
                <w:rPr>
                  <w:color w:val="000000"/>
                  <w:szCs w:val="24"/>
                  <w:lang w:eastAsia="lt-LT"/>
                </w:rPr>
                <w:t xml:space="preserve"> </w:t>
              </w:r>
              <w:r w:rsidR="009B06DD" w:rsidRPr="004E5D57">
                <w:t>(toliau –</w:t>
              </w:r>
              <w:r w:rsidR="009B06DD" w:rsidRPr="009B06DD">
                <w:rPr>
                  <w:color w:val="000000"/>
                  <w:szCs w:val="24"/>
                  <w:lang w:eastAsia="lt-LT"/>
                </w:rPr>
                <w:t xml:space="preserve"> </w:t>
              </w:r>
              <w:r w:rsidR="009B06DD">
                <w:rPr>
                  <w:color w:val="000000"/>
                  <w:szCs w:val="24"/>
                  <w:lang w:eastAsia="lt-LT"/>
                </w:rPr>
                <w:t>A</w:t>
              </w:r>
              <w:r w:rsidR="009B06DD" w:rsidRPr="00620304">
                <w:rPr>
                  <w:color w:val="000000"/>
                  <w:szCs w:val="24"/>
                  <w:lang w:eastAsia="lt-LT"/>
                </w:rPr>
                <w:t>viacijos įstatyme</w:t>
              </w:r>
              <w:r w:rsidR="009B06DD" w:rsidRPr="004E5D57">
                <w:t xml:space="preserve">) </w:t>
              </w:r>
              <w:r w:rsidRPr="00620304">
                <w:rPr>
                  <w:color w:val="000000"/>
                  <w:szCs w:val="24"/>
                  <w:lang w:eastAsia="lt-LT"/>
                </w:rPr>
                <w:t xml:space="preserve"> nurodyta tvarka parengtą perspektyvinį triukšmo žemėlapį. SŽNSĮ</w:t>
              </w:r>
              <w:r w:rsidRPr="00620304">
                <w:rPr>
                  <w:color w:val="000000"/>
                  <w:szCs w:val="24"/>
                </w:rPr>
                <w:t xml:space="preserve"> 55 straipsnio 1 dalyje, be kita ko, nustatyta, kad a</w:t>
              </w:r>
              <w:r w:rsidRPr="00620304">
                <w:rPr>
                  <w:color w:val="000000"/>
                  <w:szCs w:val="24"/>
                  <w:lang w:eastAsia="lt-LT"/>
                </w:rPr>
                <w:t xml:space="preserve">erodromo triukšmo apsauginėje zonoje draudžiama </w:t>
              </w:r>
              <w:bookmarkStart w:id="0" w:name="part_a86ff3a5835342efb4c8b8108068a6f1"/>
              <w:bookmarkEnd w:id="0"/>
              <w:r w:rsidRPr="00620304">
                <w:rPr>
                  <w:color w:val="000000"/>
                  <w:szCs w:val="24"/>
                  <w:lang w:eastAsia="lt-LT"/>
                </w:rPr>
                <w:t xml:space="preserve">statyti gyvenamosios, poilsio, gydymo paskirties pastatus, bendrojo ugdymo, profesinių, aukštųjų mokyklų, vaikų darželių, lopšelių mokslo paskirties pastatus, skirtus švietimo reikmėms, kitus mokslo paskirties pastatus, skirtus neformaliajam švietimui, poilsio, gydymo paskirties pastatus (šios dalies 1 punktas), o 2 dalyje nustatyta, kad </w:t>
              </w:r>
              <w:bookmarkStart w:id="1" w:name="part_fb40b8b871d54fc39ac02cb84019ea95"/>
              <w:bookmarkEnd w:id="1"/>
              <w:r w:rsidRPr="00620304">
                <w:rPr>
                  <w:color w:val="000000"/>
                  <w:szCs w:val="24"/>
                  <w:lang w:eastAsia="lt-LT"/>
                </w:rPr>
                <w:t>aerodromo triukšmo apsauginėje zonoje draudžiama rekonstruoti (jeigu rekonstravimo metu didėja pastato išorės matmenys) gyvenamosios paskirties pastatus.</w:t>
              </w:r>
            </w:p>
            <w:p w:rsidR="007C1F4B" w:rsidRDefault="00A80077" w:rsidP="007C1F4B">
              <w:pPr>
                <w:spacing w:line="360" w:lineRule="auto"/>
                <w:ind w:firstLine="720"/>
                <w:jc w:val="both"/>
                <w:rPr>
                  <w:szCs w:val="24"/>
                </w:rPr>
              </w:pPr>
              <w:r w:rsidRPr="00620304">
                <w:rPr>
                  <w:color w:val="000000"/>
                  <w:szCs w:val="24"/>
                  <w:lang w:eastAsia="lt-LT"/>
                </w:rPr>
                <w:t xml:space="preserve">Pareiškėjas siūlo, kad </w:t>
              </w:r>
              <w:r w:rsidRPr="00620304">
                <w:rPr>
                  <w:bCs/>
                  <w:color w:val="000000"/>
                  <w:szCs w:val="24"/>
                </w:rPr>
                <w:t>SŽNSĮ</w:t>
              </w:r>
              <w:r w:rsidRPr="00620304">
                <w:rPr>
                  <w:color w:val="000000"/>
                  <w:szCs w:val="24"/>
                  <w:lang w:eastAsia="lt-LT"/>
                </w:rPr>
                <w:t xml:space="preserve"> 55 straipsnio 2 dalyje būtų nustatyta išimtis, leidžianti aerodromo triukšmo apsauginėje zonoje statyti, remontuoti, rekonstruoti, renovuoti (jeigu rekonstravimo metu didėja pastato išorės matmenys) visuomeninius ir gyvenamosios paskirties pastatus, jeigu juose įrengiamos siūlyme nurodytos triukšmą mažinančios priemonės. </w:t>
              </w:r>
              <w:r w:rsidRPr="00620304">
                <w:rPr>
                  <w:szCs w:val="24"/>
                </w:rPr>
                <w:t xml:space="preserve">Vertinant Pareiškėjo siūlymą, atkreiptinas dėmesys, kad jo turinys toje apimtyje, kurioje siūloma leisti aerodromo triukšmo apsauginėje zonoje statyti visuomeninius ir gyvenamosios paskirties pastatus, nedera su SŽNSĮ 55 straipsnio 1 dalies 1 punktu, nustatančiu, kad aerodromo triukšmo apsauginėje zonoje draudžiama statyti gyvenamosios bei nurodytų paskirčių pastatus. Taigi, norint leisti statyti gyvenamosios ir šiame punkte nurodytos paskirties pastatus, įrengiant juose triukšmą mažinančias priemones, išimtį reikėtų nustatyti būtent šioje įstatymo nuostatoje. Pažymėtina ir tai, kad Pareiškėjo siūlyme vartojama sąvoka „visuomeniniai pastatai“, kurios turinys nėra aiškus. Jeigu Pareiškėjo turimi omenyje visuomeninės paskirties pastatai, tai pagal Statybos techninio reglamento STR 2.02.02:2004 „Visuomeninės paskirties pastatai“, patvirtinto 2004 m. vasario 27 d. Lietuvos Respublikos aplinkos ministro įsakymu Nr. D1-91 „Dėl statybos techninio reglamento STR 2.02:2004 „Visuomeninės paskirties statiniai“ patvirtinimo“ 1 priede nustatytą visuomeninės paskirties pastatų sąrašą, šios paskirties pastatams priskiriami ne tik SŽNSĮ 55 straipsnio 1 dalies 1 punkte nurodytos paskirties pastatai, bet ir tokios visuomeninės paskirties pastatai, kaip viešbučių, administracinės, prekybos ir kitų paskirčių pastatai, kurių statyba aerodromo triukšmo apsauginėje zonoje pagal SŽNSĮ 55 straipsnį nėra draudžiama. Taip pat atkreiptinas dėmesys, kad pagal SŽNSĮ 55 straipsnį aerodromo triukšmo apsauginėje zonoje nėra draudžiamas gyvenamosios ir visuomeninės paskirties pastatų remontas, jų atnaujinimas (modernizavimas). Atsižvelgiant į tai, manytina, kad dalis Pareiškėjo siūlomų nustatyti išimčių yra perteklinės, kadangi SŽNSĮ 55 straipsnyje nėra nustatyta draudimų, dėl kurių tas išimtis reikėtų nustatyti. </w:t>
              </w:r>
            </w:p>
            <w:p w:rsidR="003A6158" w:rsidRPr="007C1F4B" w:rsidRDefault="003A6158" w:rsidP="007C1F4B">
              <w:pPr>
                <w:spacing w:line="360" w:lineRule="auto"/>
                <w:ind w:firstLine="720"/>
                <w:jc w:val="both"/>
                <w:rPr>
                  <w:szCs w:val="24"/>
                </w:rPr>
              </w:pPr>
              <w:r w:rsidRPr="005D69F4">
                <w:rPr>
                  <w:noProof/>
                  <w:szCs w:val="24"/>
                </w:rPr>
                <w:t xml:space="preserve">Pagal SŽNSĮ 55 straipsnio 2 dalies nuostatas </w:t>
              </w:r>
              <w:r w:rsidR="00A91626" w:rsidRPr="005D69F4">
                <w:rPr>
                  <w:noProof/>
                  <w:szCs w:val="24"/>
                </w:rPr>
                <w:t xml:space="preserve">aerodromų triukšmo apsauginės zonas </w:t>
              </w:r>
              <w:r w:rsidRPr="005D69F4">
                <w:rPr>
                  <w:bCs/>
                  <w:iCs/>
                  <w:noProof/>
                  <w:szCs w:val="24"/>
                </w:rPr>
                <w:t xml:space="preserve">draudžiama </w:t>
              </w:r>
              <w:r w:rsidRPr="005D69F4">
                <w:rPr>
                  <w:bCs/>
                  <w:iCs/>
                </w:rPr>
                <w:t>rekonstruoti</w:t>
              </w:r>
              <w:r w:rsidRPr="005D69F4">
                <w:t xml:space="preserve"> </w:t>
              </w:r>
              <w:r w:rsidRPr="00D77530">
                <w:rPr>
                  <w:bCs/>
                  <w:iCs/>
                </w:rPr>
                <w:t>(jeigu rekonstravimo metu didėja pastato išorės matmenys)</w:t>
              </w:r>
              <w:r w:rsidRPr="00D77530">
                <w:t xml:space="preserve"> </w:t>
              </w:r>
              <w:r w:rsidRPr="00D77530">
                <w:rPr>
                  <w:bCs/>
                  <w:iCs/>
                </w:rPr>
                <w:t>gyvenamosios paskirties pastatus</w:t>
              </w:r>
              <w:r w:rsidRPr="00D77530">
                <w:t xml:space="preserve">. </w:t>
              </w:r>
              <w:r w:rsidRPr="00D77530">
                <w:rPr>
                  <w:bCs/>
                  <w:iCs/>
                </w:rPr>
                <w:t xml:space="preserve">Tuo tarpu įrengti gyvenamosios paskirties pastatuose triukšmą mažinančias </w:t>
              </w:r>
              <w:r w:rsidRPr="00D77530">
                <w:rPr>
                  <w:bCs/>
                  <w:iCs/>
                </w:rPr>
                <w:lastRenderedPageBreak/>
                <w:t>priemones</w:t>
              </w:r>
              <w:r w:rsidRPr="00D77530">
                <w:t xml:space="preserve"> (įskaitant, bet neapsiribojant, triukšmą izoliuojančius</w:t>
              </w:r>
              <w:r w:rsidRPr="005D69F4">
                <w:t xml:space="preserve"> langus, skirtus gyvenamiesiems kambariams, virtuvėms, valgomiesiems bei miegamiesiems kambariams, taip pat – stogų ir fasadų izoliavimo nuo triukšmo priemones, triukšmą izoliuojančias ventiliacines sistemas), </w:t>
              </w:r>
              <w:r w:rsidRPr="005D69F4">
                <w:rPr>
                  <w:bCs/>
                  <w:iCs/>
                </w:rPr>
                <w:t>kurios atitiktų HN 33:2011 „Triukšmo ribiniai dydžiai gyvenamuosiuose ir visuomeninės paskirties pastatuose bei jų aplinkoje“, kitų privalomų higienos normų ir statybos teisės aktų reikalavimus,</w:t>
              </w:r>
              <w:r w:rsidRPr="005D69F4">
                <w:rPr>
                  <w:iCs/>
                </w:rPr>
                <w:t xml:space="preserve"> </w:t>
              </w:r>
              <w:r w:rsidRPr="005D69F4">
                <w:rPr>
                  <w:bCs/>
                  <w:iCs/>
                  <w:u w:val="single"/>
                </w:rPr>
                <w:t>jokio draudimo nėra</w:t>
              </w:r>
              <w:r w:rsidRPr="005D69F4">
                <w:rPr>
                  <w:iCs/>
                </w:rPr>
                <w:t>.</w:t>
              </w:r>
              <w:r w:rsidRPr="005D69F4">
                <w:t xml:space="preserve"> Priešingai, visas Taisyklėse įtvirtintas kompensavimo mechanizmas ir yra paremtas tuo, kad asmenys, patenkantys į TAZ, turi teisę savo gyvenamosios, poilsio, gydymo, švietimo ir kitų, AĮ 14 straipsnio 2 dalyje numatytų paskirčių pastatuose įsirengti triukšmą mažinančias priemones, laikantis galiojančių statybos teisės aktų reikalavimų, bei reikalauti iš LTOU dėl tokio įsirengimo patirtų išlaidų atlyginimo. Kaip buvo minėta aukščiau, </w:t>
              </w:r>
              <w:r w:rsidRPr="005D69F4">
                <w:rPr>
                  <w:bCs/>
                  <w:iCs/>
                </w:rPr>
                <w:t xml:space="preserve">LR įstatymų leidėjas SŽNSĮ 55 straipsnio 2 dalimi </w:t>
              </w:r>
              <w:r w:rsidRPr="00D77530">
                <w:rPr>
                  <w:bCs/>
                  <w:iCs/>
                </w:rPr>
                <w:t>draudžia tik rekonstruoti ir tik gyvenamosios paskirties pastatus (visų kitų paskirčių pastatų rekonstrukcija yra galima), jeigu dėl tokios rekonstrukcijos didėja gyvenamosios paskirties pastato išorės matmenys</w:t>
              </w:r>
              <w:r w:rsidRPr="00D77530">
                <w:t xml:space="preserve">. </w:t>
              </w:r>
              <w:r w:rsidRPr="00D77530">
                <w:rPr>
                  <w:bCs/>
                  <w:iCs/>
                </w:rPr>
                <w:t>Taigi, akivaizdu, kad, prieši</w:t>
              </w:r>
              <w:r w:rsidRPr="005D69F4">
                <w:rPr>
                  <w:bCs/>
                  <w:iCs/>
                </w:rPr>
                <w:t xml:space="preserve">ngai nei nurodoma Pareiškėjo Papildyme, jokio poreikio ir teisinio pagrindo keisti šiuo metu galiojančio </w:t>
              </w:r>
              <w:r w:rsidRPr="005D69F4">
                <w:rPr>
                  <w:bCs/>
                  <w:iCs/>
                  <w:noProof/>
                  <w:szCs w:val="24"/>
                </w:rPr>
                <w:t>SŽNSĮ 55 straipsnio 2 dalį nėra.</w:t>
              </w:r>
              <w:r w:rsidRPr="005D69F4">
                <w:t xml:space="preserve">  </w:t>
              </w:r>
              <w:r w:rsidRPr="005D69F4">
                <w:rPr>
                  <w:noProof/>
                  <w:szCs w:val="24"/>
                </w:rPr>
                <w:t xml:space="preserve">    </w:t>
              </w:r>
            </w:p>
            <w:p w:rsidR="00A80077" w:rsidRPr="00620304" w:rsidRDefault="00A80077" w:rsidP="00A80077">
              <w:pPr>
                <w:spacing w:line="360" w:lineRule="auto"/>
                <w:ind w:firstLine="720"/>
                <w:jc w:val="both"/>
                <w:rPr>
                  <w:szCs w:val="24"/>
                </w:rPr>
              </w:pPr>
              <w:r w:rsidRPr="00620304">
                <w:rPr>
                  <w:szCs w:val="24"/>
                </w:rPr>
                <w:t>Pareiškėjo siūlymas pakeisti SŽNSĮ 55 straipsnio 2 dalį yra susijęs su išmokamomis kompensacijomis gyvenamosios ir visuomeninės paskirties pastatų (patalpų) savininkams už triukšmą mažinančių priemonių įgyvendinimą aerodromo triukšmo apsauginėje zonoje statant, remontuojant, renovuojant ar rekonstruojant šiuos pastatus (patalpas). Šiame kontekste pažymė</w:t>
              </w:r>
              <w:r w:rsidR="009B06DD">
                <w:rPr>
                  <w:szCs w:val="24"/>
                </w:rPr>
                <w:t>tina, kad A</w:t>
              </w:r>
              <w:r w:rsidRPr="00620304">
                <w:rPr>
                  <w:szCs w:val="24"/>
                </w:rPr>
                <w:t xml:space="preserve">viacijos įstatymo 14 straipsnio 1 dalyje nustatyta, kad </w:t>
              </w:r>
              <w:bookmarkStart w:id="2" w:name="part_edcdca283d1d41f8b5c307a560a7c128"/>
              <w:bookmarkStart w:id="3" w:name="part_def3d20739af4d97b07eaef8b853c46e"/>
              <w:bookmarkEnd w:id="2"/>
              <w:bookmarkEnd w:id="3"/>
              <w:r w:rsidRPr="00620304">
                <w:rPr>
                  <w:szCs w:val="24"/>
                </w:rPr>
                <w:t>SŽNSĮ</w:t>
              </w:r>
              <w:r w:rsidRPr="00620304">
                <w:rPr>
                  <w:color w:val="000000"/>
                  <w:szCs w:val="24"/>
                  <w:lang w:eastAsia="lt-LT"/>
                </w:rPr>
                <w:t xml:space="preserve"> nurodytos kompensacijos dėl specialiųjų žemės naudojimo sąlygų taikymo nustatytose aerodromo triukšmo apsauginėse zonose nemokamos, kai aerodromo triukšmo apsauginės zonos nustatytos aplink esamus civilinius aerodromus, esamus ir naujus karinius aerodromus. Šios kompensacijos mokamos, kai aerodromo triukšmo apsauginės zonos nustatytos aplink naujus civilinius aerodromus ir (ar) kai, atsižvelgus į perspektyvinį triukšmo žemėlapį, aplink esamą civilinį aerodromą nustatyta aerodromo triukšmo apsauginė zona teisės aktų nustatyta tvarka padidinama, kompensacijas mokant įvertinus specialiąsias žemės naudojimo sąlygas, taikomas padidėjusioje nustatytos aerodromo triukšmo apsauginės zonos dalyje. Šio įstatymo</w:t>
              </w:r>
              <w:bookmarkStart w:id="4" w:name="part_3c413855f1d14f6b896e70ef6658a7b9"/>
              <w:bookmarkEnd w:id="4"/>
              <w:r w:rsidRPr="00620304">
                <w:rPr>
                  <w:color w:val="000000"/>
                  <w:szCs w:val="24"/>
                  <w:lang w:eastAsia="lt-LT"/>
                </w:rPr>
                <w:t xml:space="preserve"> 2 dalyje nustatyta, kad aplink civilinį aerodromą nustatytoje aerodromo triukšmo apsauginėje zonoje civilinį aerodromą valdanti įmonė pagal </w:t>
              </w:r>
              <w:r w:rsidRPr="00620304">
                <w:rPr>
                  <w:color w:val="000000"/>
                  <w:szCs w:val="24"/>
                </w:rPr>
                <w:t>Vyriausybės patvirtintas Perspektyvinių triukšmo žemėlapių rengimo, derinimo, tvirtinimo, viešinimo ir triukšmo mažinimo priemonių įgyvendinimo išlaidų kompensavimo t</w:t>
              </w:r>
              <w:r w:rsidRPr="00620304">
                <w:rPr>
                  <w:color w:val="000000"/>
                  <w:szCs w:val="24"/>
                  <w:lang w:eastAsia="lt-LT"/>
                </w:rPr>
                <w:t xml:space="preserve">aisykles kompensuoja triukšmo mažinimo priemonių įgyvendinimo išlaidas įgyvendinus triukšmo mažinimo priemones esamuose gyvenamosios, poilsio, gydymo paskirties pastatuose (patalpose), bendrojo ugdymo, profesinių, aukštųjų mokyklų, vaikų darželių, lopšelių mokslo paskirties pastatuose (patalpose), skirtuose švietimo reikmėms, ir kituose pastatuose (patalpose), skirtuose neformaliajam švietimui. Triukšmo mažinimo priemonių įgyvendinimo išlaidos iš rinkliavų už naudojimąsi oro uostais kompensuojamos šioje dalyje nurodytų </w:t>
              </w:r>
              <w:r w:rsidRPr="00620304">
                <w:rPr>
                  <w:color w:val="000000"/>
                  <w:szCs w:val="24"/>
                  <w:lang w:eastAsia="lt-LT"/>
                </w:rPr>
                <w:lastRenderedPageBreak/>
                <w:t xml:space="preserve">pastatų (patalpų) savininkams ir (ar) patikėtiniams. Triukšmo mažinimo priemonių įgyvendinimo tame pačiame pastate (patalpoje) išlaidos kompensuojamos tik vieną kartą. Pagal Aviacijos įstatymo 14 straipsnio 3 dalį </w:t>
              </w:r>
              <w:bookmarkStart w:id="5" w:name="part_7f3e5100d49c4a4cab10fb5ea1fd56eb"/>
              <w:bookmarkEnd w:id="5"/>
              <w:r w:rsidRPr="00620304">
                <w:rPr>
                  <w:color w:val="000000"/>
                  <w:szCs w:val="24"/>
                  <w:lang w:eastAsia="lt-LT"/>
                </w:rPr>
                <w:t>Vyriausybė nustato konkrečias triukšmo mažinimo priemones, maksimalius kompensacijų už jas dydžius, atsižvelgdama į triukšmo lygį, pastatų (patalpų) dydį ir (ar) paskirtį. Atsižvelgiant į tai, manytina, kad vien tik pagal Pareiškėjo siūlymą pakeitus SŽNSĮ 55 straipsnio 2 dalį, nebūtų užtikrinta, kad leidus aerodromo triukšmo apsauginėje zonoje statyti, remontuoti, rekonstruoti ar atnaujinti (modernizuoti) gyvenamosios ir visuomeninės paskirties pastatus nustatant pareigą juose įrengti triukšmą mažinančias priemones, šių pastatų (patalpų) savininkai iš civilinį aerodromą valdančios įmonės gautų kompensacijas už tokių priemonių įrengimą.</w:t>
              </w:r>
              <w:bookmarkStart w:id="6" w:name="part_fe2083af237f4680bc7abc141555f561"/>
              <w:bookmarkEnd w:id="6"/>
            </w:p>
            <w:p w:rsidR="00D92E3C" w:rsidRPr="004E5D57" w:rsidRDefault="00A80077" w:rsidP="009B06DD">
              <w:pPr>
                <w:spacing w:line="360" w:lineRule="auto"/>
                <w:ind w:firstLine="709"/>
                <w:jc w:val="both"/>
                <w:rPr>
                  <w:szCs w:val="24"/>
                </w:rPr>
              </w:pPr>
              <w:r w:rsidRPr="00620304">
                <w:rPr>
                  <w:szCs w:val="24"/>
                </w:rPr>
                <w:t xml:space="preserve">Įvertinus Pareiškėjo peticijose pateikto siūlymo turinį ir argumentus, </w:t>
              </w:r>
              <w:r w:rsidR="009B06DD">
                <w:rPr>
                  <w:rStyle w:val="normaltextrun"/>
                  <w:szCs w:val="24"/>
                </w:rPr>
                <w:t>darytina išvada</w:t>
              </w:r>
              <w:r w:rsidRPr="00620304">
                <w:rPr>
                  <w:rStyle w:val="normaltextrun"/>
                  <w:szCs w:val="24"/>
                </w:rPr>
                <w:t>, kad Pareiškėjo peticijose teikiamas siūlymas negali būti įgyvendintas vien tik keičiant SŽNSĮ 55 straipsnio 2 dalies nuostatas, nederinant jų su šio įstatymo 54 ir 55 straipsnio 1 dalies 1 punkto nuostatomis. Be to, manytina, kad, jei peticijose pateiktas siūlymas yra susijęs su kompensacijų mokėjimo nustatymu už triukšmo mažinimo priemonių įgyvendinimą, tai siekiant, kad būtų užtikrintas teisinio reguliavimo aiškumas, atitinkamai turėtų būti keičiamas ir Aviacijos įstatymo 13 straipsnis.</w:t>
              </w:r>
              <w:r>
                <w:rPr>
                  <w:rStyle w:val="normaltextrun"/>
                  <w:szCs w:val="24"/>
                </w:rPr>
                <w:t xml:space="preserve"> </w:t>
              </w:r>
              <w:bookmarkStart w:id="7" w:name="part_ecbb486c3f9146088ec7be0552b44066"/>
              <w:bookmarkStart w:id="8" w:name="part_53cf61042c4e40c891f1c6c6f92032ae"/>
              <w:bookmarkEnd w:id="7"/>
              <w:bookmarkEnd w:id="8"/>
            </w:p>
            <w:p w:rsidR="005427A1" w:rsidRPr="004E5D57" w:rsidRDefault="00F60FE9" w:rsidP="00D92E3C">
              <w:pPr>
                <w:spacing w:line="360" w:lineRule="auto"/>
                <w:ind w:firstLine="709"/>
                <w:jc w:val="both"/>
                <w:rPr>
                  <w:szCs w:val="24"/>
                </w:rPr>
              </w:pPr>
              <w:r w:rsidRPr="004E5D57">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5D69F4">
                <w:rPr>
                  <w:rFonts w:eastAsia="Calibri"/>
                  <w:szCs w:val="24"/>
                  <w:lang w:eastAsia="ar-SA"/>
                </w:rPr>
                <w:t>at siūloma įtraukti į Seimo IX (rudens</w:t>
              </w:r>
              <w:r w:rsidRPr="004E5D57">
                <w:rPr>
                  <w:rFonts w:eastAsia="Calibri"/>
                  <w:szCs w:val="24"/>
                  <w:lang w:eastAsia="ar-SA"/>
                </w:rPr>
                <w:t>) sesijos darbotvarkę Seimo nutarimo „Dėl Lietuvos Respublikos Seimo Peticijų komisijos 202</w:t>
              </w:r>
              <w:r w:rsidRPr="004E5D57">
                <w:rPr>
                  <w:rFonts w:eastAsia="Calibri"/>
                  <w:szCs w:val="24"/>
                  <w:lang w:val="en-US" w:eastAsia="ar-SA"/>
                </w:rPr>
                <w:t>4</w:t>
              </w:r>
              <w:r w:rsidRPr="004E5D57">
                <w:rPr>
                  <w:rFonts w:eastAsia="Calibri"/>
                  <w:szCs w:val="24"/>
                  <w:lang w:eastAsia="ar-SA"/>
                </w:rPr>
                <w:t xml:space="preserve"> m. birželio </w:t>
              </w:r>
              <w:r w:rsidR="00916CF8" w:rsidRPr="004E5D57">
                <w:rPr>
                  <w:rFonts w:eastAsia="Calibri"/>
                  <w:szCs w:val="24"/>
                  <w:lang w:val="en-US" w:eastAsia="ar-SA"/>
                </w:rPr>
                <w:t>19</w:t>
              </w:r>
              <w:r w:rsidRPr="004E5D57">
                <w:rPr>
                  <w:rFonts w:eastAsia="Calibri"/>
                  <w:szCs w:val="24"/>
                  <w:lang w:val="en-US" w:eastAsia="ar-SA"/>
                </w:rPr>
                <w:t xml:space="preserve"> </w:t>
              </w:r>
              <w:r w:rsidR="00A80077">
                <w:rPr>
                  <w:rFonts w:eastAsia="Calibri"/>
                  <w:szCs w:val="24"/>
                  <w:lang w:eastAsia="ar-SA"/>
                </w:rPr>
                <w:t>d. išvados Nr. 250-I-19</w:t>
              </w:r>
              <w:r w:rsidRPr="004E5D57">
                <w:rPr>
                  <w:rFonts w:eastAsia="Calibri"/>
                  <w:szCs w:val="24"/>
                  <w:lang w:eastAsia="ar-SA"/>
                </w:rPr>
                <w:t>“ projektą.</w:t>
              </w:r>
            </w:p>
          </w:sdtContent>
        </w:sdt>
        <w:sdt>
          <w:sdtPr>
            <w:rPr>
              <w:szCs w:val="24"/>
            </w:rPr>
            <w:alias w:val="pastraipa"/>
            <w:tag w:val="part_61e79df1cae74e789a0ffd222907bcc1"/>
            <w:id w:val="149337873"/>
            <w:lock w:val="sdtLocked"/>
          </w:sdtPr>
          <w:sdtEndPr>
            <w:rPr>
              <w:sz w:val="23"/>
              <w:szCs w:val="23"/>
            </w:rPr>
          </w:sdtEndPr>
          <w:sdtContent>
            <w:p w:rsidR="00F60FE9" w:rsidRPr="004E5D57" w:rsidRDefault="00F60FE9" w:rsidP="00F60FE9">
              <w:pPr>
                <w:spacing w:line="360" w:lineRule="auto"/>
                <w:jc w:val="both"/>
                <w:rPr>
                  <w:rFonts w:eastAsia="Calibri"/>
                  <w:szCs w:val="24"/>
                  <w:lang w:eastAsia="ar-SA"/>
                </w:rPr>
              </w:pPr>
            </w:p>
            <w:p w:rsidR="005427A1" w:rsidRPr="004E5D57" w:rsidRDefault="00AC3DB9">
              <w:pPr>
                <w:tabs>
                  <w:tab w:val="left" w:pos="1134"/>
                </w:tabs>
                <w:spacing w:line="360" w:lineRule="auto"/>
                <w:jc w:val="both"/>
                <w:rPr>
                  <w:rFonts w:eastAsia="Calibri"/>
                  <w:szCs w:val="24"/>
                  <w:lang w:eastAsia="ar-SA"/>
                </w:rPr>
              </w:pPr>
              <w:r w:rsidRPr="004E5D57">
                <w:rPr>
                  <w:rFonts w:eastAsia="Calibri"/>
                  <w:szCs w:val="24"/>
                  <w:lang w:eastAsia="ar-SA"/>
                </w:rPr>
                <w:t>Komisijos pirmininkas</w:t>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t>Edmundas Pupinis</w:t>
              </w:r>
            </w:p>
            <w:p w:rsidR="002F7036" w:rsidRPr="004E5D57" w:rsidRDefault="002F7036">
              <w:pPr>
                <w:tabs>
                  <w:tab w:val="left" w:pos="1134"/>
                </w:tabs>
                <w:spacing w:line="360" w:lineRule="auto"/>
                <w:jc w:val="both"/>
                <w:rPr>
                  <w:rFonts w:eastAsia="Calibri"/>
                  <w:szCs w:val="24"/>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5427A1" w:rsidRPr="00D627CE" w:rsidRDefault="00AC3DB9">
              <w:pPr>
                <w:tabs>
                  <w:tab w:val="left" w:pos="1134"/>
                </w:tabs>
                <w:spacing w:line="360" w:lineRule="auto"/>
                <w:jc w:val="both"/>
                <w:rPr>
                  <w:rFonts w:eastAsia="Calibri"/>
                  <w:sz w:val="23"/>
                  <w:szCs w:val="23"/>
                </w:rPr>
              </w:pPr>
              <w:bookmarkStart w:id="9" w:name="_GoBack"/>
              <w:bookmarkEnd w:id="9"/>
              <w:r w:rsidRPr="00D627CE">
                <w:rPr>
                  <w:rFonts w:eastAsia="Calibri"/>
                  <w:sz w:val="23"/>
                  <w:szCs w:val="23"/>
                  <w:lang w:eastAsia="ar-SA"/>
                </w:rPr>
                <w:t>R. Kniukštienė, tel. (0 5)  209 6</w:t>
              </w:r>
              <w:r w:rsidRPr="00D627CE">
                <w:rPr>
                  <w:rFonts w:eastAsia="Calibri"/>
                  <w:sz w:val="23"/>
                  <w:szCs w:val="23"/>
                  <w:lang w:val="en-US" w:eastAsia="ar-SA"/>
                </w:rPr>
                <w:t>591</w:t>
              </w:r>
              <w:r w:rsidRPr="00D627CE">
                <w:rPr>
                  <w:rFonts w:eastAsia="Calibri"/>
                  <w:sz w:val="23"/>
                  <w:szCs w:val="23"/>
                  <w:lang w:eastAsia="ar-SA"/>
                </w:rPr>
                <w:t>, el. p. rimante.kniukstiene@lrs.lt</w:t>
              </w:r>
            </w:p>
          </w:sdtContent>
        </w:sdt>
      </w:sdtContent>
    </w:sdt>
    <w:sectPr w:rsidR="005427A1" w:rsidRPr="00D627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9B06DD">
      <w:rPr>
        <w:noProof/>
        <w:szCs w:val="24"/>
      </w:rPr>
      <w:t>4</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121904"/>
    <w:rsid w:val="00125A79"/>
    <w:rsid w:val="0013463E"/>
    <w:rsid w:val="001E6C48"/>
    <w:rsid w:val="00245A5E"/>
    <w:rsid w:val="002F53CF"/>
    <w:rsid w:val="002F7036"/>
    <w:rsid w:val="003364F0"/>
    <w:rsid w:val="003A6158"/>
    <w:rsid w:val="004E5D57"/>
    <w:rsid w:val="005427A1"/>
    <w:rsid w:val="00590DC6"/>
    <w:rsid w:val="00593097"/>
    <w:rsid w:val="005D69F4"/>
    <w:rsid w:val="006A4651"/>
    <w:rsid w:val="007A014D"/>
    <w:rsid w:val="007C1F4B"/>
    <w:rsid w:val="007D2F42"/>
    <w:rsid w:val="008D131C"/>
    <w:rsid w:val="0091178E"/>
    <w:rsid w:val="00913CCE"/>
    <w:rsid w:val="00916CF8"/>
    <w:rsid w:val="00945D27"/>
    <w:rsid w:val="009B06DD"/>
    <w:rsid w:val="00A80077"/>
    <w:rsid w:val="00A91626"/>
    <w:rsid w:val="00AC3DB9"/>
    <w:rsid w:val="00AE7509"/>
    <w:rsid w:val="00B80D4B"/>
    <w:rsid w:val="00BF5B1D"/>
    <w:rsid w:val="00C145A4"/>
    <w:rsid w:val="00C5060C"/>
    <w:rsid w:val="00C72C80"/>
    <w:rsid w:val="00D627CE"/>
    <w:rsid w:val="00D77530"/>
    <w:rsid w:val="00D92E3C"/>
    <w:rsid w:val="00DA51E1"/>
    <w:rsid w:val="00E560F5"/>
    <w:rsid w:val="00F60FE9"/>
    <w:rsid w:val="00FA0059"/>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3589"/>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Z6YWEJNPDQQR-896559167-502</_dlc_DocId>
    <_dlc_DocIdUrl xmlns="28130d43-1b56-4a10-ad88-2cd38123f4c1">
      <Url>https://intranetas.lrs.lt/29/_layouts/15/DocIdRedir.aspx?ID=Z6YWEJNPDQQR-896559167-502</Url>
      <Description>Z6YWEJNPDQQR-896559167-502</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D362B04A-2D09-4C4F-9074-18001C17A5E0}">
  <ds:schemaRefs>
    <ds:schemaRef ds:uri="http://schemas.openxmlformats.org/officeDocument/2006/bibliography"/>
  </ds:schemaRefs>
</ds:datastoreItem>
</file>

<file path=customXml/itemProps3.xml><?xml version="1.0" encoding="utf-8"?>
<ds:datastoreItem xmlns:ds="http://schemas.openxmlformats.org/officeDocument/2006/customXml" ds:itemID="{000BA5AA-5902-4F89-B2C8-17C8142033BB}"/>
</file>

<file path=customXml/itemProps4.xml><?xml version="1.0" encoding="utf-8"?>
<ds:datastoreItem xmlns:ds="http://schemas.openxmlformats.org/officeDocument/2006/customXml" ds:itemID="{05824B40-B6E1-4081-9C3F-8067D1F6754B}"/>
</file>

<file path=customXml/itemProps5.xml><?xml version="1.0" encoding="utf-8"?>
<ds:datastoreItem xmlns:ds="http://schemas.openxmlformats.org/officeDocument/2006/customXml" ds:itemID="{98D02257-5116-43A8-A910-A3D8D94F5F2C}"/>
</file>

<file path=customXml/itemProps6.xml><?xml version="1.0" encoding="utf-8"?>
<ds:datastoreItem xmlns:ds="http://schemas.openxmlformats.org/officeDocument/2006/customXml" ds:itemID="{4B5F1EB0-E756-425C-BB55-37BFFCB541CF}"/>
</file>

<file path=docProps/app.xml><?xml version="1.0" encoding="utf-8"?>
<Properties xmlns="http://schemas.openxmlformats.org/officeDocument/2006/extended-properties" xmlns:vt="http://schemas.openxmlformats.org/officeDocument/2006/docPropsVTypes">
  <Template>Normal.dotm</Template>
  <TotalTime>209</TotalTime>
  <Pages>4</Pages>
  <Words>7140</Words>
  <Characters>4071</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30</cp:revision>
  <cp:lastPrinted>2024-06-26T10:06:00Z</cp:lastPrinted>
  <dcterms:created xsi:type="dcterms:W3CDTF">2024-06-05T07:01:00Z</dcterms:created>
  <dcterms:modified xsi:type="dcterms:W3CDTF">2024-10-30T12:05:00Z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ca9a46da-6e85-49c2-b572-d62dc4753a1b</vt:lpwstr>
  </property>
</Properties>
</file>