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C56D00">
        <w:rPr>
          <w:rFonts w:ascii="Times New Roman" w:hAnsi="Times New Roman"/>
          <w:b/>
          <w:sz w:val="24"/>
          <w:szCs w:val="24"/>
        </w:rPr>
        <w:t>VI</w:t>
      </w:r>
      <w:r w:rsidR="001F3622">
        <w:rPr>
          <w:rFonts w:ascii="Times New Roman" w:hAnsi="Times New Roman"/>
          <w:b/>
          <w:sz w:val="24"/>
          <w:szCs w:val="24"/>
        </w:rPr>
        <w:t>LIAUS FOKO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5263DF">
        <w:rPr>
          <w:rFonts w:ascii="Times New Roman" w:hAnsi="Times New Roman"/>
          <w:sz w:val="24"/>
          <w:szCs w:val="24"/>
        </w:rPr>
        <w:t>rug</w:t>
      </w:r>
      <w:r w:rsidR="00E65469">
        <w:rPr>
          <w:rFonts w:ascii="Times New Roman" w:hAnsi="Times New Roman"/>
          <w:sz w:val="24"/>
          <w:szCs w:val="24"/>
        </w:rPr>
        <w:t>pjūčio</w:t>
      </w:r>
      <w:r w:rsidR="005263DF">
        <w:rPr>
          <w:rFonts w:ascii="Times New Roman" w:hAnsi="Times New Roman"/>
          <w:sz w:val="24"/>
          <w:szCs w:val="24"/>
        </w:rPr>
        <w:t xml:space="preserve"> </w:t>
      </w:r>
      <w:r w:rsidR="00874559">
        <w:rPr>
          <w:rFonts w:ascii="Times New Roman" w:hAnsi="Times New Roman"/>
          <w:sz w:val="24"/>
          <w:szCs w:val="24"/>
        </w:rPr>
        <w:t>31</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001EEE">
      <w:pPr>
        <w:pStyle w:val="Default"/>
        <w:spacing w:line="360" w:lineRule="auto"/>
        <w:ind w:firstLine="851"/>
        <w:jc w:val="both"/>
      </w:pPr>
      <w:r w:rsidRPr="004D7EB3">
        <w:t>Lietuvos Respublikos Seimo Peticijų komisij</w:t>
      </w:r>
      <w:r w:rsidR="006E53DD">
        <w:t>a</w:t>
      </w:r>
      <w:r w:rsidRPr="004D7EB3">
        <w:t xml:space="preserve"> 202</w:t>
      </w:r>
      <w:r w:rsidR="00CD23CA">
        <w:t>2</w:t>
      </w:r>
      <w:r w:rsidRPr="004D7EB3">
        <w:t xml:space="preserve"> m. </w:t>
      </w:r>
      <w:r w:rsidR="005263DF">
        <w:t>rug</w:t>
      </w:r>
      <w:r w:rsidR="00E65469">
        <w:t>pjūčio 31</w:t>
      </w:r>
      <w:r w:rsidR="00B81CDD">
        <w:t xml:space="preserve"> </w:t>
      </w:r>
      <w:r w:rsidRPr="004D7EB3">
        <w:t xml:space="preserve">d. posėdyje iš esmės </w:t>
      </w:r>
      <w:r w:rsidR="007A504A">
        <w:t>iš</w:t>
      </w:r>
      <w:r w:rsidR="00C703AF">
        <w:t>nagrinė</w:t>
      </w:r>
      <w:r w:rsidR="006E53DD">
        <w:t>jo</w:t>
      </w:r>
      <w:r w:rsidRPr="004D7EB3">
        <w:t xml:space="preserve"> </w:t>
      </w:r>
      <w:r w:rsidR="007C64BC">
        <w:t>Vi</w:t>
      </w:r>
      <w:r w:rsidR="001F3622">
        <w:t>liaus Foko</w:t>
      </w:r>
      <w:r>
        <w:t xml:space="preserve"> </w:t>
      </w:r>
      <w:r w:rsidRPr="004D7EB3">
        <w:t>peticij</w:t>
      </w:r>
      <w:r w:rsidR="006E53DD">
        <w:t xml:space="preserve">ą ir priėmė sprendimą </w:t>
      </w:r>
      <w:r w:rsidR="00FB44D3">
        <w:t xml:space="preserve">teikti Seimui išvadą </w:t>
      </w:r>
      <w:r w:rsidR="006E53DD">
        <w:t xml:space="preserve">atmesti šioje peticijoje </w:t>
      </w:r>
      <w:r w:rsidR="007F7219" w:rsidRPr="007F7219">
        <w:t>pateikt</w:t>
      </w:r>
      <w:r w:rsidR="001F3622">
        <w:t>ą</w:t>
      </w:r>
      <w:r w:rsidR="007F7219" w:rsidRPr="007F7219">
        <w:t xml:space="preserve"> pasi</w:t>
      </w:r>
      <w:r w:rsidR="007F7219" w:rsidRPr="007F7219">
        <w:rPr>
          <w:rFonts w:hint="eastAsia"/>
        </w:rPr>
        <w:t>ū</w:t>
      </w:r>
      <w:r w:rsidR="007F7219" w:rsidRPr="007F7219">
        <w:t>lym</w:t>
      </w:r>
      <w:r w:rsidR="001F3622">
        <w:t>ą</w:t>
      </w:r>
      <w:r w:rsidR="007F7219" w:rsidRPr="007F7219">
        <w:t xml:space="preserve"> </w:t>
      </w:r>
      <w:r w:rsidR="00505D5D">
        <w:t xml:space="preserve">pakeisti </w:t>
      </w:r>
      <w:r w:rsidR="00001EEE" w:rsidRPr="00001EEE">
        <w:t>Lietuvos Respublikos saugom</w:t>
      </w:r>
      <w:r w:rsidR="00001EEE" w:rsidRPr="00001EEE">
        <w:rPr>
          <w:rFonts w:hint="eastAsia"/>
        </w:rPr>
        <w:t>ų</w:t>
      </w:r>
      <w:r w:rsidR="00001EEE" w:rsidRPr="00001EEE">
        <w:t xml:space="preserve"> teritorij</w:t>
      </w:r>
      <w:r w:rsidR="00001EEE" w:rsidRPr="00001EEE">
        <w:rPr>
          <w:rFonts w:hint="eastAsia"/>
        </w:rPr>
        <w:t>ų</w:t>
      </w:r>
      <w:r w:rsidR="00001EEE" w:rsidRPr="00001EEE">
        <w:t xml:space="preserve"> </w:t>
      </w:r>
      <w:r w:rsidR="00001EEE" w:rsidRPr="00001EEE">
        <w:rPr>
          <w:rFonts w:hint="eastAsia"/>
        </w:rPr>
        <w:t>į</w:t>
      </w:r>
      <w:r w:rsidR="00001EEE" w:rsidRPr="00001EEE">
        <w:t>statymo 18 straipsnio 2 dal</w:t>
      </w:r>
      <w:r w:rsidR="00001EEE" w:rsidRPr="00001EEE">
        <w:rPr>
          <w:rFonts w:hint="eastAsia"/>
        </w:rPr>
        <w:t>į</w:t>
      </w:r>
      <w:r w:rsidR="00505D5D">
        <w:t xml:space="preserve"> ir pagal apsaugos pobūdį ekologinių apsaugos zonų sąrašą</w:t>
      </w:r>
      <w:r w:rsidR="00001EEE" w:rsidRPr="00001EEE">
        <w:t xml:space="preserve"> </w:t>
      </w:r>
      <w:r w:rsidR="00C91397" w:rsidRPr="00001EEE">
        <w:t>papildyti</w:t>
      </w:r>
      <w:r w:rsidR="00C91397" w:rsidRPr="00001EEE">
        <w:t xml:space="preserve"> </w:t>
      </w:r>
      <w:r w:rsidR="00001EEE" w:rsidRPr="00001EEE">
        <w:t>sanitarin</w:t>
      </w:r>
      <w:r w:rsidR="00001EEE" w:rsidRPr="00001EEE">
        <w:rPr>
          <w:rFonts w:hint="eastAsia"/>
        </w:rPr>
        <w:t>ė</w:t>
      </w:r>
      <w:r w:rsidR="00001EEE" w:rsidRPr="00001EEE">
        <w:t>s apsaugos – magistralini</w:t>
      </w:r>
      <w:r w:rsidR="00001EEE" w:rsidRPr="00001EEE">
        <w:rPr>
          <w:rFonts w:hint="eastAsia"/>
        </w:rPr>
        <w:t>ų</w:t>
      </w:r>
      <w:r w:rsidR="00001EEE" w:rsidRPr="00001EEE">
        <w:t xml:space="preserve"> paviršini</w:t>
      </w:r>
      <w:r w:rsidR="00001EEE" w:rsidRPr="00001EEE">
        <w:rPr>
          <w:rFonts w:hint="eastAsia"/>
        </w:rPr>
        <w:t>ų</w:t>
      </w:r>
      <w:r w:rsidR="00001EEE" w:rsidRPr="00001EEE">
        <w:t xml:space="preserve"> (lietaus) nuotek</w:t>
      </w:r>
      <w:r w:rsidR="00001EEE" w:rsidRPr="00001EEE">
        <w:rPr>
          <w:rFonts w:hint="eastAsia"/>
        </w:rPr>
        <w:t>ų</w:t>
      </w:r>
      <w:r w:rsidR="00001EEE" w:rsidRPr="00001EEE">
        <w:t xml:space="preserve"> </w:t>
      </w:r>
      <w:proofErr w:type="spellStart"/>
      <w:r w:rsidR="00001EEE" w:rsidRPr="00001EEE">
        <w:t>išleistuv</w:t>
      </w:r>
      <w:r w:rsidR="00001EEE" w:rsidRPr="00001EEE">
        <w:rPr>
          <w:rFonts w:hint="eastAsia"/>
        </w:rPr>
        <w:t>ų</w:t>
      </w:r>
      <w:proofErr w:type="spellEnd"/>
      <w:r w:rsidR="00001EEE" w:rsidRPr="00001EEE">
        <w:t xml:space="preserve"> sanitarin</w:t>
      </w:r>
      <w:r w:rsidR="00001EEE" w:rsidRPr="00001EEE">
        <w:rPr>
          <w:rFonts w:hint="eastAsia"/>
        </w:rPr>
        <w:t>ė</w:t>
      </w:r>
      <w:r w:rsidR="00001EEE" w:rsidRPr="00001EEE">
        <w:t>s apsaugos zon</w:t>
      </w:r>
      <w:r w:rsidR="00505D5D">
        <w:t>a</w:t>
      </w:r>
      <w:r w:rsidR="00001EEE">
        <w:t xml:space="preserve">. </w:t>
      </w:r>
      <w:r w:rsidR="00487756" w:rsidRPr="00487756">
        <w:t xml:space="preserve">Sprendimas priimtas, atsižvelgus </w:t>
      </w:r>
      <w:r w:rsidR="00487756" w:rsidRPr="00487756">
        <w:rPr>
          <w:rFonts w:hint="eastAsia"/>
        </w:rPr>
        <w:t>į</w:t>
      </w:r>
      <w:r w:rsidR="00487756" w:rsidRPr="00487756">
        <w:t xml:space="preserve"> Lietuvos Respublikos </w:t>
      </w:r>
      <w:r w:rsidR="001F3622">
        <w:t>aplinkos</w:t>
      </w:r>
      <w:r w:rsidR="005263DF">
        <w:t xml:space="preserve"> </w:t>
      </w:r>
      <w:r w:rsidR="00AE2911">
        <w:t>ministerijos</w:t>
      </w:r>
      <w:r w:rsidR="00487756" w:rsidRPr="00487756">
        <w:t xml:space="preserve"> nuomon</w:t>
      </w:r>
      <w:r w:rsidR="005263DF">
        <w:t>ę</w:t>
      </w:r>
      <w:r w:rsidR="00487756" w:rsidRPr="00487756">
        <w:t xml:space="preserve"> ir d</w:t>
      </w:r>
      <w:r w:rsidR="00487756" w:rsidRPr="00487756">
        <w:rPr>
          <w:rFonts w:hint="eastAsia"/>
        </w:rPr>
        <w:t>ė</w:t>
      </w:r>
      <w:r w:rsidR="00487756" w:rsidRPr="00487756">
        <w:t>l išvadoje išd</w:t>
      </w:r>
      <w:r w:rsidR="00487756" w:rsidRPr="00487756">
        <w:rPr>
          <w:rFonts w:hint="eastAsia"/>
        </w:rPr>
        <w:t>ė</w:t>
      </w:r>
      <w:r w:rsidR="00487756" w:rsidRPr="00487756">
        <w:t>styt</w:t>
      </w:r>
      <w:r w:rsidR="00487756" w:rsidRPr="00487756">
        <w:rPr>
          <w:rFonts w:hint="eastAsia"/>
        </w:rPr>
        <w:t>ų</w:t>
      </w:r>
      <w:r w:rsidR="00487756" w:rsidRPr="00487756">
        <w:t xml:space="preserve"> motyv</w:t>
      </w:r>
      <w:r w:rsidR="00487756" w:rsidRPr="00487756">
        <w:rPr>
          <w:rFonts w:hint="eastAsia"/>
        </w:rPr>
        <w:t>ų</w:t>
      </w:r>
      <w:r w:rsidR="00487756" w:rsidRPr="00487756">
        <w:t>.</w:t>
      </w:r>
      <w:r w:rsidR="00E5184F" w:rsidRPr="00E5184F">
        <w:t xml:space="preserve"> </w:t>
      </w:r>
    </w:p>
    <w:p w:rsidR="00001EEE" w:rsidRPr="002A197F" w:rsidRDefault="00505D5D" w:rsidP="00001EEE">
      <w:pPr>
        <w:pStyle w:val="Default"/>
        <w:spacing w:line="360" w:lineRule="auto"/>
        <w:ind w:firstLine="851"/>
        <w:jc w:val="both"/>
      </w:pPr>
      <w:r w:rsidRPr="002A197F">
        <w:t>Pareiškėjas s</w:t>
      </w:r>
      <w:r w:rsidR="00001EEE" w:rsidRPr="002A197F">
        <w:t xml:space="preserve">iūlymą argumentuoja kreipimesi išvardytų mokslininkų duomenimis, kad „teršalų kiekis lietaus nuotekose gali būti net keliasdešimt kartų didesnis už teršalų kiekį buitinėse nuotekose“, kad „mikrobiologinis aplinkos oro užterštumo mažinimas yra labai svarbus veiksnys, kurio reikia Sąnašos aukštupio slėnyje ties Medžiotojų g. 11C, kadangi būtent čia yra atvestas viso Aleksoto mikrorajono centrinės Veiverių gatvės lietaus nutekamųjų vandenų </w:t>
      </w:r>
      <w:proofErr w:type="spellStart"/>
      <w:r w:rsidR="00001EEE" w:rsidRPr="002A197F">
        <w:t>išleistuvas</w:t>
      </w:r>
      <w:proofErr w:type="spellEnd"/>
      <w:r w:rsidR="00001EEE" w:rsidRPr="002A197F">
        <w:t xml:space="preserve"> – kolektorius“. Pareiškėj</w:t>
      </w:r>
      <w:r w:rsidRPr="002A197F">
        <w:t>as siūlo</w:t>
      </w:r>
      <w:r w:rsidR="00001EEE" w:rsidRPr="002A197F">
        <w:t xml:space="preserve"> prie mažųjų upelių, į kuriuos patenka aplinkinėse gyvenvietėse susidarančios paviršinės (lietaus) nuotekos, sukurti natūralius gamtos (medžių, krūmų, žolynų ir pan.) filtrus, kurie kempinės principu sugertų teršalus ir atstotų valymo įrenginius, ilgam laikui (dešimtmečiams) kompensuotų jų nebuvimą. </w:t>
      </w:r>
    </w:p>
    <w:p w:rsidR="00001EEE" w:rsidRPr="002A197F" w:rsidRDefault="00001EEE" w:rsidP="00001EEE">
      <w:pPr>
        <w:pStyle w:val="Default"/>
        <w:spacing w:line="360" w:lineRule="auto"/>
        <w:ind w:firstLine="851"/>
        <w:jc w:val="both"/>
      </w:pPr>
      <w:r w:rsidRPr="002A197F">
        <w:t xml:space="preserve">Pažymėtina, kad Lietuvos Respublikos Konstitucijos 54 straipsnis nustato, kad „įstatymu draudžiama &lt;...&gt; teršti vandenis ir orą“. Lietuvos Respublikos aplinkos apsaugos įstatymo </w:t>
      </w:r>
      <w:r w:rsidRPr="002A197F">
        <w:rPr>
          <w:bCs/>
        </w:rPr>
        <w:t>23</w:t>
      </w:r>
      <w:r w:rsidRPr="002A197F">
        <w:rPr>
          <w:bCs/>
          <w:vertAlign w:val="superscript"/>
        </w:rPr>
        <w:t>1</w:t>
      </w:r>
      <w:r w:rsidRPr="002A197F">
        <w:rPr>
          <w:bCs/>
        </w:rPr>
        <w:t xml:space="preserve"> straipsnis nustato, kad </w:t>
      </w:r>
      <w:bookmarkStart w:id="0" w:name="part_7e9973a1968749f09fd593c2b07b3444"/>
      <w:bookmarkEnd w:id="0"/>
      <w:r w:rsidRPr="002A197F">
        <w:rPr>
          <w:bCs/>
        </w:rPr>
        <w:t>„</w:t>
      </w:r>
      <w:r w:rsidRPr="002A197F">
        <w:t xml:space="preserve">Teršalai gali būti išmetami į aplinką tik tais atvejais, kai išmesti teršalus į aplinką leidžia teisės aktai ir teršalai į aplinką išmetami nepažeidžiant teisės aktų nustatytos tvarkos ir normų“, t. y. teršalų sudėtis ir jų kiekis negali viršyti nustatytų išmetamų teršalų ribinių verčių. </w:t>
      </w:r>
    </w:p>
    <w:p w:rsidR="00C22514" w:rsidRDefault="00001EEE" w:rsidP="00001EEE">
      <w:pPr>
        <w:pStyle w:val="Default"/>
        <w:spacing w:line="360" w:lineRule="auto"/>
        <w:ind w:firstLine="851"/>
        <w:jc w:val="both"/>
      </w:pPr>
      <w:r w:rsidRPr="00001EEE">
        <w:t xml:space="preserve">Jeigu pareiškėjas teigia, kad teršalų kiekis lietaus nuotekose gali būti net keliasdešimt kartų didesnis už teršalų kiekį buitinėse nuotekose, tuomet lietaus nutekamųjų vandenų </w:t>
      </w:r>
      <w:proofErr w:type="spellStart"/>
      <w:r w:rsidRPr="00001EEE">
        <w:t>išleistuvo</w:t>
      </w:r>
      <w:proofErr w:type="spellEnd"/>
      <w:r w:rsidRPr="00001EEE">
        <w:t xml:space="preserve"> – kolektoriaus savininkai, valdytojai ir (ar) naudotojai turėtų nedels</w:t>
      </w:r>
      <w:r w:rsidR="00C22514">
        <w:t>dami</w:t>
      </w:r>
      <w:r w:rsidRPr="00001EEE">
        <w:t xml:space="preserve"> įvertinti padėtį, atlikti (užsakyti) tyrimus, kurie atsakytų į klausimą, ar į Sąnašos upelį iš aplinkinių gyvenamųjų teritorijų patenkantys lietaus nuotekų vandenys kenksmingomis medžiagomis teršia upelį, jo gamtinę aplinką. Jeigu toks teršimo faktas būtų nustatytas ir išmetamų teršalų ribinės vertės būtų viršytos, minėti </w:t>
      </w:r>
      <w:r w:rsidRPr="00001EEE">
        <w:lastRenderedPageBreak/>
        <w:t xml:space="preserve">savininkai, valdytojai ir (ar) naudotojai turėtų imtis neatidėliotinų veiksmų taršos šaltiniams likviduoti, taršai pašalinti, įrengiant valymo įrenginius ir pan. Natūralių gamtos filtrų (medžių, krūmų, žolynų ir pan.), skirtų sugerti teršalus, sukūrimas negali atleisti nuo pareigos aktyviai vengti taršos ir atstoti valymo įrenginių ar laikinai kompensuoti jų nebuvimą. Turi būti kovojama ne su pasekmėmis, bet su priežastimis. </w:t>
      </w:r>
    </w:p>
    <w:p w:rsidR="00001EEE" w:rsidRPr="00001EEE" w:rsidRDefault="00C22514" w:rsidP="00001EEE">
      <w:pPr>
        <w:pStyle w:val="Default"/>
        <w:spacing w:line="360" w:lineRule="auto"/>
        <w:ind w:firstLine="851"/>
        <w:jc w:val="both"/>
      </w:pPr>
      <w:r>
        <w:t>Saugomų teritorijų</w:t>
      </w:r>
      <w:r w:rsidR="00001EEE" w:rsidRPr="00001EEE">
        <w:t xml:space="preserve"> įstatymo 18 straipsnio 1 dalis nustato </w:t>
      </w:r>
      <w:bookmarkStart w:id="1" w:name="part_bc25a06b7b604ac48961920a6783d20a"/>
      <w:bookmarkEnd w:id="1"/>
      <w:r w:rsidR="00001EEE" w:rsidRPr="00001EEE">
        <w:t xml:space="preserve">ekologinės apsaugos zonų nustatymo tikslus: </w:t>
      </w:r>
      <w:bookmarkStart w:id="2" w:name="part_94dc11e7d069420a9bfa8ba55750215c"/>
      <w:bookmarkEnd w:id="2"/>
      <w:r w:rsidR="00001EEE" w:rsidRPr="00001EEE">
        <w:t xml:space="preserve">užtikrinti bendrąją ekologinę kraštovaizdžio pusiausvyrą; </w:t>
      </w:r>
      <w:bookmarkStart w:id="3" w:name="part_38fd22546ec64f6ea92b4757778acf33"/>
      <w:bookmarkEnd w:id="3"/>
      <w:r w:rsidR="00001EEE" w:rsidRPr="00001EEE">
        <w:t xml:space="preserve">išsaugoti saugomų bei </w:t>
      </w:r>
      <w:proofErr w:type="spellStart"/>
      <w:r w:rsidR="00001EEE" w:rsidRPr="00001EEE">
        <w:t>geoekologiškai</w:t>
      </w:r>
      <w:proofErr w:type="spellEnd"/>
      <w:r w:rsidR="00001EEE" w:rsidRPr="00001EEE">
        <w:t xml:space="preserve"> svarbių gamtinio ir kultūrinio kraštovaizdžio kompleksų ar objektų (vertybių) aplinką, izoliuoti juos nuo neigiamo veiklos poveikio; </w:t>
      </w:r>
      <w:bookmarkStart w:id="4" w:name="part_eb878581cd4044b1becb9bfb6fb521b6"/>
      <w:bookmarkEnd w:id="4"/>
      <w:r w:rsidR="00001EEE" w:rsidRPr="00001EEE">
        <w:t xml:space="preserve">sumažinti neigiamą ūkinės veiklos objektų poveikį žmogui ir aplinkai. </w:t>
      </w:r>
      <w:r>
        <w:t>Šio</w:t>
      </w:r>
      <w:r w:rsidR="00001EEE" w:rsidRPr="00001EEE">
        <w:t xml:space="preserve"> straipsnio 2 dalis nustato, kad </w:t>
      </w:r>
      <w:bookmarkStart w:id="5" w:name="part_64d3e0b5be4e45c7a5e62a441b93788e"/>
      <w:bookmarkEnd w:id="5"/>
      <w:r w:rsidR="00001EEE" w:rsidRPr="00001EEE">
        <w:t xml:space="preserve">pagal apsaugos pobūdį ekologinės apsaugos zonos yra: </w:t>
      </w:r>
      <w:bookmarkStart w:id="6" w:name="part_4025f975bdd0472ebc4c97aef96a9697"/>
      <w:bookmarkEnd w:id="6"/>
      <w:r w:rsidR="00001EEE" w:rsidRPr="00001EEE">
        <w:t xml:space="preserve">bendrosios ekologinės apsaugos – pajūrio, požeminio vandens vandenviečių, paviršinių vandens telkinių apsaugos zonos, intensyvaus karsto žemės; </w:t>
      </w:r>
      <w:bookmarkStart w:id="7" w:name="part_e28dea7517ea4ca7915d18b839f1c41b"/>
      <w:bookmarkEnd w:id="7"/>
      <w:r w:rsidR="00001EEE" w:rsidRPr="00001EEE">
        <w:t xml:space="preserve">buferinės apsaugos – valstybinių rezervatų, valstybinių parkų ir valstybinių draustinių, paveldo objektų buferinės apsaugos zonos; </w:t>
      </w:r>
      <w:bookmarkStart w:id="8" w:name="part_139994b3557944749967c370762091b4"/>
      <w:bookmarkEnd w:id="8"/>
      <w:r w:rsidR="00001EEE" w:rsidRPr="00001EEE">
        <w:t xml:space="preserve">fizinės apsaugos – paveldo objektų fizinės apsaugos zonos; </w:t>
      </w:r>
      <w:bookmarkStart w:id="9" w:name="part_ea07c7ba6cf744e0a56f9466dce9af6b"/>
      <w:bookmarkEnd w:id="9"/>
      <w:r w:rsidR="00001EEE" w:rsidRPr="00001EEE">
        <w:t>vizualinės (regimosios) apsaugos – paveldo objektų vizualinės (regimosios) apsaugos zonos, kuriose aplinkos keitimas gali pakenkti šių objektų aplinkai ar trukdyti juos apžvelgti. Pažymėtina, kad</w:t>
      </w:r>
      <w:r w:rsidR="0060462B" w:rsidRPr="0060462B">
        <w:t xml:space="preserve"> </w:t>
      </w:r>
      <w:r w:rsidR="0060462B">
        <w:t>S</w:t>
      </w:r>
      <w:r w:rsidR="0060462B" w:rsidRPr="0060462B">
        <w:t>augom</w:t>
      </w:r>
      <w:r w:rsidR="0060462B" w:rsidRPr="0060462B">
        <w:rPr>
          <w:rFonts w:hint="eastAsia"/>
        </w:rPr>
        <w:t>ų</w:t>
      </w:r>
      <w:r w:rsidR="0060462B" w:rsidRPr="0060462B">
        <w:t xml:space="preserve"> teritorij</w:t>
      </w:r>
      <w:r w:rsidR="0060462B" w:rsidRPr="0060462B">
        <w:rPr>
          <w:rFonts w:hint="eastAsia"/>
        </w:rPr>
        <w:t>ų</w:t>
      </w:r>
      <w:r w:rsidR="0060462B" w:rsidRPr="0060462B">
        <w:t xml:space="preserve"> </w:t>
      </w:r>
      <w:r w:rsidR="0060462B" w:rsidRPr="0060462B">
        <w:rPr>
          <w:rFonts w:hint="eastAsia"/>
        </w:rPr>
        <w:t>į</w:t>
      </w:r>
      <w:r w:rsidR="0060462B" w:rsidRPr="0060462B">
        <w:t>statymo</w:t>
      </w:r>
      <w:r w:rsidR="00001EEE" w:rsidRPr="00001EEE">
        <w:t xml:space="preserve"> paskirtis yra reglamentuoti saugomų teritorijų sistemą ir su ja susijusius visuomeninius santykius, saugomų teritorijų teisinius pagrindus, veiklą, nustatyti tarptautinės svarbos teritorijų, gamtinio karkaso kūrimą ir veiklos juose reglamentavimą. Sanitarinių apsaugos zonų nustatymo, kurios tarnautų kaip taršos sklaidos ribotuvai, klausimai šiame įstatyme nesprendžiami</w:t>
      </w:r>
      <w:r>
        <w:t>, todėl pareiškėjo</w:t>
      </w:r>
      <w:r w:rsidR="00001EEE" w:rsidRPr="00001EEE">
        <w:t xml:space="preserve"> siūlymas papildyti </w:t>
      </w:r>
      <w:r w:rsidR="0060462B" w:rsidRPr="0060462B">
        <w:t>Saugom</w:t>
      </w:r>
      <w:r w:rsidR="0060462B" w:rsidRPr="0060462B">
        <w:rPr>
          <w:rFonts w:hint="eastAsia"/>
        </w:rPr>
        <w:t>ų</w:t>
      </w:r>
      <w:r w:rsidR="0060462B" w:rsidRPr="0060462B">
        <w:t xml:space="preserve"> teritorij</w:t>
      </w:r>
      <w:r w:rsidR="0060462B" w:rsidRPr="0060462B">
        <w:rPr>
          <w:rFonts w:hint="eastAsia"/>
        </w:rPr>
        <w:t>ų</w:t>
      </w:r>
      <w:r w:rsidR="0060462B" w:rsidRPr="0060462B">
        <w:t xml:space="preserve"> </w:t>
      </w:r>
      <w:r w:rsidR="0060462B" w:rsidRPr="0060462B">
        <w:rPr>
          <w:rFonts w:hint="eastAsia"/>
        </w:rPr>
        <w:t>į</w:t>
      </w:r>
      <w:r w:rsidR="0060462B" w:rsidRPr="0060462B">
        <w:t>statymo</w:t>
      </w:r>
      <w:r w:rsidR="00001EEE" w:rsidRPr="00001EEE">
        <w:t xml:space="preserve"> nu</w:t>
      </w:r>
      <w:r w:rsidR="00862688">
        <w:t>sta</w:t>
      </w:r>
      <w:r w:rsidR="00001EEE" w:rsidRPr="00001EEE">
        <w:t xml:space="preserve">tytų ekologinės apsaugos zonų grupę sanitarinės apsaugos zonų kategorija neatitinka </w:t>
      </w:r>
      <w:r w:rsidR="0060462B" w:rsidRPr="0060462B">
        <w:t>Saugom</w:t>
      </w:r>
      <w:r w:rsidR="0060462B" w:rsidRPr="0060462B">
        <w:rPr>
          <w:rFonts w:hint="eastAsia"/>
        </w:rPr>
        <w:t>ų</w:t>
      </w:r>
      <w:r w:rsidR="0060462B" w:rsidRPr="0060462B">
        <w:t xml:space="preserve"> teritorij</w:t>
      </w:r>
      <w:r w:rsidR="0060462B" w:rsidRPr="0060462B">
        <w:rPr>
          <w:rFonts w:hint="eastAsia"/>
        </w:rPr>
        <w:t>ų</w:t>
      </w:r>
      <w:r w:rsidR="0060462B" w:rsidRPr="0060462B">
        <w:t xml:space="preserve"> </w:t>
      </w:r>
      <w:r w:rsidR="0060462B" w:rsidRPr="0060462B">
        <w:rPr>
          <w:rFonts w:hint="eastAsia"/>
        </w:rPr>
        <w:t>į</w:t>
      </w:r>
      <w:r w:rsidR="0060462B" w:rsidRPr="0060462B">
        <w:t>statymo</w:t>
      </w:r>
      <w:r w:rsidR="00001EEE" w:rsidRPr="00001EEE">
        <w:t xml:space="preserve"> paskirties. </w:t>
      </w:r>
    </w:p>
    <w:p w:rsidR="00001EEE" w:rsidRPr="00001EEE" w:rsidRDefault="00001EEE" w:rsidP="00001EEE">
      <w:pPr>
        <w:pStyle w:val="Default"/>
        <w:spacing w:line="360" w:lineRule="auto"/>
        <w:ind w:firstLine="851"/>
        <w:jc w:val="both"/>
      </w:pPr>
      <w:r w:rsidRPr="00001EEE">
        <w:t>Pažym</w:t>
      </w:r>
      <w:r w:rsidR="00C22514">
        <w:t>ėtina</w:t>
      </w:r>
      <w:r w:rsidRPr="00001EEE">
        <w:t>, kad kreipimesi pateiktas pasiūlymo turinys siejasi su sanitarinėmis apsaugos zonomis, kurių nustatymo principus ir leistinas veiklas jose reglamentuoja Lietuvos Respublikos specialiųjų ž</w:t>
      </w:r>
      <w:r w:rsidR="0060462B">
        <w:t>emės naudojimo sąlygų įstatymas</w:t>
      </w:r>
      <w:r w:rsidRPr="00001EEE">
        <w:t xml:space="preserve">. Nuotekų tvarkymo infrastruktūros objektus ir jų apsaugos zonas apibrėžia Lietuvos Respublikos geriamojo vandens tiekimo ir nuotekų tvarkymo įstatymas. </w:t>
      </w:r>
    </w:p>
    <w:p w:rsidR="00001EEE" w:rsidRPr="001D7314" w:rsidRDefault="0060462B" w:rsidP="00001EEE">
      <w:pPr>
        <w:pStyle w:val="Default"/>
        <w:spacing w:line="360" w:lineRule="auto"/>
        <w:ind w:firstLine="851"/>
        <w:jc w:val="both"/>
      </w:pPr>
      <w:r w:rsidRPr="001D7314">
        <w:t>Speciali</w:t>
      </w:r>
      <w:r w:rsidRPr="001D7314">
        <w:rPr>
          <w:rFonts w:hint="eastAsia"/>
        </w:rPr>
        <w:t>ų</w:t>
      </w:r>
      <w:r w:rsidRPr="001D7314">
        <w:t>j</w:t>
      </w:r>
      <w:r w:rsidRPr="001D7314">
        <w:rPr>
          <w:rFonts w:hint="eastAsia"/>
        </w:rPr>
        <w:t>ų</w:t>
      </w:r>
      <w:r w:rsidRPr="001D7314">
        <w:t xml:space="preserve"> žem</w:t>
      </w:r>
      <w:r w:rsidRPr="001D7314">
        <w:rPr>
          <w:rFonts w:hint="eastAsia"/>
        </w:rPr>
        <w:t>ė</w:t>
      </w:r>
      <w:r w:rsidRPr="001D7314">
        <w:t>s naudojimo s</w:t>
      </w:r>
      <w:r w:rsidRPr="001D7314">
        <w:rPr>
          <w:rFonts w:hint="eastAsia"/>
        </w:rPr>
        <w:t>ą</w:t>
      </w:r>
      <w:r w:rsidRPr="001D7314">
        <w:t>lyg</w:t>
      </w:r>
      <w:r w:rsidRPr="001D7314">
        <w:rPr>
          <w:rFonts w:hint="eastAsia"/>
        </w:rPr>
        <w:t>ų</w:t>
      </w:r>
      <w:r w:rsidRPr="001D7314">
        <w:t xml:space="preserve"> </w:t>
      </w:r>
      <w:r w:rsidRPr="001D7314">
        <w:rPr>
          <w:rFonts w:hint="eastAsia"/>
        </w:rPr>
        <w:t>į</w:t>
      </w:r>
      <w:r w:rsidRPr="001D7314">
        <w:t>statymo</w:t>
      </w:r>
      <w:r w:rsidR="00001EEE" w:rsidRPr="001D7314">
        <w:t xml:space="preserve"> 2 straipsnio 34 dalis nustato, kad </w:t>
      </w:r>
      <w:r w:rsidR="00761213" w:rsidRPr="001D7314">
        <w:t>s</w:t>
      </w:r>
      <w:r w:rsidR="00001EEE" w:rsidRPr="001D7314">
        <w:rPr>
          <w:bCs/>
        </w:rPr>
        <w:t>anitarinės apsaugos zona</w:t>
      </w:r>
      <w:r w:rsidR="00001EEE" w:rsidRPr="001D7314">
        <w:t xml:space="preserve"> – aplink stacionarų taršos šaltinį arba kelis šaltinius esanti teritorija, kurioje dėl galimo neigiamo planuojamos ar vykdomos ūkinės veiklos poveikio visuomenės sveikatai galioja šiuo įstatymu nustatytos specialiosios žemės naudojimo sąlygos. </w:t>
      </w:r>
      <w:r w:rsidR="00CF51E9" w:rsidRPr="001D7314">
        <w:t>Speciali</w:t>
      </w:r>
      <w:r w:rsidR="00CF51E9" w:rsidRPr="001D7314">
        <w:rPr>
          <w:rFonts w:hint="eastAsia"/>
        </w:rPr>
        <w:t>ų</w:t>
      </w:r>
      <w:r w:rsidR="00CF51E9" w:rsidRPr="001D7314">
        <w:t>j</w:t>
      </w:r>
      <w:r w:rsidR="00CF51E9" w:rsidRPr="001D7314">
        <w:rPr>
          <w:rFonts w:hint="eastAsia"/>
        </w:rPr>
        <w:t>ų</w:t>
      </w:r>
      <w:r w:rsidR="00CF51E9" w:rsidRPr="001D7314">
        <w:t xml:space="preserve"> žem</w:t>
      </w:r>
      <w:r w:rsidR="00CF51E9" w:rsidRPr="001D7314">
        <w:rPr>
          <w:rFonts w:hint="eastAsia"/>
        </w:rPr>
        <w:t>ė</w:t>
      </w:r>
      <w:r w:rsidR="00CF51E9" w:rsidRPr="001D7314">
        <w:t>s naudojimo s</w:t>
      </w:r>
      <w:r w:rsidR="00CF51E9" w:rsidRPr="001D7314">
        <w:rPr>
          <w:rFonts w:hint="eastAsia"/>
        </w:rPr>
        <w:t>ą</w:t>
      </w:r>
      <w:r w:rsidR="00CF51E9" w:rsidRPr="001D7314">
        <w:t>lyg</w:t>
      </w:r>
      <w:r w:rsidR="00CF51E9" w:rsidRPr="001D7314">
        <w:rPr>
          <w:rFonts w:hint="eastAsia"/>
        </w:rPr>
        <w:t>ų</w:t>
      </w:r>
      <w:r w:rsidR="00CF51E9" w:rsidRPr="001D7314">
        <w:t xml:space="preserve"> </w:t>
      </w:r>
      <w:r w:rsidR="00CF51E9" w:rsidRPr="001D7314">
        <w:rPr>
          <w:rFonts w:hint="eastAsia"/>
        </w:rPr>
        <w:t>į</w:t>
      </w:r>
      <w:r w:rsidR="00CF51E9" w:rsidRPr="001D7314">
        <w:t>statym</w:t>
      </w:r>
      <w:r w:rsidR="00761213" w:rsidRPr="001D7314">
        <w:t>o</w:t>
      </w:r>
      <w:r w:rsidR="00CF51E9" w:rsidRPr="001D7314">
        <w:t xml:space="preserve"> </w:t>
      </w:r>
      <w:r w:rsidR="00001EEE" w:rsidRPr="001D7314">
        <w:t xml:space="preserve">50 straipsnis nustato, kad atsižvelgiant į planuojamą ir (ar) vykdomą ūkinę veiklą nustatomos šios sanitarinės apsaugos zonos: gamybinių objektų – objektų, kuriuose vykdoma gamybinė veikla, susijusi su prekių ir gaminių </w:t>
      </w:r>
      <w:r w:rsidR="00761213" w:rsidRPr="001D7314">
        <w:t>(vartojimo preki</w:t>
      </w:r>
      <w:r w:rsidR="00761213" w:rsidRPr="001D7314">
        <w:rPr>
          <w:rFonts w:hint="eastAsia"/>
        </w:rPr>
        <w:t>ų</w:t>
      </w:r>
      <w:r w:rsidR="00761213" w:rsidRPr="001D7314">
        <w:t>, tarpini</w:t>
      </w:r>
      <w:r w:rsidR="00761213" w:rsidRPr="001D7314">
        <w:rPr>
          <w:rFonts w:hint="eastAsia"/>
        </w:rPr>
        <w:t>ų</w:t>
      </w:r>
      <w:r w:rsidR="00761213" w:rsidRPr="001D7314">
        <w:t xml:space="preserve"> produkt</w:t>
      </w:r>
      <w:r w:rsidR="00761213" w:rsidRPr="001D7314">
        <w:rPr>
          <w:rFonts w:hint="eastAsia"/>
        </w:rPr>
        <w:t>ų</w:t>
      </w:r>
      <w:r w:rsidR="00761213" w:rsidRPr="001D7314">
        <w:t xml:space="preserve"> arba gamybos priemoni</w:t>
      </w:r>
      <w:r w:rsidR="00761213" w:rsidRPr="001D7314">
        <w:rPr>
          <w:rFonts w:hint="eastAsia"/>
        </w:rPr>
        <w:t>ų</w:t>
      </w:r>
      <w:r w:rsidR="00761213" w:rsidRPr="001D7314">
        <w:t>)</w:t>
      </w:r>
      <w:r w:rsidR="00001EEE" w:rsidRPr="001D7314">
        <w:t xml:space="preserve"> gamyba, išskyrus branduolinės energetikos objektus ir vėjo elektrines; </w:t>
      </w:r>
      <w:r w:rsidR="00001EEE" w:rsidRPr="001D7314">
        <w:rPr>
          <w:bCs/>
        </w:rPr>
        <w:t>komunalinių objektų</w:t>
      </w:r>
      <w:r w:rsidR="00001EEE" w:rsidRPr="001D7314">
        <w:t xml:space="preserve"> – objektų, kuriuose vykdoma ūkinė </w:t>
      </w:r>
      <w:r w:rsidR="00001EEE" w:rsidRPr="001D7314">
        <w:rPr>
          <w:bCs/>
        </w:rPr>
        <w:t>veikla, susijusi su nuotekų ir atliekų tvarkymu</w:t>
      </w:r>
      <w:r w:rsidR="00761213" w:rsidRPr="001D7314">
        <w:rPr>
          <w:bCs/>
        </w:rPr>
        <w:t xml:space="preserve">, </w:t>
      </w:r>
      <w:r w:rsidR="00761213" w:rsidRPr="001D7314">
        <w:t>žmonių palaikų laidojimu ir kremavimu, išskyrus branduolinės energetikos objektus;</w:t>
      </w:r>
      <w:r w:rsidR="00001EEE" w:rsidRPr="001D7314">
        <w:t xml:space="preserve"> branduolinės energetikos objektų; pastatų, kuriuose laikomi ūkiniai gyvūnai, su esančiais prie jų mėšlo ir srutų kaupimo įrenginiais arba be jų. </w:t>
      </w:r>
    </w:p>
    <w:p w:rsidR="00001EEE" w:rsidRPr="001D7314" w:rsidRDefault="00FC7448" w:rsidP="00001EEE">
      <w:pPr>
        <w:pStyle w:val="Default"/>
        <w:spacing w:line="360" w:lineRule="auto"/>
        <w:ind w:firstLine="851"/>
        <w:jc w:val="both"/>
      </w:pPr>
      <w:r w:rsidRPr="001D7314">
        <w:t>Lietuvos Respublikos g</w:t>
      </w:r>
      <w:r w:rsidR="00CF51E9" w:rsidRPr="001D7314">
        <w:t>eriamojo vandens tiekimo ir nuotek</w:t>
      </w:r>
      <w:r w:rsidR="00CF51E9" w:rsidRPr="001D7314">
        <w:rPr>
          <w:rFonts w:hint="eastAsia"/>
        </w:rPr>
        <w:t>ų</w:t>
      </w:r>
      <w:r w:rsidR="00CF51E9" w:rsidRPr="001D7314">
        <w:t xml:space="preserve"> tvarkymo </w:t>
      </w:r>
      <w:r w:rsidR="00CF51E9" w:rsidRPr="001D7314">
        <w:rPr>
          <w:rFonts w:hint="eastAsia"/>
        </w:rPr>
        <w:t>į</w:t>
      </w:r>
      <w:r w:rsidR="00CF51E9" w:rsidRPr="001D7314">
        <w:t xml:space="preserve">statymo </w:t>
      </w:r>
      <w:r w:rsidR="00001EEE" w:rsidRPr="001D7314">
        <w:t xml:space="preserve">3 straipsnio 31 dalis nustato, kad </w:t>
      </w:r>
      <w:r w:rsidR="00585545" w:rsidRPr="001D7314">
        <w:t>p</w:t>
      </w:r>
      <w:r w:rsidR="00001EEE" w:rsidRPr="001D7314">
        <w:rPr>
          <w:bCs/>
        </w:rPr>
        <w:t>aviršinės nuotekos</w:t>
      </w:r>
      <w:r w:rsidR="00001EEE" w:rsidRPr="001D7314">
        <w:t xml:space="preserve"> – ant urbanizuotos teritorijos paviršiaus (išskyrus žaliuosius plotus, kuriuose neįrengta vandens surinkimo infrastruktūra, ir žemės ūkio naudmenas) patenkantis kritulių ir kitoks (nuo teritorijų dangos ar transporto priemonių plovimo ir panašiai) vanduo, kurį teritorijos valdytojas (abonentas), naudodamas paviršinių nuotekų tvarkymo sistemas, surenka ir pašalina į aplinką arba išleidžia į kitiems asmenims priklausančias nuotekų tvarkymo sistemas (perduoda paviršinių nuotekų tvarkytojui). </w:t>
      </w:r>
    </w:p>
    <w:p w:rsidR="00001EEE" w:rsidRPr="00001EEE" w:rsidRDefault="00001EEE" w:rsidP="00001EEE">
      <w:pPr>
        <w:pStyle w:val="Default"/>
        <w:spacing w:line="360" w:lineRule="auto"/>
        <w:ind w:firstLine="851"/>
        <w:jc w:val="both"/>
        <w:rPr>
          <w:bCs/>
        </w:rPr>
      </w:pPr>
      <w:r w:rsidRPr="00001EEE">
        <w:t xml:space="preserve">Lietuvos Respublikos aplinkos ministras, įgyvendindamas atitinkamas </w:t>
      </w:r>
      <w:r w:rsidR="00CF51E9">
        <w:t>S</w:t>
      </w:r>
      <w:r w:rsidR="00CF51E9" w:rsidRPr="00CF51E9">
        <w:t>peciali</w:t>
      </w:r>
      <w:r w:rsidR="00CF51E9" w:rsidRPr="00CF51E9">
        <w:rPr>
          <w:rFonts w:hint="eastAsia"/>
        </w:rPr>
        <w:t>ų</w:t>
      </w:r>
      <w:r w:rsidR="00CF51E9" w:rsidRPr="00CF51E9">
        <w:t>j</w:t>
      </w:r>
      <w:r w:rsidR="00CF51E9" w:rsidRPr="00CF51E9">
        <w:rPr>
          <w:rFonts w:hint="eastAsia"/>
        </w:rPr>
        <w:t>ų</w:t>
      </w:r>
      <w:r w:rsidR="00CF51E9" w:rsidRPr="00CF51E9">
        <w:t xml:space="preserve"> žem</w:t>
      </w:r>
      <w:r w:rsidR="00CF51E9" w:rsidRPr="00CF51E9">
        <w:rPr>
          <w:rFonts w:hint="eastAsia"/>
        </w:rPr>
        <w:t>ė</w:t>
      </w:r>
      <w:r w:rsidR="00CF51E9" w:rsidRPr="00CF51E9">
        <w:t>s naudojimo s</w:t>
      </w:r>
      <w:r w:rsidR="00CF51E9" w:rsidRPr="00CF51E9">
        <w:rPr>
          <w:rFonts w:hint="eastAsia"/>
        </w:rPr>
        <w:t>ą</w:t>
      </w:r>
      <w:r w:rsidR="00CF51E9" w:rsidRPr="00CF51E9">
        <w:t>lyg</w:t>
      </w:r>
      <w:r w:rsidR="00CF51E9" w:rsidRPr="00CF51E9">
        <w:rPr>
          <w:rFonts w:hint="eastAsia"/>
        </w:rPr>
        <w:t>ų</w:t>
      </w:r>
      <w:r w:rsidR="00CF51E9" w:rsidRPr="00CF51E9">
        <w:t xml:space="preserve"> </w:t>
      </w:r>
      <w:r w:rsidR="00CF51E9" w:rsidRPr="00CF51E9">
        <w:rPr>
          <w:rFonts w:hint="eastAsia"/>
        </w:rPr>
        <w:t>į</w:t>
      </w:r>
      <w:r w:rsidR="00CF51E9" w:rsidRPr="00CF51E9">
        <w:t>statym</w:t>
      </w:r>
      <w:r w:rsidR="00CF51E9">
        <w:t>o</w:t>
      </w:r>
      <w:r w:rsidRPr="00001EEE">
        <w:t xml:space="preserve"> nuostatas, 2020 m. vasario 10 d. įsakymu Nr. D1-76 (2022 m. balandžio 1 d. įsakymo Nr. D1-86 pakeitimai) patvirtino 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aprašą (toliau – Tvarkos aprašas), kuris nustato vandens </w:t>
      </w:r>
      <w:r w:rsidRPr="001D7314">
        <w:t xml:space="preserve">tiekimo ir nuotekų, </w:t>
      </w:r>
      <w:r w:rsidRPr="001D7314">
        <w:rPr>
          <w:bCs/>
        </w:rPr>
        <w:t>paviršinių nuotekų tvarkymo infrastruktūros,</w:t>
      </w:r>
      <w:r w:rsidRPr="001D7314">
        <w:t xml:space="preserve"> požeminio vandens vandenviečių, meteorologinių stebėjimų aikštelių, meteorologinių radiolokatorių, vandens matavimo stočių </w:t>
      </w:r>
      <w:r w:rsidRPr="001D7314">
        <w:rPr>
          <w:bCs/>
        </w:rPr>
        <w:t>apsaugos zonų planų</w:t>
      </w:r>
      <w:r w:rsidRPr="001D7314">
        <w:t xml:space="preserve"> sudėtį ir turinį, jų rengimo, viešinimo ir tvirtinimo tvarką. Tvarkos aprašo esmė ta, kad minėtos infrastruktūros</w:t>
      </w:r>
      <w:r w:rsidRPr="00001EEE">
        <w:t xml:space="preserve"> savininkai ir (ar) valdytojai Tvarkos aprašo 6–9, 11, 12 ir kituose punktuose nustatyta tvarka Aplinkos ministerijai teikia prašymus su priedais (dokumentų paketą), reikalingus </w:t>
      </w:r>
      <w:r w:rsidRPr="00001EEE">
        <w:rPr>
          <w:bCs/>
        </w:rPr>
        <w:t>paviršinių nuotekų tvarkymo infrastruktūros planams patvirtinti ir apsaugos zonoms juose nustatyti</w:t>
      </w:r>
      <w:r w:rsidRPr="00001EEE">
        <w:t xml:space="preserve">. Aplinkos ministrui patvirtinus minėtus planus, apie sanitarinių apsaugos zonų nustatymą informuojama visuomenė, infrastruktūros, žemės sklypų savininkai, valdytojai, naudotojai. Todėl, nagrinėjamu atveju, pareiškėjas privalėtų kreiptis į savivaldybę su prašymu įvertinti galimybę </w:t>
      </w:r>
      <w:r w:rsidRPr="00001EEE">
        <w:rPr>
          <w:bCs/>
        </w:rPr>
        <w:t>Tvarkos aprašo nustatyta tvarka</w:t>
      </w:r>
      <w:r w:rsidRPr="00001EEE">
        <w:t xml:space="preserve"> inicijuoti </w:t>
      </w:r>
      <w:r w:rsidRPr="00001EEE">
        <w:rPr>
          <w:bCs/>
        </w:rPr>
        <w:t xml:space="preserve">paviršinių nuotekų apsaugos zonų plano (-ų) Sąnašos upelio slėnyje parengimo ir šių zonų nustatymo procesą. </w:t>
      </w:r>
    </w:p>
    <w:p w:rsidR="00F713C2" w:rsidRDefault="00001EEE" w:rsidP="00001EEE">
      <w:pPr>
        <w:pStyle w:val="Default"/>
        <w:spacing w:line="360" w:lineRule="auto"/>
        <w:ind w:firstLine="851"/>
        <w:jc w:val="both"/>
      </w:pPr>
      <w:r w:rsidRPr="00001EEE">
        <w:t xml:space="preserve">Aplinkos ministras, įgyvendindamas Lietuvos Respublikos vandens įstatymo 18 straipsnio 1 dalies nuostatą, 2007 m. balandžio 2 d. įsakymu Nr. D1-193 patvirtino Paviršinių nuotekų tvarkymo reglamentą (toliau – </w:t>
      </w:r>
      <w:r w:rsidR="00585545">
        <w:t>R</w:t>
      </w:r>
      <w:r w:rsidRPr="00001EEE">
        <w:t xml:space="preserve">eglamentas), skirtą paviršinių nuotekų tvarkytojams nustatyti aplinkosaugos reikalavimus paviršinių nuotekų surinkimui, valymui ir išleidimui, siekiant apsaugoti aplinką nuo taršos. Reglamentas iškelia reikalavimus, kurių efektyviai laikantis, taršos rizika sumažinama iki minimumo. </w:t>
      </w:r>
    </w:p>
    <w:p w:rsidR="00001EEE" w:rsidRPr="00001EEE" w:rsidRDefault="00001EEE" w:rsidP="00001EEE">
      <w:pPr>
        <w:pStyle w:val="Default"/>
        <w:spacing w:line="360" w:lineRule="auto"/>
        <w:ind w:firstLine="851"/>
        <w:jc w:val="both"/>
      </w:pPr>
      <w:r w:rsidRPr="00001EEE">
        <w:t>Man</w:t>
      </w:r>
      <w:r w:rsidR="00F713C2">
        <w:t>ytina</w:t>
      </w:r>
      <w:r w:rsidRPr="00001EEE">
        <w:t xml:space="preserve">, kad teisinis reglamentavimas, skirtas užkirsti kelią pavojingų medžiagų patekimui į aplinką, yra pakankamas ir jo turi būti besąlygiškai laikomasi. </w:t>
      </w:r>
    </w:p>
    <w:p w:rsidR="00001EEE" w:rsidRPr="00001EEE" w:rsidRDefault="00001EEE" w:rsidP="00001EEE">
      <w:pPr>
        <w:pStyle w:val="Default"/>
        <w:spacing w:line="360" w:lineRule="auto"/>
        <w:ind w:firstLine="851"/>
        <w:jc w:val="both"/>
        <w:rPr>
          <w:lang w:val="lt"/>
        </w:rPr>
      </w:pPr>
      <w:r w:rsidRPr="00001EEE">
        <w:t>Pažym</w:t>
      </w:r>
      <w:r w:rsidR="00F713C2">
        <w:t>ėtina</w:t>
      </w:r>
      <w:r w:rsidRPr="00001EEE">
        <w:t xml:space="preserve">, kad teritorijų planavimas yra vienas esminių įrankių, padedančių teritoriją vertinti kaip visumą, nuosekliai numatyti ir valdyti būsimus pokyčius, išsaugoti ir padidinti aplinkos kokybę, užtikrinti įvairių ūkinių ir kitų veiklų suderinamumą. Vadovaujantis </w:t>
      </w:r>
      <w:r w:rsidR="002675FA">
        <w:t>Lietuvos Respublikos t</w:t>
      </w:r>
      <w:r w:rsidRPr="00001EEE">
        <w:t xml:space="preserve">eritorijų planavimo įstatymo 14 straipsnio 1 dalimi, kiekvienos savivaldybės teritorijai ar jos daliai yra rengiami bendrieji planai, kuriuose pateikiamos savivaldybės teritorijos funkcinio ir erdvinio vystymo kryptys, </w:t>
      </w:r>
      <w:r w:rsidRPr="00001EEE">
        <w:rPr>
          <w:lang w:val="lt"/>
        </w:rPr>
        <w:t xml:space="preserve">optimizuojama planuojamos teritorijos urbanistinė struktūra, socialinė ir inžinerinė infrastruktūra, numatomos jos atsparumo ekstremaliems klimato reiškiniams stiprinimo,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priemonės; detalizuojami atitinkamų aukštesnio lygmens kompleksinio teritorijų planavimo dokumentų sprendiniai. </w:t>
      </w:r>
      <w:r w:rsidR="00CF51E9">
        <w:rPr>
          <w:lang w:val="lt"/>
        </w:rPr>
        <w:t>G</w:t>
      </w:r>
      <w:r w:rsidR="00CF51E9" w:rsidRPr="00CF51E9">
        <w:rPr>
          <w:lang w:val="lt"/>
        </w:rPr>
        <w:t>eriamojo vandens tiekimo ir nuotek</w:t>
      </w:r>
      <w:r w:rsidR="00CF51E9" w:rsidRPr="00CF51E9">
        <w:rPr>
          <w:rFonts w:hint="eastAsia"/>
          <w:lang w:val="lt"/>
        </w:rPr>
        <w:t>ų</w:t>
      </w:r>
      <w:r w:rsidR="00CF51E9" w:rsidRPr="00CF51E9">
        <w:rPr>
          <w:lang w:val="lt"/>
        </w:rPr>
        <w:t xml:space="preserve"> tvarkymo </w:t>
      </w:r>
      <w:r w:rsidR="00CF51E9" w:rsidRPr="00CF51E9">
        <w:rPr>
          <w:rFonts w:hint="eastAsia"/>
          <w:lang w:val="lt"/>
        </w:rPr>
        <w:t>į</w:t>
      </w:r>
      <w:r w:rsidR="00CF51E9" w:rsidRPr="00CF51E9">
        <w:rPr>
          <w:lang w:val="lt"/>
        </w:rPr>
        <w:t>statym</w:t>
      </w:r>
      <w:r w:rsidR="00CF51E9">
        <w:rPr>
          <w:lang w:val="lt"/>
        </w:rPr>
        <w:t>o</w:t>
      </w:r>
      <w:r w:rsidR="00CF51E9" w:rsidRPr="00CF51E9">
        <w:rPr>
          <w:lang w:val="lt"/>
        </w:rPr>
        <w:t xml:space="preserve"> </w:t>
      </w:r>
      <w:r w:rsidRPr="00001EEE">
        <w:rPr>
          <w:lang w:val="lt"/>
        </w:rPr>
        <w:t>12 straipsnis nu</w:t>
      </w:r>
      <w:r w:rsidR="00F713C2">
        <w:rPr>
          <w:lang w:val="lt"/>
        </w:rPr>
        <w:t>st</w:t>
      </w:r>
      <w:r w:rsidRPr="00001EEE">
        <w:rPr>
          <w:lang w:val="lt"/>
        </w:rPr>
        <w:t xml:space="preserve">ato, kad paviršinių nuotekų tvarkymo infrastruktūros plėtra gali būti numatoma specialiojo teritorijų planavimo dokumente – geriamojo vandens tiekimo ir nuotekų tvarkymo infrastruktūros plėtros plane arba kitame teritorijų planavimo dokumente. Be to, vadovaujantis </w:t>
      </w:r>
      <w:r w:rsidR="00DC04D1">
        <w:rPr>
          <w:lang w:val="lt"/>
        </w:rPr>
        <w:t>Lietuvos Respublikos ž</w:t>
      </w:r>
      <w:r w:rsidRPr="00001EEE">
        <w:rPr>
          <w:lang w:val="lt"/>
        </w:rPr>
        <w:t xml:space="preserve">emės įstatymo 45 straipsniu, rengiant specialiojo teritorijų planavimo dokumentus ar vietovės lygmens kompleksinio teritorijų planavimo dokumentus, esant pagrįstam poreikiui kurti viešuosius atskiruosius želdynus, siekiant įvykdyti viešųjų atskirųjų želdynų normas ir tuo pačiu palaikyti ir stiprinti teritorijos ekologines funkcijas, gali būti numatomas žemės paėmimas visuomenės poreikiams. </w:t>
      </w:r>
    </w:p>
    <w:p w:rsidR="00001EEE" w:rsidRPr="00001EEE" w:rsidRDefault="00001EEE" w:rsidP="00001EEE">
      <w:pPr>
        <w:pStyle w:val="Default"/>
        <w:spacing w:line="360" w:lineRule="auto"/>
        <w:ind w:firstLine="851"/>
        <w:jc w:val="both"/>
      </w:pPr>
      <w:r w:rsidRPr="007D26A3">
        <w:t xml:space="preserve">Pagal Lietuvos Respublikos vietos savivaldos įstatymo 6 straipsnio 19 dalį </w:t>
      </w:r>
      <w:r w:rsidRPr="007D26A3">
        <w:rPr>
          <w:iCs/>
        </w:rPr>
        <w:t>teritorijų planavimas, savivaldybės bendrojo plano ar savivaldybės dalių bendrųjų planų ir detaliųjų planų sprendinių įgyvendinimas</w:t>
      </w:r>
      <w:r w:rsidRPr="007D26A3">
        <w:t xml:space="preserve"> yra viena iš savarankiškųjų savivaldybės funkcijų</w:t>
      </w:r>
      <w:r w:rsidR="004A7DE1" w:rsidRPr="007D26A3">
        <w:t>,</w:t>
      </w:r>
      <w:r w:rsidRPr="007D26A3">
        <w:t xml:space="preserve"> </w:t>
      </w:r>
      <w:r w:rsidR="004A7DE1" w:rsidRPr="007D26A3">
        <w:t>t</w:t>
      </w:r>
      <w:r w:rsidRPr="007D26A3">
        <w:t>odėl poreikis teritorijoje taikyti aplinkos atkūrimo ir (ar) žalos aplinkai prevencines</w:t>
      </w:r>
      <w:r w:rsidRPr="00001EEE">
        <w:t xml:space="preserve"> priemones, įgyvendinti sprendimus, skirtus biologinei įvairovei ir ekosistemų teikiamoms paslaugoms palaikyti, aplinkos kokybei ir visuomenės sveikatos apsaugai gerinti, galėtų būti detaliau išanalizuotas ir atitinkami sprendimai priimti rengiant savivaldybės ir (ar) vietovės lygmens teritorijų planavimo dokumentus. </w:t>
      </w:r>
    </w:p>
    <w:p w:rsidR="0096210C" w:rsidRDefault="00250B20" w:rsidP="00001EEE">
      <w:pPr>
        <w:pStyle w:val="Default"/>
        <w:spacing w:line="360" w:lineRule="auto"/>
        <w:ind w:firstLine="851"/>
        <w:jc w:val="both"/>
      </w:pPr>
      <w:r>
        <w:t xml:space="preserve">Taip pat pažymėtina, kad </w:t>
      </w:r>
      <w:r w:rsidR="00001EEE" w:rsidRPr="00001EEE">
        <w:t xml:space="preserve">Aplinkos ministerija, įgyvendindama Lietuvos Respublikos Vyriausybės programos nuostatas ir atliepdama į ambicingus Europos Žaliojo kurso ir Europos Sąjungos Biologinės įvairovės strategijos iki 2030 metų tikslus, yra įsipareigojusi pakeisti </w:t>
      </w:r>
      <w:r w:rsidR="00FC7448">
        <w:t>A</w:t>
      </w:r>
      <w:r w:rsidR="00001EEE" w:rsidRPr="00001EEE">
        <w:t xml:space="preserve">plinkos apsaugos įstatymą, į jį integruojant žaliąją infrastruktūrą, kad ji taptų standartiniu (privalomuoju) teritorijų plėtros ir vystymo komponentu. Įstatymo lygmeniu nustatant žaliosios infrastruktūros kūrimo principus tikimasi paskatinti tvarių paviršinio vandens tvarkymo sistemų kūrimą, kurios gali padėti sugerti nuo gatvių ir kitų nepralaidžių paviršių nutekančias nuotekas, ir taip sumažinti į upes ir kitus vandens tvenkinius patenkantį teršalų kiekį, pilkosios (technogeninės) infrastruktūros apkrovas, vis dažnėjančių potvynių ar sausrų riziką. </w:t>
      </w:r>
    </w:p>
    <w:p w:rsidR="008B00C5" w:rsidRPr="00DD493D" w:rsidRDefault="008B00C5" w:rsidP="00001EEE">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C56D00">
        <w:rPr>
          <w:rFonts w:ascii="Times New Roman" w:hAnsi="Times New Roman"/>
          <w:sz w:val="24"/>
          <w:szCs w:val="24"/>
          <w:lang w:eastAsia="ar-SA"/>
        </w:rPr>
        <w:t xml:space="preserve">V. </w:t>
      </w:r>
      <w:r w:rsidR="001F3622">
        <w:rPr>
          <w:rFonts w:ascii="Times New Roman" w:hAnsi="Times New Roman"/>
          <w:sz w:val="24"/>
          <w:szCs w:val="24"/>
          <w:lang w:eastAsia="ar-SA"/>
        </w:rPr>
        <w:t>Foko</w:t>
      </w:r>
      <w:r w:rsidRPr="00DD493D">
        <w:rPr>
          <w:rFonts w:ascii="Times New Roman" w:hAnsi="Times New Roman"/>
          <w:sz w:val="24"/>
          <w:szCs w:val="24"/>
          <w:lang w:eastAsia="ar-SA"/>
        </w:rPr>
        <w:t xml:space="preserve"> peticijoje pateikt</w:t>
      </w:r>
      <w:r w:rsidR="001F3622">
        <w:rPr>
          <w:rFonts w:ascii="Times New Roman" w:hAnsi="Times New Roman"/>
          <w:sz w:val="24"/>
          <w:szCs w:val="24"/>
          <w:lang w:eastAsia="ar-SA"/>
        </w:rPr>
        <w:t>o</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1F3622">
        <w:rPr>
          <w:rFonts w:ascii="Times New Roman" w:hAnsi="Times New Roman"/>
          <w:sz w:val="24"/>
          <w:szCs w:val="24"/>
          <w:lang w:eastAsia="ar-SA"/>
        </w:rPr>
        <w:t>o</w:t>
      </w:r>
      <w:r w:rsidRPr="00DD493D">
        <w:rPr>
          <w:rFonts w:ascii="Times New Roman" w:hAnsi="Times New Roman"/>
          <w:sz w:val="24"/>
          <w:szCs w:val="24"/>
          <w:lang w:eastAsia="ar-SA"/>
        </w:rPr>
        <w:t xml:space="preserve"> atmetimo teikiama Seimui, taip pat siūloma įtraukti į Seimo </w:t>
      </w:r>
      <w:r w:rsidR="00BA5940">
        <w:rPr>
          <w:rFonts w:ascii="Times New Roman" w:hAnsi="Times New Roman"/>
          <w:sz w:val="24"/>
          <w:szCs w:val="24"/>
          <w:lang w:eastAsia="ar-SA"/>
        </w:rPr>
        <w:t xml:space="preserve">rudens </w:t>
      </w:r>
      <w:r w:rsidRPr="00DD493D">
        <w:rPr>
          <w:rFonts w:ascii="Times New Roman" w:hAnsi="Times New Roman"/>
          <w:sz w:val="24"/>
          <w:szCs w:val="24"/>
          <w:lang w:eastAsia="ar-SA"/>
        </w:rPr>
        <w:t xml:space="preserve">sesijos darbotvarkę Seimo nutarimo „Dėl Lietuvos Respublikos Seimo Peticijų komisijos išvados dėl </w:t>
      </w:r>
      <w:r w:rsidR="00C56D00">
        <w:rPr>
          <w:rFonts w:ascii="Times New Roman" w:hAnsi="Times New Roman"/>
          <w:sz w:val="24"/>
          <w:szCs w:val="24"/>
          <w:lang w:eastAsia="ar-SA"/>
        </w:rPr>
        <w:t>Vi</w:t>
      </w:r>
      <w:r w:rsidR="001F3622">
        <w:rPr>
          <w:rFonts w:ascii="Times New Roman" w:hAnsi="Times New Roman"/>
          <w:sz w:val="24"/>
          <w:szCs w:val="24"/>
          <w:lang w:eastAsia="ar-SA"/>
        </w:rPr>
        <w:t>liaus Foko</w:t>
      </w:r>
      <w:r w:rsidRPr="00DD493D">
        <w:rPr>
          <w:rFonts w:ascii="Times New Roman" w:hAnsi="Times New Roman"/>
          <w:sz w:val="24"/>
          <w:szCs w:val="24"/>
          <w:lang w:eastAsia="ar-SA"/>
        </w:rPr>
        <w:t xml:space="preserve"> peticijos“ projektą.</w:t>
      </w:r>
    </w:p>
    <w:p w:rsidR="00135346" w:rsidRDefault="00135346" w:rsidP="006F155E">
      <w:pPr>
        <w:pStyle w:val="Betarp"/>
        <w:tabs>
          <w:tab w:val="left" w:pos="1134"/>
        </w:tabs>
        <w:spacing w:line="360" w:lineRule="auto"/>
        <w:ind w:firstLine="851"/>
        <w:jc w:val="both"/>
        <w:rPr>
          <w:rFonts w:ascii="Times New Roman" w:hAnsi="Times New Roman"/>
          <w:sz w:val="24"/>
          <w:szCs w:val="24"/>
          <w:lang w:eastAsia="ar-SA"/>
        </w:rPr>
      </w:pPr>
    </w:p>
    <w:p w:rsidR="00327E85"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A85AEA" w:rsidRDefault="00A85AEA" w:rsidP="00135346">
      <w:pPr>
        <w:pStyle w:val="Betarp"/>
        <w:tabs>
          <w:tab w:val="left" w:pos="1134"/>
        </w:tabs>
        <w:spacing w:line="360" w:lineRule="auto"/>
        <w:jc w:val="both"/>
        <w:rPr>
          <w:rFonts w:ascii="Times New Roman" w:hAnsi="Times New Roman"/>
          <w:sz w:val="24"/>
          <w:szCs w:val="24"/>
          <w:lang w:eastAsia="ar-SA"/>
        </w:rPr>
      </w:pPr>
    </w:p>
    <w:p w:rsidR="00A85AEA" w:rsidRDefault="00A85AEA" w:rsidP="00135346">
      <w:pPr>
        <w:pStyle w:val="Betarp"/>
        <w:tabs>
          <w:tab w:val="left" w:pos="1134"/>
        </w:tabs>
        <w:spacing w:line="360" w:lineRule="auto"/>
        <w:jc w:val="both"/>
        <w:rPr>
          <w:rFonts w:ascii="Times New Roman" w:hAnsi="Times New Roman"/>
          <w:sz w:val="24"/>
          <w:szCs w:val="24"/>
          <w:lang w:eastAsia="ar-SA"/>
        </w:rPr>
      </w:pPr>
    </w:p>
    <w:p w:rsidR="00A85AEA" w:rsidRDefault="00A85AEA" w:rsidP="00135346">
      <w:pPr>
        <w:pStyle w:val="Betarp"/>
        <w:tabs>
          <w:tab w:val="left" w:pos="1134"/>
        </w:tabs>
        <w:spacing w:line="360" w:lineRule="auto"/>
        <w:jc w:val="both"/>
        <w:rPr>
          <w:rFonts w:ascii="Times New Roman" w:hAnsi="Times New Roman"/>
          <w:sz w:val="24"/>
          <w:szCs w:val="24"/>
          <w:lang w:eastAsia="ar-SA"/>
        </w:rPr>
      </w:pPr>
    </w:p>
    <w:p w:rsidR="00A85AEA" w:rsidRDefault="00A85AEA" w:rsidP="00135346">
      <w:pPr>
        <w:pStyle w:val="Betarp"/>
        <w:tabs>
          <w:tab w:val="left" w:pos="1134"/>
        </w:tabs>
        <w:spacing w:line="360" w:lineRule="auto"/>
        <w:jc w:val="both"/>
        <w:rPr>
          <w:rFonts w:ascii="Times New Roman" w:hAnsi="Times New Roman"/>
          <w:sz w:val="24"/>
          <w:szCs w:val="24"/>
          <w:lang w:eastAsia="ar-SA"/>
        </w:rPr>
      </w:pPr>
    </w:p>
    <w:p w:rsidR="00A85AEA" w:rsidRDefault="00A85AEA" w:rsidP="00135346">
      <w:pPr>
        <w:pStyle w:val="Betarp"/>
        <w:tabs>
          <w:tab w:val="left" w:pos="1134"/>
        </w:tabs>
        <w:spacing w:line="360" w:lineRule="auto"/>
        <w:jc w:val="both"/>
        <w:rPr>
          <w:rFonts w:ascii="Times New Roman" w:hAnsi="Times New Roman"/>
          <w:sz w:val="24"/>
          <w:szCs w:val="24"/>
          <w:lang w:eastAsia="ar-SA"/>
        </w:rPr>
      </w:pPr>
    </w:p>
    <w:p w:rsidR="00A85AEA" w:rsidRDefault="00A85AEA" w:rsidP="00135346">
      <w:pPr>
        <w:pStyle w:val="Betarp"/>
        <w:tabs>
          <w:tab w:val="left" w:pos="1134"/>
        </w:tabs>
        <w:spacing w:line="360" w:lineRule="auto"/>
        <w:jc w:val="both"/>
        <w:rPr>
          <w:rFonts w:ascii="Times New Roman" w:hAnsi="Times New Roman"/>
          <w:sz w:val="24"/>
          <w:szCs w:val="24"/>
          <w:lang w:eastAsia="ar-SA"/>
        </w:rPr>
      </w:pPr>
      <w:bookmarkStart w:id="10" w:name="_GoBack"/>
      <w:bookmarkEnd w:id="10"/>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A85AEA">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EEE"/>
    <w:rsid w:val="00007646"/>
    <w:rsid w:val="00013CD3"/>
    <w:rsid w:val="00032E3D"/>
    <w:rsid w:val="00041A0D"/>
    <w:rsid w:val="0004523C"/>
    <w:rsid w:val="00063562"/>
    <w:rsid w:val="00064507"/>
    <w:rsid w:val="00065AB6"/>
    <w:rsid w:val="000676F6"/>
    <w:rsid w:val="00094970"/>
    <w:rsid w:val="000A1F59"/>
    <w:rsid w:val="000A2419"/>
    <w:rsid w:val="000B29C8"/>
    <w:rsid w:val="000E1825"/>
    <w:rsid w:val="001048E0"/>
    <w:rsid w:val="001076F4"/>
    <w:rsid w:val="00111A10"/>
    <w:rsid w:val="00112561"/>
    <w:rsid w:val="001143A8"/>
    <w:rsid w:val="0011643A"/>
    <w:rsid w:val="0013103A"/>
    <w:rsid w:val="00134578"/>
    <w:rsid w:val="00135346"/>
    <w:rsid w:val="001427D0"/>
    <w:rsid w:val="0017707D"/>
    <w:rsid w:val="00184772"/>
    <w:rsid w:val="00197428"/>
    <w:rsid w:val="001B5EC0"/>
    <w:rsid w:val="001C5059"/>
    <w:rsid w:val="001D0891"/>
    <w:rsid w:val="001D14A2"/>
    <w:rsid w:val="001D580C"/>
    <w:rsid w:val="001D6691"/>
    <w:rsid w:val="001D67C8"/>
    <w:rsid w:val="001D7314"/>
    <w:rsid w:val="001E3FE2"/>
    <w:rsid w:val="001F2ABA"/>
    <w:rsid w:val="001F3622"/>
    <w:rsid w:val="00227101"/>
    <w:rsid w:val="00230C3F"/>
    <w:rsid w:val="00233F42"/>
    <w:rsid w:val="002368D3"/>
    <w:rsid w:val="00236F81"/>
    <w:rsid w:val="00245E31"/>
    <w:rsid w:val="00246EB6"/>
    <w:rsid w:val="00247207"/>
    <w:rsid w:val="00250B20"/>
    <w:rsid w:val="002600BA"/>
    <w:rsid w:val="002658CB"/>
    <w:rsid w:val="002675FA"/>
    <w:rsid w:val="00280B58"/>
    <w:rsid w:val="002821BF"/>
    <w:rsid w:val="00282617"/>
    <w:rsid w:val="00290605"/>
    <w:rsid w:val="00292C99"/>
    <w:rsid w:val="00294A4B"/>
    <w:rsid w:val="002A197F"/>
    <w:rsid w:val="002A2CA5"/>
    <w:rsid w:val="002C47F6"/>
    <w:rsid w:val="002D2770"/>
    <w:rsid w:val="002D61FF"/>
    <w:rsid w:val="002D6AC5"/>
    <w:rsid w:val="002F5F3E"/>
    <w:rsid w:val="00302517"/>
    <w:rsid w:val="00327E85"/>
    <w:rsid w:val="003364F0"/>
    <w:rsid w:val="00340CC8"/>
    <w:rsid w:val="00343064"/>
    <w:rsid w:val="003515CC"/>
    <w:rsid w:val="00355146"/>
    <w:rsid w:val="003964E1"/>
    <w:rsid w:val="003B1E99"/>
    <w:rsid w:val="003B5D73"/>
    <w:rsid w:val="003C249C"/>
    <w:rsid w:val="003E7934"/>
    <w:rsid w:val="003F3B6E"/>
    <w:rsid w:val="003F5F33"/>
    <w:rsid w:val="003F685E"/>
    <w:rsid w:val="004022D3"/>
    <w:rsid w:val="004202F5"/>
    <w:rsid w:val="004324C5"/>
    <w:rsid w:val="00471F84"/>
    <w:rsid w:val="004819E5"/>
    <w:rsid w:val="00487756"/>
    <w:rsid w:val="004940FD"/>
    <w:rsid w:val="004A7DE1"/>
    <w:rsid w:val="004C24E7"/>
    <w:rsid w:val="004D13DA"/>
    <w:rsid w:val="004D6DEE"/>
    <w:rsid w:val="004F3132"/>
    <w:rsid w:val="00505204"/>
    <w:rsid w:val="00505D5D"/>
    <w:rsid w:val="0051109C"/>
    <w:rsid w:val="00524D2C"/>
    <w:rsid w:val="005263DF"/>
    <w:rsid w:val="00534504"/>
    <w:rsid w:val="005450CA"/>
    <w:rsid w:val="00545CA1"/>
    <w:rsid w:val="00576E5E"/>
    <w:rsid w:val="00584987"/>
    <w:rsid w:val="00585545"/>
    <w:rsid w:val="005A10E2"/>
    <w:rsid w:val="005A5045"/>
    <w:rsid w:val="005C497B"/>
    <w:rsid w:val="005C5B44"/>
    <w:rsid w:val="005E074A"/>
    <w:rsid w:val="0060462B"/>
    <w:rsid w:val="00611CBD"/>
    <w:rsid w:val="00621034"/>
    <w:rsid w:val="006267C6"/>
    <w:rsid w:val="00637B2E"/>
    <w:rsid w:val="00637B5A"/>
    <w:rsid w:val="0064594B"/>
    <w:rsid w:val="00662E5D"/>
    <w:rsid w:val="006677DE"/>
    <w:rsid w:val="006775A3"/>
    <w:rsid w:val="00691256"/>
    <w:rsid w:val="006B7732"/>
    <w:rsid w:val="006E39CA"/>
    <w:rsid w:val="006E53DD"/>
    <w:rsid w:val="006E7DC2"/>
    <w:rsid w:val="006F155E"/>
    <w:rsid w:val="006F6977"/>
    <w:rsid w:val="007153A5"/>
    <w:rsid w:val="00746659"/>
    <w:rsid w:val="00761213"/>
    <w:rsid w:val="007616B6"/>
    <w:rsid w:val="00764F56"/>
    <w:rsid w:val="00767FBF"/>
    <w:rsid w:val="00776CE2"/>
    <w:rsid w:val="00781A5A"/>
    <w:rsid w:val="0079348F"/>
    <w:rsid w:val="00795533"/>
    <w:rsid w:val="007A504A"/>
    <w:rsid w:val="007B2D21"/>
    <w:rsid w:val="007B6AC5"/>
    <w:rsid w:val="007C64BC"/>
    <w:rsid w:val="007D16B6"/>
    <w:rsid w:val="007D26A3"/>
    <w:rsid w:val="007F7219"/>
    <w:rsid w:val="00804BD5"/>
    <w:rsid w:val="00805CE1"/>
    <w:rsid w:val="0082419F"/>
    <w:rsid w:val="00831ABF"/>
    <w:rsid w:val="00861944"/>
    <w:rsid w:val="00862688"/>
    <w:rsid w:val="00874559"/>
    <w:rsid w:val="0087566D"/>
    <w:rsid w:val="0088091B"/>
    <w:rsid w:val="00881819"/>
    <w:rsid w:val="008831BA"/>
    <w:rsid w:val="00883671"/>
    <w:rsid w:val="008852EF"/>
    <w:rsid w:val="00890254"/>
    <w:rsid w:val="008945C5"/>
    <w:rsid w:val="00897545"/>
    <w:rsid w:val="008A5D53"/>
    <w:rsid w:val="008B00C5"/>
    <w:rsid w:val="008B40FD"/>
    <w:rsid w:val="008D0BEC"/>
    <w:rsid w:val="008D27FA"/>
    <w:rsid w:val="008E6956"/>
    <w:rsid w:val="008F14D1"/>
    <w:rsid w:val="008F2D63"/>
    <w:rsid w:val="008F3913"/>
    <w:rsid w:val="00913592"/>
    <w:rsid w:val="00916F60"/>
    <w:rsid w:val="0094550E"/>
    <w:rsid w:val="00945932"/>
    <w:rsid w:val="00947680"/>
    <w:rsid w:val="00955C87"/>
    <w:rsid w:val="00960CD0"/>
    <w:rsid w:val="0096210C"/>
    <w:rsid w:val="0096259C"/>
    <w:rsid w:val="0096678A"/>
    <w:rsid w:val="00972156"/>
    <w:rsid w:val="00997E64"/>
    <w:rsid w:val="009A1042"/>
    <w:rsid w:val="009A28EC"/>
    <w:rsid w:val="009D44CA"/>
    <w:rsid w:val="009D61C9"/>
    <w:rsid w:val="009D7F95"/>
    <w:rsid w:val="009F6A1C"/>
    <w:rsid w:val="00A11004"/>
    <w:rsid w:val="00A143BD"/>
    <w:rsid w:val="00A17B6D"/>
    <w:rsid w:val="00A24DB6"/>
    <w:rsid w:val="00A30897"/>
    <w:rsid w:val="00A31867"/>
    <w:rsid w:val="00A40019"/>
    <w:rsid w:val="00A43BD0"/>
    <w:rsid w:val="00A44BB1"/>
    <w:rsid w:val="00A47BDB"/>
    <w:rsid w:val="00A618F7"/>
    <w:rsid w:val="00A65887"/>
    <w:rsid w:val="00A85AEA"/>
    <w:rsid w:val="00A8642B"/>
    <w:rsid w:val="00A90743"/>
    <w:rsid w:val="00AC06DA"/>
    <w:rsid w:val="00AD200E"/>
    <w:rsid w:val="00AE2911"/>
    <w:rsid w:val="00AE3015"/>
    <w:rsid w:val="00AF1C09"/>
    <w:rsid w:val="00AF2260"/>
    <w:rsid w:val="00AF2ACD"/>
    <w:rsid w:val="00B10E22"/>
    <w:rsid w:val="00B13C0D"/>
    <w:rsid w:val="00B207BF"/>
    <w:rsid w:val="00B27A99"/>
    <w:rsid w:val="00B34F8A"/>
    <w:rsid w:val="00B5127D"/>
    <w:rsid w:val="00B62255"/>
    <w:rsid w:val="00B63344"/>
    <w:rsid w:val="00B74E60"/>
    <w:rsid w:val="00B81CDD"/>
    <w:rsid w:val="00B876EF"/>
    <w:rsid w:val="00B9363C"/>
    <w:rsid w:val="00B9698B"/>
    <w:rsid w:val="00BA5940"/>
    <w:rsid w:val="00BC11D0"/>
    <w:rsid w:val="00BD507D"/>
    <w:rsid w:val="00BE3D09"/>
    <w:rsid w:val="00C04105"/>
    <w:rsid w:val="00C073E5"/>
    <w:rsid w:val="00C10528"/>
    <w:rsid w:val="00C22514"/>
    <w:rsid w:val="00C2424F"/>
    <w:rsid w:val="00C51EED"/>
    <w:rsid w:val="00C56D00"/>
    <w:rsid w:val="00C61088"/>
    <w:rsid w:val="00C703AF"/>
    <w:rsid w:val="00C84E99"/>
    <w:rsid w:val="00C91397"/>
    <w:rsid w:val="00C94265"/>
    <w:rsid w:val="00CA65A9"/>
    <w:rsid w:val="00CB491B"/>
    <w:rsid w:val="00CD1B33"/>
    <w:rsid w:val="00CD23CA"/>
    <w:rsid w:val="00CF51E9"/>
    <w:rsid w:val="00CF6EE3"/>
    <w:rsid w:val="00D348F0"/>
    <w:rsid w:val="00D36D0D"/>
    <w:rsid w:val="00D64B1B"/>
    <w:rsid w:val="00D75803"/>
    <w:rsid w:val="00D84646"/>
    <w:rsid w:val="00D861E5"/>
    <w:rsid w:val="00DC04D1"/>
    <w:rsid w:val="00DD24C8"/>
    <w:rsid w:val="00DD493D"/>
    <w:rsid w:val="00DF26D9"/>
    <w:rsid w:val="00DF4CDF"/>
    <w:rsid w:val="00E10593"/>
    <w:rsid w:val="00E15961"/>
    <w:rsid w:val="00E24D2A"/>
    <w:rsid w:val="00E43CC1"/>
    <w:rsid w:val="00E5184F"/>
    <w:rsid w:val="00E53C9A"/>
    <w:rsid w:val="00E628D9"/>
    <w:rsid w:val="00E63F36"/>
    <w:rsid w:val="00E65469"/>
    <w:rsid w:val="00E66D4B"/>
    <w:rsid w:val="00E74523"/>
    <w:rsid w:val="00EB4DC2"/>
    <w:rsid w:val="00EB605B"/>
    <w:rsid w:val="00EF5655"/>
    <w:rsid w:val="00F02558"/>
    <w:rsid w:val="00F12000"/>
    <w:rsid w:val="00F25EF4"/>
    <w:rsid w:val="00F45F4F"/>
    <w:rsid w:val="00F53F45"/>
    <w:rsid w:val="00F55B27"/>
    <w:rsid w:val="00F60698"/>
    <w:rsid w:val="00F60B44"/>
    <w:rsid w:val="00F64267"/>
    <w:rsid w:val="00F713C2"/>
    <w:rsid w:val="00F74B23"/>
    <w:rsid w:val="00F80EAA"/>
    <w:rsid w:val="00F90586"/>
    <w:rsid w:val="00FA218A"/>
    <w:rsid w:val="00FB2777"/>
    <w:rsid w:val="00FB44D3"/>
    <w:rsid w:val="00FC7448"/>
    <w:rsid w:val="00FD59C1"/>
    <w:rsid w:val="00FE7736"/>
    <w:rsid w:val="00FF268B"/>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55C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Z6YWEJNPDQQR-896559167-263</_dlc_DocId>
    <_dlc_DocIdUrl xmlns="28130d43-1b56-4a10-ad88-2cd38123f4c1">
      <Url>https://intranetas.lrs.lt/29/_layouts/15/DocIdRedir.aspx?ID=Z6YWEJNPDQQR-896559167-263</Url>
      <Description>Z6YWEJNPDQQR-896559167-263</Description>
    </_dlc_DocIdUrl>
  </documentManagement>
</p:properties>
</file>

<file path=customXml/itemProps1.xml><?xml version="1.0" encoding="utf-8"?>
<ds:datastoreItem xmlns:ds="http://schemas.openxmlformats.org/officeDocument/2006/customXml" ds:itemID="{8E837D58-2EFC-452C-ABFA-B3782329FB02}"/>
</file>

<file path=customXml/itemProps2.xml><?xml version="1.0" encoding="utf-8"?>
<ds:datastoreItem xmlns:ds="http://schemas.openxmlformats.org/officeDocument/2006/customXml" ds:itemID="{C869B1EA-0FFB-4784-B0C7-FAE0E0E553A7}"/>
</file>

<file path=customXml/itemProps3.xml><?xml version="1.0" encoding="utf-8"?>
<ds:datastoreItem xmlns:ds="http://schemas.openxmlformats.org/officeDocument/2006/customXml" ds:itemID="{8B850BEF-E07D-469E-B414-DD770AFE3F44}"/>
</file>

<file path=customXml/itemProps4.xml><?xml version="1.0" encoding="utf-8"?>
<ds:datastoreItem xmlns:ds="http://schemas.openxmlformats.org/officeDocument/2006/customXml" ds:itemID="{6887B518-990B-48A5-B77F-DFE4352D80E2}"/>
</file>

<file path=docProps/app.xml><?xml version="1.0" encoding="utf-8"?>
<Properties xmlns="http://schemas.openxmlformats.org/officeDocument/2006/extended-properties" xmlns:vt="http://schemas.openxmlformats.org/officeDocument/2006/docPropsVTypes">
  <Template>Normal.dotm</Template>
  <TotalTime>126</TotalTime>
  <Pages>5</Pages>
  <Words>8261</Words>
  <Characters>4709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23</cp:revision>
  <dcterms:created xsi:type="dcterms:W3CDTF">2022-08-11T11:43:00Z</dcterms:created>
  <dcterms:modified xsi:type="dcterms:W3CDTF">2022-09-01T06:58:00Z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a6d02290-5d4e-48bd-92cf-455b0cec0536</vt:lpwstr>
  </property>
</Properties>
</file>