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C1519" w14:textId="6AD40AA1" w:rsidR="005427A1" w:rsidRPr="00FD1E14" w:rsidRDefault="005427A1">
      <w:pPr>
        <w:tabs>
          <w:tab w:val="center" w:pos="4819"/>
          <w:tab w:val="right" w:pos="9638"/>
        </w:tabs>
        <w:rPr>
          <w:szCs w:val="24"/>
        </w:rPr>
      </w:pPr>
    </w:p>
    <w:p w14:paraId="67B23965" w14:textId="77777777" w:rsidR="005427A1" w:rsidRPr="00FD1E14" w:rsidRDefault="00AC3DB9">
      <w:pPr>
        <w:jc w:val="center"/>
        <w:rPr>
          <w:szCs w:val="24"/>
        </w:rPr>
      </w:pPr>
      <w:r w:rsidRPr="00FD1E14">
        <w:rPr>
          <w:noProof/>
          <w:szCs w:val="24"/>
          <w:lang w:eastAsia="lt-LT"/>
        </w:rPr>
        <w:drawing>
          <wp:inline distT="0" distB="0" distL="0" distR="0" wp14:anchorId="5F474BE0" wp14:editId="4D36C556">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14:paraId="3B50C550" w14:textId="77777777" w:rsidR="005427A1" w:rsidRPr="00FD1E14" w:rsidRDefault="005427A1">
      <w:pPr>
        <w:ind w:firstLine="851"/>
        <w:jc w:val="center"/>
        <w:rPr>
          <w:szCs w:val="24"/>
        </w:rPr>
      </w:pPr>
    </w:p>
    <w:p w14:paraId="24AE5DF0" w14:textId="77777777" w:rsidR="005427A1" w:rsidRPr="00FD1E14" w:rsidRDefault="00AC3DB9">
      <w:pPr>
        <w:jc w:val="center"/>
        <w:rPr>
          <w:b/>
          <w:bCs/>
          <w:szCs w:val="24"/>
        </w:rPr>
      </w:pPr>
      <w:r w:rsidRPr="00FD1E14">
        <w:rPr>
          <w:b/>
          <w:bCs/>
          <w:szCs w:val="24"/>
        </w:rPr>
        <w:t>LIETUVOS RESPUBLIKOS SEIMO</w:t>
      </w:r>
    </w:p>
    <w:p w14:paraId="50568BCA" w14:textId="77777777" w:rsidR="005427A1" w:rsidRPr="00FD1E14" w:rsidRDefault="00AC3DB9">
      <w:pPr>
        <w:spacing w:line="360" w:lineRule="auto"/>
        <w:jc w:val="center"/>
        <w:rPr>
          <w:b/>
          <w:bCs/>
          <w:spacing w:val="4"/>
          <w:szCs w:val="24"/>
        </w:rPr>
      </w:pPr>
      <w:r w:rsidRPr="00FD1E14">
        <w:rPr>
          <w:b/>
          <w:bCs/>
          <w:spacing w:val="4"/>
          <w:szCs w:val="24"/>
        </w:rPr>
        <w:t>PETICIJŲ KOMISIJA</w:t>
      </w:r>
    </w:p>
    <w:p w14:paraId="233DA8CA" w14:textId="77777777" w:rsidR="005427A1" w:rsidRPr="00FD1E14" w:rsidRDefault="00AC3DB9">
      <w:pPr>
        <w:spacing w:line="360" w:lineRule="auto"/>
        <w:jc w:val="center"/>
        <w:rPr>
          <w:rFonts w:eastAsia="Calibri"/>
          <w:b/>
          <w:szCs w:val="24"/>
        </w:rPr>
      </w:pPr>
      <w:r w:rsidRPr="00FD1E14">
        <w:rPr>
          <w:rFonts w:eastAsia="Calibri"/>
          <w:b/>
          <w:szCs w:val="24"/>
        </w:rPr>
        <w:t>IŠVADA</w:t>
      </w:r>
    </w:p>
    <w:p w14:paraId="0F811026" w14:textId="77777777" w:rsidR="005427A1" w:rsidRPr="00FD1E14" w:rsidRDefault="00AC3DB9">
      <w:pPr>
        <w:spacing w:line="360" w:lineRule="auto"/>
        <w:jc w:val="center"/>
        <w:rPr>
          <w:rFonts w:eastAsia="Calibri"/>
          <w:b/>
          <w:szCs w:val="24"/>
        </w:rPr>
      </w:pPr>
      <w:r w:rsidRPr="00FD1E14">
        <w:rPr>
          <w:rFonts w:eastAsia="Calibri"/>
          <w:b/>
          <w:szCs w:val="24"/>
        </w:rPr>
        <w:t>DĖL PETICIJOJE PATEIKTO SIŪLYMO NETENKINIMO</w:t>
      </w:r>
    </w:p>
    <w:p w14:paraId="65552F36" w14:textId="0C9DDA70" w:rsidR="005427A1" w:rsidRPr="00CF7BAC" w:rsidRDefault="00EB4FAD">
      <w:pPr>
        <w:spacing w:line="360" w:lineRule="auto"/>
        <w:jc w:val="center"/>
        <w:rPr>
          <w:rFonts w:eastAsia="Calibri"/>
          <w:szCs w:val="24"/>
          <w:lang w:val="en-US"/>
        </w:rPr>
      </w:pPr>
      <w:r w:rsidRPr="00FD1E14">
        <w:rPr>
          <w:rFonts w:eastAsia="Calibri"/>
          <w:szCs w:val="24"/>
        </w:rPr>
        <w:t>2</w:t>
      </w:r>
      <w:r w:rsidR="003A61FB">
        <w:rPr>
          <w:rFonts w:eastAsia="Calibri"/>
          <w:szCs w:val="24"/>
        </w:rPr>
        <w:t>02</w:t>
      </w:r>
      <w:r w:rsidR="00FB7E49">
        <w:rPr>
          <w:rFonts w:eastAsia="Calibri"/>
          <w:szCs w:val="24"/>
        </w:rPr>
        <w:t>6</w:t>
      </w:r>
      <w:r w:rsidR="003A61FB">
        <w:rPr>
          <w:rFonts w:eastAsia="Calibri"/>
          <w:szCs w:val="24"/>
        </w:rPr>
        <w:t xml:space="preserve"> m. </w:t>
      </w:r>
      <w:proofErr w:type="spellStart"/>
      <w:proofErr w:type="gramStart"/>
      <w:r w:rsidR="00713E16">
        <w:rPr>
          <w:rFonts w:eastAsia="Calibri"/>
          <w:szCs w:val="24"/>
          <w:lang w:val="en-US"/>
        </w:rPr>
        <w:t>gegu</w:t>
      </w:r>
      <w:r w:rsidR="00713E16">
        <w:rPr>
          <w:rFonts w:eastAsia="Calibri"/>
          <w:szCs w:val="24"/>
        </w:rPr>
        <w:t>žės</w:t>
      </w:r>
      <w:proofErr w:type="spellEnd"/>
      <w:proofErr w:type="gramEnd"/>
      <w:r w:rsidR="00713E16">
        <w:rPr>
          <w:rFonts w:eastAsia="Calibri"/>
          <w:szCs w:val="24"/>
        </w:rPr>
        <w:t xml:space="preserve"> </w:t>
      </w:r>
      <w:r w:rsidR="00B83D45">
        <w:rPr>
          <w:rFonts w:eastAsia="Calibri"/>
          <w:szCs w:val="24"/>
          <w:lang w:val="en-US"/>
        </w:rPr>
        <w:t>20</w:t>
      </w:r>
      <w:r w:rsidR="00446730">
        <w:rPr>
          <w:rFonts w:eastAsia="Calibri"/>
          <w:szCs w:val="24"/>
          <w:lang w:val="en-US"/>
        </w:rPr>
        <w:t xml:space="preserve"> </w:t>
      </w:r>
      <w:r w:rsidR="00CF7BAC">
        <w:rPr>
          <w:rFonts w:eastAsia="Calibri"/>
          <w:szCs w:val="24"/>
        </w:rPr>
        <w:t>d. Nr. 250-I-</w:t>
      </w:r>
      <w:r w:rsidR="006702BC">
        <w:rPr>
          <w:rFonts w:eastAsia="Calibri"/>
          <w:szCs w:val="24"/>
          <w:lang w:val="en-US"/>
        </w:rPr>
        <w:t>1</w:t>
      </w:r>
      <w:r w:rsidR="00C122C7">
        <w:rPr>
          <w:rFonts w:eastAsia="Calibri"/>
          <w:szCs w:val="24"/>
          <w:lang w:val="en-US"/>
        </w:rPr>
        <w:t>7</w:t>
      </w:r>
    </w:p>
    <w:p w14:paraId="1001074F" w14:textId="77777777" w:rsidR="005427A1" w:rsidRPr="00FD1E14" w:rsidRDefault="00AC3DB9">
      <w:pPr>
        <w:spacing w:line="360" w:lineRule="auto"/>
        <w:jc w:val="center"/>
        <w:rPr>
          <w:rFonts w:eastAsia="Calibri"/>
          <w:szCs w:val="24"/>
        </w:rPr>
      </w:pPr>
      <w:r w:rsidRPr="00FD1E14">
        <w:rPr>
          <w:rFonts w:eastAsia="Calibri"/>
          <w:szCs w:val="24"/>
        </w:rPr>
        <w:t>Vilnius</w:t>
      </w:r>
    </w:p>
    <w:p w14:paraId="12820944" w14:textId="77777777" w:rsidR="005427A1" w:rsidRPr="00703710" w:rsidRDefault="005427A1" w:rsidP="006702BC">
      <w:pPr>
        <w:spacing w:line="360" w:lineRule="auto"/>
        <w:jc w:val="right"/>
        <w:rPr>
          <w:rFonts w:eastAsia="Calibri"/>
          <w:szCs w:val="24"/>
        </w:rPr>
      </w:pPr>
    </w:p>
    <w:p w14:paraId="5B4148DB" w14:textId="38D6F655" w:rsidR="008643E2" w:rsidRPr="00703710" w:rsidRDefault="001B7668" w:rsidP="00B83D45">
      <w:pPr>
        <w:spacing w:line="360" w:lineRule="auto"/>
        <w:ind w:firstLine="720"/>
        <w:jc w:val="both"/>
        <w:rPr>
          <w:szCs w:val="24"/>
        </w:rPr>
      </w:pPr>
      <w:r w:rsidRPr="00703710">
        <w:rPr>
          <w:szCs w:val="24"/>
        </w:rPr>
        <w:t>Lietuvos Respublikos Seimo Peticijų komisija (toliau – Komisija) 202</w:t>
      </w:r>
      <w:r w:rsidR="00FB7E49" w:rsidRPr="00703710">
        <w:rPr>
          <w:szCs w:val="24"/>
        </w:rPr>
        <w:t>6</w:t>
      </w:r>
      <w:r w:rsidRPr="00703710">
        <w:rPr>
          <w:szCs w:val="24"/>
        </w:rPr>
        <w:t xml:space="preserve"> m. </w:t>
      </w:r>
      <w:proofErr w:type="spellStart"/>
      <w:proofErr w:type="gramStart"/>
      <w:r w:rsidR="00713E16" w:rsidRPr="00703710">
        <w:rPr>
          <w:szCs w:val="24"/>
          <w:lang w:val="en-US"/>
        </w:rPr>
        <w:t>gegu</w:t>
      </w:r>
      <w:r w:rsidR="00713E16" w:rsidRPr="00703710">
        <w:rPr>
          <w:szCs w:val="24"/>
        </w:rPr>
        <w:t>žės</w:t>
      </w:r>
      <w:proofErr w:type="spellEnd"/>
      <w:proofErr w:type="gramEnd"/>
      <w:r w:rsidR="00713E16" w:rsidRPr="00703710">
        <w:rPr>
          <w:szCs w:val="24"/>
        </w:rPr>
        <w:t xml:space="preserve"> </w:t>
      </w:r>
      <w:r w:rsidR="00B83D45" w:rsidRPr="00703710">
        <w:rPr>
          <w:szCs w:val="24"/>
          <w:lang w:val="en-US"/>
        </w:rPr>
        <w:t>20</w:t>
      </w:r>
      <w:r w:rsidRPr="00703710">
        <w:rPr>
          <w:szCs w:val="24"/>
        </w:rPr>
        <w:t xml:space="preserve"> d. posėdyje nagrinėjo</w:t>
      </w:r>
      <w:r w:rsidR="000E65AF" w:rsidRPr="00703710">
        <w:rPr>
          <w:szCs w:val="24"/>
        </w:rPr>
        <w:t xml:space="preserve"> pareiškėj</w:t>
      </w:r>
      <w:r w:rsidR="00B83D45" w:rsidRPr="00703710">
        <w:rPr>
          <w:szCs w:val="24"/>
        </w:rPr>
        <w:t>ų</w:t>
      </w:r>
      <w:r w:rsidRPr="00703710">
        <w:rPr>
          <w:szCs w:val="24"/>
        </w:rPr>
        <w:t xml:space="preserve"> peticiją, kurioje pateiktas siūlymas</w:t>
      </w:r>
      <w:r w:rsidRPr="00703710">
        <w:rPr>
          <w:color w:val="1F4E79" w:themeColor="accent1" w:themeShade="80"/>
          <w:szCs w:val="24"/>
          <w:lang w:bidi="bn-IN"/>
        </w:rPr>
        <w:t xml:space="preserve"> </w:t>
      </w:r>
      <w:r w:rsidR="00B83D45" w:rsidRPr="00703710">
        <w:rPr>
          <w:bCs/>
          <w:szCs w:val="24"/>
        </w:rPr>
        <w:t>dėl Lietuvos Respublikos administracinių nusižengimų kodekso (toliau – ANK) 628 straipsnio 1 dalies pakeitimo (toliau – peticija),</w:t>
      </w:r>
      <w:r w:rsidR="00B83D45" w:rsidRPr="00703710">
        <w:rPr>
          <w:szCs w:val="24"/>
        </w:rPr>
        <w:t xml:space="preserve"> </w:t>
      </w:r>
      <w:r w:rsidRPr="00703710">
        <w:rPr>
          <w:rFonts w:eastAsia="Calibri"/>
          <w:szCs w:val="24"/>
        </w:rPr>
        <w:t>ir</w:t>
      </w:r>
      <w:r w:rsidR="006702BC" w:rsidRPr="00703710">
        <w:rPr>
          <w:rFonts w:eastAsia="Calibri"/>
          <w:szCs w:val="24"/>
        </w:rPr>
        <w:t>,</w:t>
      </w:r>
      <w:r w:rsidRPr="00703710">
        <w:rPr>
          <w:rFonts w:eastAsia="Calibri"/>
          <w:szCs w:val="24"/>
        </w:rPr>
        <w:t xml:space="preserve"> </w:t>
      </w:r>
      <w:r w:rsidR="006702BC" w:rsidRPr="00703710">
        <w:rPr>
          <w:rFonts w:eastAsia="Calibri"/>
          <w:szCs w:val="24"/>
        </w:rPr>
        <w:t xml:space="preserve">atsižvelgusi į </w:t>
      </w:r>
      <w:r w:rsidR="006702BC" w:rsidRPr="00703710">
        <w:rPr>
          <w:rFonts w:eastAsiaTheme="majorEastAsia"/>
          <w:bCs/>
          <w:szCs w:val="24"/>
        </w:rPr>
        <w:t xml:space="preserve">Lietuvos Respublikos </w:t>
      </w:r>
      <w:r w:rsidR="00713E16" w:rsidRPr="00703710">
        <w:rPr>
          <w:rFonts w:eastAsiaTheme="majorEastAsia"/>
          <w:bCs/>
          <w:szCs w:val="24"/>
        </w:rPr>
        <w:t>teisingumo ministerijos</w:t>
      </w:r>
      <w:r w:rsidR="00D16B45" w:rsidRPr="00703710">
        <w:rPr>
          <w:szCs w:val="24"/>
        </w:rPr>
        <w:t xml:space="preserve"> (toliau − </w:t>
      </w:r>
      <w:r w:rsidR="00713E16" w:rsidRPr="00703710">
        <w:rPr>
          <w:szCs w:val="24"/>
        </w:rPr>
        <w:t>TM</w:t>
      </w:r>
      <w:r w:rsidR="00D16B45" w:rsidRPr="00703710">
        <w:rPr>
          <w:szCs w:val="24"/>
        </w:rPr>
        <w:t>)</w:t>
      </w:r>
      <w:r w:rsidR="006702BC" w:rsidRPr="00703710">
        <w:rPr>
          <w:rFonts w:eastAsia="Calibri"/>
          <w:szCs w:val="24"/>
        </w:rPr>
        <w:t xml:space="preserve"> </w:t>
      </w:r>
      <w:r w:rsidR="00B83D45" w:rsidRPr="00703710">
        <w:rPr>
          <w:rFonts w:eastAsia="Calibri"/>
          <w:szCs w:val="24"/>
        </w:rPr>
        <w:t xml:space="preserve">ir Lietuvos Respublikos Seimo kanceliarijos Teisės departamento </w:t>
      </w:r>
      <w:r w:rsidR="001A71CE" w:rsidRPr="00703710">
        <w:rPr>
          <w:szCs w:val="24"/>
        </w:rPr>
        <w:t>(toliau − TD)</w:t>
      </w:r>
      <w:r w:rsidR="001A71CE" w:rsidRPr="00703710">
        <w:rPr>
          <w:rFonts w:eastAsia="Calibri"/>
          <w:szCs w:val="24"/>
        </w:rPr>
        <w:t xml:space="preserve"> </w:t>
      </w:r>
      <w:r w:rsidR="006702BC" w:rsidRPr="00703710">
        <w:rPr>
          <w:szCs w:val="24"/>
        </w:rPr>
        <w:t>nuomon</w:t>
      </w:r>
      <w:r w:rsidR="00AA55AF" w:rsidRPr="00703710">
        <w:rPr>
          <w:szCs w:val="24"/>
        </w:rPr>
        <w:t>ę</w:t>
      </w:r>
      <w:r w:rsidR="006702BC" w:rsidRPr="00703710">
        <w:rPr>
          <w:szCs w:val="24"/>
        </w:rPr>
        <w:t xml:space="preserve"> dėl peticijoje pateikto siūlymo,</w:t>
      </w:r>
      <w:r w:rsidR="006702BC" w:rsidRPr="00703710">
        <w:rPr>
          <w:rFonts w:eastAsia="Calibri"/>
          <w:szCs w:val="24"/>
        </w:rPr>
        <w:t xml:space="preserve"> </w:t>
      </w:r>
      <w:r w:rsidRPr="00703710">
        <w:rPr>
          <w:rFonts w:eastAsia="Calibri"/>
          <w:szCs w:val="24"/>
        </w:rPr>
        <w:t xml:space="preserve">priėmė sprendimą </w:t>
      </w:r>
      <w:r w:rsidRPr="00703710">
        <w:rPr>
          <w:szCs w:val="24"/>
        </w:rPr>
        <w:t xml:space="preserve">teikti Seimui išvadą </w:t>
      </w:r>
      <w:r w:rsidRPr="00703710">
        <w:rPr>
          <w:rFonts w:eastAsia="Calibri"/>
          <w:szCs w:val="24"/>
        </w:rPr>
        <w:t xml:space="preserve">netenkinti šio siūlymo. </w:t>
      </w:r>
    </w:p>
    <w:p w14:paraId="03481FC7" w14:textId="498CCA8D" w:rsidR="006702BC" w:rsidRPr="00703710" w:rsidRDefault="006702BC" w:rsidP="006702BC">
      <w:pPr>
        <w:spacing w:line="360" w:lineRule="auto"/>
        <w:ind w:firstLine="720"/>
        <w:jc w:val="both"/>
        <w:rPr>
          <w:bCs/>
          <w:szCs w:val="24"/>
        </w:rPr>
      </w:pPr>
      <w:r w:rsidRPr="00703710">
        <w:rPr>
          <w:bCs/>
          <w:szCs w:val="24"/>
        </w:rPr>
        <w:t>Peticijoje pateiktas pareiškėj</w:t>
      </w:r>
      <w:r w:rsidR="00B83D45" w:rsidRPr="00703710">
        <w:rPr>
          <w:bCs/>
          <w:szCs w:val="24"/>
        </w:rPr>
        <w:t>ų</w:t>
      </w:r>
      <w:r w:rsidRPr="00703710">
        <w:rPr>
          <w:bCs/>
          <w:szCs w:val="24"/>
        </w:rPr>
        <w:t xml:space="preserve"> siūlymas </w:t>
      </w:r>
      <w:r w:rsidR="00B83D45" w:rsidRPr="00703710">
        <w:rPr>
          <w:rFonts w:eastAsia="Calibri"/>
          <w:szCs w:val="24"/>
        </w:rPr>
        <w:t>papildyti ANK 628 straipsnio 1 dalį ir nustatyti, kad „apylinkių teismai administracinių nusižengimų bylas nagrinėja teismo rūmuose pagal nusižengimo padarymo vietą, o kai administracinėn atsakomybėn traukiamas asmuo yra nepilnametis – pagal nepilnamečio gyvenamąją vietą“.</w:t>
      </w:r>
    </w:p>
    <w:p w14:paraId="1972757F" w14:textId="1F8A981C" w:rsidR="00A32403" w:rsidRPr="00703710" w:rsidRDefault="002951C8" w:rsidP="002951C8">
      <w:pPr>
        <w:spacing w:line="360" w:lineRule="auto"/>
        <w:ind w:firstLine="720"/>
        <w:jc w:val="both"/>
        <w:rPr>
          <w:szCs w:val="24"/>
        </w:rPr>
      </w:pPr>
      <w:r w:rsidRPr="00703710">
        <w:rPr>
          <w:bCs/>
          <w:szCs w:val="24"/>
        </w:rPr>
        <w:t>Atkreiptinas dėmesys</w:t>
      </w:r>
      <w:r w:rsidR="00B83D45" w:rsidRPr="00703710">
        <w:rPr>
          <w:bCs/>
          <w:szCs w:val="24"/>
        </w:rPr>
        <w:t>, kad ANK 628 straipsnio 1 dalyje įtvirtinta bendroji teritorinio teismingumo taisyklė – administracinių nusižengimų bylos nagrinėjamos pagal nusižengimo padarymo vietą, o kai administracinėn atsakomybėn traukiamas asmuo yra nepilnametis – pagal nepilnamečio gyvenamąją vietą</w:t>
      </w:r>
      <w:r w:rsidRPr="00703710">
        <w:rPr>
          <w:bCs/>
          <w:szCs w:val="24"/>
        </w:rPr>
        <w:t>, o</w:t>
      </w:r>
      <w:r w:rsidR="00A32403" w:rsidRPr="00703710">
        <w:rPr>
          <w:bCs/>
          <w:szCs w:val="24"/>
        </w:rPr>
        <w:t xml:space="preserve"> </w:t>
      </w:r>
      <w:r w:rsidR="00873B0A" w:rsidRPr="00703710">
        <w:rPr>
          <w:bCs/>
          <w:szCs w:val="24"/>
        </w:rPr>
        <w:t xml:space="preserve"> t</w:t>
      </w:r>
      <w:r w:rsidR="00B83D45" w:rsidRPr="00703710">
        <w:rPr>
          <w:bCs/>
          <w:szCs w:val="24"/>
        </w:rPr>
        <w:t>eismų veiklos organizavimo ir bylų paskirstymo tarp konkrečių teismo rūmų klausimai yra detaliai reglamentuoti Lietuvos Respublikos teismų įstatyme</w:t>
      </w:r>
      <w:r w:rsidR="00CC4B5B" w:rsidRPr="00703710">
        <w:rPr>
          <w:bCs/>
          <w:szCs w:val="24"/>
        </w:rPr>
        <w:t xml:space="preserve"> (toliau – Teismų įstatym</w:t>
      </w:r>
      <w:r w:rsidR="00CC461E">
        <w:rPr>
          <w:bCs/>
          <w:szCs w:val="24"/>
        </w:rPr>
        <w:t>as</w:t>
      </w:r>
      <w:bookmarkStart w:id="0" w:name="_GoBack"/>
      <w:bookmarkEnd w:id="0"/>
      <w:r w:rsidR="00CC4B5B" w:rsidRPr="00703710">
        <w:rPr>
          <w:bCs/>
          <w:szCs w:val="24"/>
        </w:rPr>
        <w:t>)</w:t>
      </w:r>
      <w:r w:rsidR="00B83D45" w:rsidRPr="00703710">
        <w:rPr>
          <w:bCs/>
          <w:szCs w:val="24"/>
        </w:rPr>
        <w:t xml:space="preserve">. </w:t>
      </w:r>
      <w:r w:rsidRPr="00703710">
        <w:rPr>
          <w:bCs/>
          <w:szCs w:val="24"/>
        </w:rPr>
        <w:t>P</w:t>
      </w:r>
      <w:r w:rsidR="00A32403" w:rsidRPr="00703710">
        <w:rPr>
          <w:bCs/>
          <w:szCs w:val="24"/>
        </w:rPr>
        <w:t xml:space="preserve">agal </w:t>
      </w:r>
      <w:r w:rsidR="00B83D45" w:rsidRPr="00703710">
        <w:rPr>
          <w:bCs/>
          <w:szCs w:val="24"/>
        </w:rPr>
        <w:t xml:space="preserve">Teismų įstatymo </w:t>
      </w:r>
      <w:r w:rsidR="00A32403" w:rsidRPr="00703710">
        <w:rPr>
          <w:bCs/>
          <w:szCs w:val="24"/>
          <w:lang w:val="en-US"/>
        </w:rPr>
        <w:t xml:space="preserve">14 </w:t>
      </w:r>
      <w:proofErr w:type="spellStart"/>
      <w:r w:rsidR="00A32403" w:rsidRPr="00703710">
        <w:rPr>
          <w:bCs/>
          <w:szCs w:val="24"/>
          <w:lang w:val="en-US"/>
        </w:rPr>
        <w:t>straipsnio</w:t>
      </w:r>
      <w:proofErr w:type="spellEnd"/>
      <w:r w:rsidR="00A32403" w:rsidRPr="00703710">
        <w:rPr>
          <w:bCs/>
          <w:szCs w:val="24"/>
          <w:lang w:val="en-US"/>
        </w:rPr>
        <w:t xml:space="preserve"> 2 dal</w:t>
      </w:r>
      <w:r w:rsidR="00A32403" w:rsidRPr="00703710">
        <w:rPr>
          <w:bCs/>
          <w:szCs w:val="24"/>
        </w:rPr>
        <w:t xml:space="preserve">į </w:t>
      </w:r>
      <w:r w:rsidR="00A32403" w:rsidRPr="00703710">
        <w:rPr>
          <w:szCs w:val="24"/>
        </w:rPr>
        <w:t>apylinkės teismas gali būti sudarytas iš teritorinių padalinių – apylinkės teismo rūmų. Apylinkės teismo rūmų skaičių, veiklos teritorijas ir apylinkės teismo rūmus, kuriuose yra teismo buveinė, nustato įstatymas.</w:t>
      </w:r>
      <w:r w:rsidR="00A32403" w:rsidRPr="00703710">
        <w:rPr>
          <w:bCs/>
          <w:szCs w:val="24"/>
        </w:rPr>
        <w:t xml:space="preserve"> Teismų įstatymo</w:t>
      </w:r>
      <w:r w:rsidR="00A32403" w:rsidRPr="00703710">
        <w:rPr>
          <w:szCs w:val="24"/>
        </w:rPr>
        <w:t xml:space="preserve"> </w:t>
      </w:r>
      <w:r w:rsidR="00B83D45" w:rsidRPr="00703710">
        <w:rPr>
          <w:bCs/>
          <w:szCs w:val="24"/>
        </w:rPr>
        <w:t>36 straipsnio 11 dalyje, nustatyta, jog kai teismas sudarytas iš teismo rūmų, bylų</w:t>
      </w:r>
      <w:r w:rsidR="00B83D45" w:rsidRPr="00703710">
        <w:rPr>
          <w:b/>
          <w:bCs/>
          <w:szCs w:val="24"/>
        </w:rPr>
        <w:t> </w:t>
      </w:r>
      <w:r w:rsidR="00B83D45" w:rsidRPr="00703710">
        <w:rPr>
          <w:bCs/>
          <w:szCs w:val="24"/>
        </w:rPr>
        <w:t>paskirstymo teisėjams ir teisėjų kolegijų sudarymo taisyklės taip pat turi užtikrinti, kad bylos būtų skiriamos tų</w:t>
      </w:r>
      <w:r w:rsidR="00B83D45" w:rsidRPr="00703710">
        <w:rPr>
          <w:b/>
          <w:bCs/>
          <w:szCs w:val="24"/>
        </w:rPr>
        <w:t> </w:t>
      </w:r>
      <w:r w:rsidR="00B83D45" w:rsidRPr="00703710">
        <w:rPr>
          <w:bCs/>
          <w:szCs w:val="24"/>
        </w:rPr>
        <w:t>teismo rūmų,</w:t>
      </w:r>
      <w:r w:rsidR="00B83D45" w:rsidRPr="00703710">
        <w:rPr>
          <w:b/>
          <w:bCs/>
          <w:szCs w:val="24"/>
        </w:rPr>
        <w:t> </w:t>
      </w:r>
      <w:r w:rsidR="00B83D45" w:rsidRPr="00703710">
        <w:rPr>
          <w:bCs/>
          <w:szCs w:val="24"/>
        </w:rPr>
        <w:t>kurie nustatomi </w:t>
      </w:r>
      <w:proofErr w:type="spellStart"/>
      <w:r w:rsidR="00B83D45" w:rsidRPr="00703710">
        <w:rPr>
          <w:bCs/>
          <w:i/>
          <w:iCs/>
          <w:szCs w:val="24"/>
        </w:rPr>
        <w:t>mutatis</w:t>
      </w:r>
      <w:proofErr w:type="spellEnd"/>
      <w:r w:rsidR="00B83D45" w:rsidRPr="00703710">
        <w:rPr>
          <w:bCs/>
          <w:i/>
          <w:iCs/>
          <w:szCs w:val="24"/>
        </w:rPr>
        <w:t xml:space="preserve"> </w:t>
      </w:r>
      <w:proofErr w:type="spellStart"/>
      <w:r w:rsidR="00B83D45" w:rsidRPr="00703710">
        <w:rPr>
          <w:bCs/>
          <w:i/>
          <w:iCs/>
          <w:szCs w:val="24"/>
        </w:rPr>
        <w:t>mutandis</w:t>
      </w:r>
      <w:proofErr w:type="spellEnd"/>
      <w:r w:rsidR="00B83D45" w:rsidRPr="00703710">
        <w:rPr>
          <w:bCs/>
          <w:szCs w:val="24"/>
        </w:rPr>
        <w:t> taikant įstatymuose numatytas teritorinio teismingumo taisykles, teisėjams, išskyrus atvejus, kai byla nagrinėjama rašytinio proceso tvarka arba kai bylą operatyviau ir ekonomiškiau išnagrinės kitų teismo rūmų teisėjai.</w:t>
      </w:r>
      <w:r w:rsidR="00A32403" w:rsidRPr="00703710">
        <w:rPr>
          <w:bCs/>
          <w:szCs w:val="24"/>
        </w:rPr>
        <w:t xml:space="preserve"> Pagal Teismų įstatymo </w:t>
      </w:r>
      <w:r w:rsidR="00A32403" w:rsidRPr="00703710">
        <w:rPr>
          <w:bCs/>
          <w:szCs w:val="24"/>
          <w:lang w:val="en-US"/>
        </w:rPr>
        <w:t xml:space="preserve">36 </w:t>
      </w:r>
      <w:proofErr w:type="spellStart"/>
      <w:r w:rsidR="00A32403" w:rsidRPr="00703710">
        <w:rPr>
          <w:bCs/>
          <w:szCs w:val="24"/>
          <w:lang w:val="en-US"/>
        </w:rPr>
        <w:t>straipsnio</w:t>
      </w:r>
      <w:proofErr w:type="spellEnd"/>
      <w:r w:rsidR="00A32403" w:rsidRPr="00703710">
        <w:rPr>
          <w:bCs/>
          <w:szCs w:val="24"/>
          <w:lang w:val="en-US"/>
        </w:rPr>
        <w:t xml:space="preserve"> 10 dal</w:t>
      </w:r>
      <w:r w:rsidR="00A32403" w:rsidRPr="00703710">
        <w:rPr>
          <w:bCs/>
          <w:szCs w:val="24"/>
        </w:rPr>
        <w:t xml:space="preserve">į, </w:t>
      </w:r>
      <w:r w:rsidR="00A32403" w:rsidRPr="00703710">
        <w:rPr>
          <w:szCs w:val="24"/>
        </w:rPr>
        <w:t xml:space="preserve">bylos teisėjams paskirstomos ir teisėjų kolegijos sudaromos naudojantis </w:t>
      </w:r>
      <w:r w:rsidR="00A32403" w:rsidRPr="00703710">
        <w:rPr>
          <w:szCs w:val="24"/>
        </w:rPr>
        <w:lastRenderedPageBreak/>
        <w:t>kompiuterine programa, sukurta vadovaujantis Teisėjų tarybos patvirtintomis Bylų paskirstymo teisėjams ir teisėjų kolegijų sudarymo taisyklėmis.</w:t>
      </w:r>
    </w:p>
    <w:p w14:paraId="5F6ECD18" w14:textId="2F803787" w:rsidR="00873B0A" w:rsidRPr="00703710" w:rsidRDefault="002951C8" w:rsidP="002951C8">
      <w:pPr>
        <w:spacing w:line="360" w:lineRule="auto"/>
        <w:ind w:firstLine="720"/>
        <w:jc w:val="both"/>
        <w:rPr>
          <w:bCs/>
          <w:szCs w:val="24"/>
        </w:rPr>
      </w:pPr>
      <w:r w:rsidRPr="00703710">
        <w:rPr>
          <w:rFonts w:eastAsia="Calibri"/>
          <w:szCs w:val="24"/>
        </w:rPr>
        <w:t>Pažymėtina</w:t>
      </w:r>
      <w:r w:rsidR="001A71CE" w:rsidRPr="00703710">
        <w:rPr>
          <w:rFonts w:eastAsia="Calibri"/>
          <w:szCs w:val="24"/>
        </w:rPr>
        <w:t>, kad p</w:t>
      </w:r>
      <w:r w:rsidR="00873B0A" w:rsidRPr="00703710">
        <w:rPr>
          <w:rFonts w:eastAsia="Calibri"/>
          <w:szCs w:val="24"/>
        </w:rPr>
        <w:t xml:space="preserve">agal Teisėjų tarybos 2025 m. rugpjūčio 29 d. nutarimu patvirtinto Bylų paskirstymo teisėjams ir teisėjų kolegijų sudarymo taisyklių aprašo (toliau - Aprašas) nuostatas, pirminius duomenis į Lietuvos teismų informacinę sistemą (LITEKO) įvedantis asmuo ir (ar) bylas skirstantis asmuo, pagal atitinkamo teismo, o kai teismas sudarytas iš teismo rūmų, – teismo rūmų, kompetenciją ir specifiką, atsižvelgdamas į LITEKO esančius duomenis dėl galimo viešųjų ir privačių interesų konflikto, prieš Bylų skirstymo modulio pagalba skirdamas bylą, nurodydamas teisinį pagrindą, į LITEKO įveda, peržiūri ir pakeičia Aprašo 11.1–11.11 nurodytus duomenis, iš jų – ir duomenis apie teisėjams nustatytą specializaciją, taip pat duomenis apie teisme, o kai teismas sudarytas iš teismo rūmų – teismo rūmuose taikomų per atitinkamą laikotarpį galimą paskirti maksimalų bylų kiekį, išreiškiamą per bylų sudėtingumo balų sumą, tenkančią vienam teisėjui, preliminarų bylos priskyrimą teismo rūmams. Teisėjo (pranešėjo) parinkimą bylai pagal atitinkamo teismo, o kai teismas sudarytas iš teismo rūmų, – teismo rūmų, kompetenciją ir specifiką automatiniu būdu, atlieka Bylų skirstymo modulis, visuomet įvertindamas ir atsižvelgdamas į minėtas Aprašo 11 punkte išdėstytas aplinkybes. </w:t>
      </w:r>
      <w:r w:rsidR="00873B0A" w:rsidRPr="00703710">
        <w:rPr>
          <w:szCs w:val="24"/>
        </w:rPr>
        <w:t xml:space="preserve">Kai teismas sudarytas iš teismo rūmų, bylas skirstantis asmuo, teismo pirmininko, jo pavaduotojo ar kito įgalioto teisėjo sprendimu, gali parinkti iš sąrašo teismo rūmus, kurių teisėjams gali būti skiriama byla nagrinėti, ir </w:t>
      </w:r>
      <w:r w:rsidR="00873B0A" w:rsidRPr="00703710">
        <w:rPr>
          <w:rFonts w:eastAsia="Calibri"/>
          <w:szCs w:val="24"/>
        </w:rPr>
        <w:t>Bylų skirstymo modul</w:t>
      </w:r>
      <w:r w:rsidR="00873B0A" w:rsidRPr="00703710">
        <w:rPr>
          <w:szCs w:val="24"/>
        </w:rPr>
        <w:t xml:space="preserve">is atlieka teisėjo (teisėjo pranešėjo) parinkimą Aprašo 16 ir 17 punktuose numatyta tvarka. Sprendimas dėl bylos skyrimo kitų teismo rūmų teisėjams priimamas, be kita ko, atsižvelgiant į </w:t>
      </w:r>
      <w:r w:rsidR="00873B0A" w:rsidRPr="00703710">
        <w:rPr>
          <w:rFonts w:eastAsia="Calibri"/>
          <w:szCs w:val="24"/>
        </w:rPr>
        <w:t>Bylų skirstymo modulio</w:t>
      </w:r>
      <w:r w:rsidR="00873B0A" w:rsidRPr="00703710">
        <w:rPr>
          <w:szCs w:val="24"/>
        </w:rPr>
        <w:t xml:space="preserve"> suformuotą statistinę skirstymo ataskaitą, kurią galima suformuoti teismuose, sudarytuose iš teismo rūmų, siekiant palyginti atskiruose teismo rūmuose gautų bylų kiekį ir pobūdį (Aprašo 11, 19, 20 punktai).</w:t>
      </w:r>
    </w:p>
    <w:p w14:paraId="310FCBFA" w14:textId="052D2F76" w:rsidR="00B83D45" w:rsidRPr="00703710" w:rsidRDefault="00B83D45" w:rsidP="002951C8">
      <w:pPr>
        <w:spacing w:line="360" w:lineRule="auto"/>
        <w:ind w:firstLine="720"/>
        <w:jc w:val="both"/>
        <w:rPr>
          <w:szCs w:val="24"/>
        </w:rPr>
      </w:pPr>
      <w:r w:rsidRPr="00703710">
        <w:rPr>
          <w:bCs/>
          <w:szCs w:val="24"/>
        </w:rPr>
        <w:t>Taip pat pažymėtina ir tai, kad teismų reforma, kurios metu buvo optimizuota teismų sistema ir apylinkių teismai reorganizuoti į didesnius vienetus su keliais teismo rūmais, buvo grindžiama išsamia analize ir siekiu užtikrinti efektyvesnį teismų darbą, geresnį išteklių panaudojimą bei vienodesnę teisėjų darbo krūvio paskirstymo sistemą. Rengiant teismų reformos įstatymų paketą</w:t>
      </w:r>
      <w:r w:rsidRPr="00703710">
        <w:rPr>
          <w:rStyle w:val="Puslapioinaosnuoroda"/>
          <w:bCs/>
          <w:szCs w:val="24"/>
        </w:rPr>
        <w:footnoteReference w:id="1"/>
      </w:r>
      <w:r w:rsidRPr="00703710">
        <w:rPr>
          <w:bCs/>
          <w:szCs w:val="24"/>
        </w:rPr>
        <w:t xml:space="preserve"> ir analizuojant galimybes optimizuoti apylinkių teismus, vadovautasi šiais pagrindiniais kriterijais: teismo geografinis išsidėstymas ir gyventojų skaičius; bylų srautai ir darbo krūvis; teismo sudėtis ir žmogiškieji ištekliai; teismo infrastruktūra ir jos išlaikymas; papildomai atsižvelgta ir į: galimybę organizuoti nuotolinius ir išvažiuojamuosius teismo posėdžius, panaikinus teismo rūmus ir (ar) </w:t>
      </w:r>
      <w:r w:rsidRPr="00703710">
        <w:rPr>
          <w:bCs/>
          <w:szCs w:val="24"/>
        </w:rPr>
        <w:lastRenderedPageBreak/>
        <w:t xml:space="preserve">perkėlus jų veiklą į kitus teismo rūmus; rašytinio proceso tvarka išnagrinėjamų bylų kiekius; apylinkių teismų veiklos teritorijose esančias prokuratūras, antstolių veiklos teritorijas ir </w:t>
      </w:r>
      <w:proofErr w:type="spellStart"/>
      <w:r w:rsidRPr="00703710">
        <w:rPr>
          <w:bCs/>
          <w:szCs w:val="24"/>
        </w:rPr>
        <w:t>atstumus</w:t>
      </w:r>
      <w:proofErr w:type="spellEnd"/>
      <w:r w:rsidRPr="00703710">
        <w:rPr>
          <w:bCs/>
          <w:szCs w:val="24"/>
        </w:rPr>
        <w:t xml:space="preserve"> nuo jų iki artimiausių teismo rūmų, taip pat centrinių rūmų. Vadovaujantis nurodytais kriterijais, analizuotos kiekvieno apylinkės teismo galimybės optimizuoti veiklą ir tikslingumas sujungti ir (ar) panaikinti atitinkamo teismo rūmus, kurių veikla nėra efektyvi. </w:t>
      </w:r>
      <w:r w:rsidRPr="00703710">
        <w:rPr>
          <w:szCs w:val="24"/>
        </w:rPr>
        <w:t>Valstybės duomenų agentūra, remiantis aukščiau išdėstytais kriterijais, atliko duomenų dėl teismų geografinio išsidėstymo, bylų pasiskirstymo tarp teismų (ir jų rūmų), teisėjų darbo krūvių ir jų pokyčių pagal prognozuojamas apylinkių teismų ar teismo rūmų veiklos (teismingumo) teritorijas analizę. Nustatyta, kad optimizavus teismų tinklą pagal aukščiau išvardintus kriterijus, nebus pažeidžiama asmens teisė į teisingumą teismo artumo piliečiams prasme, bus sudarytos galimybės darbo krūvio subalansavimui tarp apylinkių teismų</w:t>
      </w:r>
      <w:r w:rsidRPr="00703710">
        <w:rPr>
          <w:rStyle w:val="Puslapioinaosnuoroda"/>
          <w:szCs w:val="24"/>
        </w:rPr>
        <w:footnoteReference w:id="2"/>
      </w:r>
      <w:r w:rsidRPr="00703710">
        <w:rPr>
          <w:szCs w:val="24"/>
        </w:rPr>
        <w:t xml:space="preserve">. Taigi, rengiant teismų reformos įstatymų paketą buvo renkami įvairūs duomenys, kurie įvertinti sistemiškai atliekant minėtą analizę. </w:t>
      </w:r>
    </w:p>
    <w:p w14:paraId="318265E9" w14:textId="79719CA6" w:rsidR="002951C8" w:rsidRPr="00703710" w:rsidRDefault="002951C8" w:rsidP="002951C8">
      <w:pPr>
        <w:spacing w:line="360" w:lineRule="auto"/>
        <w:ind w:firstLine="720"/>
        <w:jc w:val="both"/>
        <w:rPr>
          <w:bCs/>
          <w:szCs w:val="24"/>
        </w:rPr>
      </w:pPr>
      <w:r w:rsidRPr="00703710">
        <w:rPr>
          <w:bCs/>
          <w:szCs w:val="24"/>
        </w:rPr>
        <w:t xml:space="preserve">Pažymėtina, kad </w:t>
      </w:r>
      <w:r w:rsidRPr="00703710">
        <w:rPr>
          <w:szCs w:val="24"/>
        </w:rPr>
        <w:t xml:space="preserve">pagal </w:t>
      </w:r>
      <w:r w:rsidRPr="00703710">
        <w:rPr>
          <w:rFonts w:eastAsia="Calibri"/>
          <w:szCs w:val="24"/>
        </w:rPr>
        <w:t xml:space="preserve">ANK 630 straipsnio 2 dalį, bylos nagrinėjimas žodinio proceso tvarka ir administracinio nusižengimo teisenoje dalyvaujančių asmenų &lt;...&gt; dalyvavimas teismo posėdyje gali būti užtikrinamas naudojant informacines ir elektronines ryšių technologijas, taigi, kitaip, nei pareiškėjai teigia savo peticijoje, ANK 628 straipsnio 1 dalyje nustatytas teisinis reguliavimas savaime nesuponuoja administracinio proceso dalyvių papildomų išlaidų turėjimo dėl administracinio nusižengimo bylos nagrinėjimo vienuose ar kituose apylinkės teismo rūmuose, o priešingai, </w:t>
      </w:r>
      <w:r w:rsidRPr="00703710">
        <w:rPr>
          <w:bCs/>
          <w:szCs w:val="24"/>
        </w:rPr>
        <w:t xml:space="preserve">naudojant šiuolaikinės procesinės priemonės, įskaitant nuotolinį dalyvavimą teismo posėdžiuose, sudaro prielaidas mažinti proceso dalyvių patiriamus nepatogumus ir išlaidas. </w:t>
      </w:r>
    </w:p>
    <w:p w14:paraId="0E0DE2CB" w14:textId="75C137D9" w:rsidR="0042652D" w:rsidRPr="00703710" w:rsidRDefault="00B83D45" w:rsidP="002951C8">
      <w:pPr>
        <w:spacing w:line="360" w:lineRule="auto"/>
        <w:ind w:firstLine="720"/>
        <w:jc w:val="both"/>
        <w:rPr>
          <w:bCs/>
          <w:szCs w:val="24"/>
        </w:rPr>
      </w:pPr>
      <w:r w:rsidRPr="00703710">
        <w:rPr>
          <w:bCs/>
          <w:szCs w:val="24"/>
        </w:rPr>
        <w:t xml:space="preserve">Atsižvelgiant į tai, kas išdėstyta, </w:t>
      </w:r>
      <w:r w:rsidR="009F371C" w:rsidRPr="00703710">
        <w:rPr>
          <w:bCs/>
          <w:szCs w:val="24"/>
        </w:rPr>
        <w:t>Komisij</w:t>
      </w:r>
      <w:r w:rsidR="002951C8" w:rsidRPr="00703710">
        <w:rPr>
          <w:bCs/>
          <w:szCs w:val="24"/>
        </w:rPr>
        <w:t>a mano</w:t>
      </w:r>
      <w:r w:rsidRPr="00703710">
        <w:rPr>
          <w:bCs/>
          <w:szCs w:val="24"/>
        </w:rPr>
        <w:t>,</w:t>
      </w:r>
      <w:r w:rsidR="002951C8" w:rsidRPr="00703710">
        <w:rPr>
          <w:bCs/>
          <w:szCs w:val="24"/>
        </w:rPr>
        <w:t xml:space="preserve"> kad g</w:t>
      </w:r>
      <w:r w:rsidR="002951C8" w:rsidRPr="00703710">
        <w:rPr>
          <w:rFonts w:eastAsia="Calibri"/>
          <w:szCs w:val="24"/>
        </w:rPr>
        <w:t>aliojantis teisinis reglamentavimas, susijęs su bylų priskyrimu atitinkamų apylinkės teismų teismo rūmams, užtikrina didesnį bylų skirstymo proceso skaidrumą, teisėjų nešališkumą ir teismų nepriklausomumą, taip pat teisėjų specializacijas, darbo krūvio paskirstymą, bylos dalyvių teisės į operatyvų jų bylos išnagrinėjimą per kuo trumpiausią laiką – teismo proceso operatyvumo ir ekonomiškumo principų įgyvendinimą</w:t>
      </w:r>
      <w:r w:rsidR="005157B5" w:rsidRPr="00703710">
        <w:rPr>
          <w:rFonts w:eastAsia="Calibri"/>
          <w:szCs w:val="24"/>
        </w:rPr>
        <w:t>,</w:t>
      </w:r>
      <w:r w:rsidR="002951C8" w:rsidRPr="00703710">
        <w:rPr>
          <w:bCs/>
          <w:szCs w:val="24"/>
        </w:rPr>
        <w:t xml:space="preserve"> </w:t>
      </w:r>
      <w:r w:rsidR="005157B5" w:rsidRPr="00703710">
        <w:rPr>
          <w:bCs/>
          <w:szCs w:val="24"/>
        </w:rPr>
        <w:t xml:space="preserve">o </w:t>
      </w:r>
      <w:r w:rsidR="009F371C" w:rsidRPr="00703710">
        <w:rPr>
          <w:bCs/>
          <w:szCs w:val="24"/>
        </w:rPr>
        <w:t xml:space="preserve">pareiškėjų siūlomas ANK 628 straipsnio 1 dalies papildymas žodžiais „teismo rūmuose“ nesukurtų papildomos garantijos proceso dalyviams ir neatitiktų teisėkūros </w:t>
      </w:r>
      <w:r w:rsidR="002951C8" w:rsidRPr="00703710">
        <w:rPr>
          <w:bCs/>
          <w:szCs w:val="24"/>
        </w:rPr>
        <w:t xml:space="preserve">tikslingumo, </w:t>
      </w:r>
      <w:r w:rsidR="009F371C" w:rsidRPr="00703710">
        <w:rPr>
          <w:bCs/>
          <w:szCs w:val="24"/>
        </w:rPr>
        <w:t>sistemiškumo bei aiškumo principų (Lietuvos Respublikos teisėkūros pagrindų įstatymo 3 straipsnio 2 dalies</w:t>
      </w:r>
      <w:r w:rsidR="002951C8" w:rsidRPr="00703710">
        <w:rPr>
          <w:bCs/>
          <w:szCs w:val="24"/>
        </w:rPr>
        <w:t xml:space="preserve"> </w:t>
      </w:r>
      <w:r w:rsidR="002951C8" w:rsidRPr="00703710">
        <w:rPr>
          <w:bCs/>
          <w:szCs w:val="24"/>
          <w:lang w:val="en-US"/>
        </w:rPr>
        <w:t>1,</w:t>
      </w:r>
      <w:r w:rsidR="009F371C" w:rsidRPr="00703710">
        <w:rPr>
          <w:bCs/>
          <w:szCs w:val="24"/>
        </w:rPr>
        <w:t xml:space="preserve"> 6 ir 7 punktai).</w:t>
      </w:r>
    </w:p>
    <w:p w14:paraId="01AA53E0" w14:textId="193E007D" w:rsidR="005427A1" w:rsidRPr="00703710" w:rsidRDefault="00F60FE9" w:rsidP="00B92C9B">
      <w:pPr>
        <w:pStyle w:val="Default"/>
        <w:spacing w:line="360" w:lineRule="auto"/>
        <w:ind w:firstLine="720"/>
        <w:jc w:val="both"/>
        <w:rPr>
          <w:color w:val="000000" w:themeColor="text1"/>
        </w:rPr>
      </w:pPr>
      <w:r w:rsidRPr="00703710">
        <w:rPr>
          <w:rFonts w:eastAsia="Calibri"/>
          <w:lang w:eastAsia="ar-SA"/>
        </w:rPr>
        <w:t xml:space="preserve">Vadovaujantis Lietuvos Respublikos peticijų konstitucinio įstatymo 18 straipsnio 4 dalies </w:t>
      </w:r>
      <w:r w:rsidR="00783F7E" w:rsidRPr="00703710">
        <w:rPr>
          <w:rFonts w:eastAsia="Calibri"/>
          <w:lang w:eastAsia="ar-SA"/>
        </w:rPr>
        <w:t>2 </w:t>
      </w:r>
      <w:r w:rsidRPr="00703710">
        <w:rPr>
          <w:rFonts w:eastAsia="Calibri"/>
          <w:lang w:eastAsia="ar-SA"/>
        </w:rPr>
        <w:t xml:space="preserve">punktu ir Lietuvos Respublikos Seimo Peticijų komisijos nuostatų, patvirtintų Seimo 2023 m. birželio 27 d. nutarimu Nr. XIV-2101 „Dėl Lietuvos Respublikos Seimo Peticijų komisijos nuostatų patvirtinimo“, 8.7 punktu, </w:t>
      </w:r>
      <w:r w:rsidR="000D4965" w:rsidRPr="00703710">
        <w:rPr>
          <w:rFonts w:eastAsia="Calibri"/>
          <w:lang w:eastAsia="ar-SA"/>
        </w:rPr>
        <w:t>K</w:t>
      </w:r>
      <w:r w:rsidRPr="00703710">
        <w:rPr>
          <w:rFonts w:eastAsia="Calibri"/>
          <w:lang w:eastAsia="ar-SA"/>
        </w:rPr>
        <w:t>omisijos išvada dėl pareiškėjo peticijoje pateikto siūlymo netenkinimo teikiama Seimui, taip p</w:t>
      </w:r>
      <w:r w:rsidR="0070031F" w:rsidRPr="00703710">
        <w:rPr>
          <w:rFonts w:eastAsia="Calibri"/>
          <w:lang w:eastAsia="ar-SA"/>
        </w:rPr>
        <w:t xml:space="preserve">at siūloma įtraukti į Seimo </w:t>
      </w:r>
      <w:r w:rsidR="005D0813" w:rsidRPr="00703710">
        <w:rPr>
          <w:rFonts w:eastAsia="Calibri"/>
          <w:lang w:eastAsia="ar-SA"/>
        </w:rPr>
        <w:t>I</w:t>
      </w:r>
      <w:r w:rsidR="00FB7E49" w:rsidRPr="00703710">
        <w:rPr>
          <w:rFonts w:eastAsia="Calibri"/>
          <w:lang w:eastAsia="ar-SA"/>
        </w:rPr>
        <w:t>V</w:t>
      </w:r>
      <w:r w:rsidR="002F4574" w:rsidRPr="00703710">
        <w:rPr>
          <w:rFonts w:eastAsia="Calibri"/>
          <w:lang w:eastAsia="ar-SA"/>
        </w:rPr>
        <w:t xml:space="preserve"> (</w:t>
      </w:r>
      <w:r w:rsidR="00FB7E49" w:rsidRPr="00703710">
        <w:rPr>
          <w:rFonts w:eastAsia="Calibri"/>
          <w:lang w:eastAsia="ar-SA"/>
        </w:rPr>
        <w:t>pavasario</w:t>
      </w:r>
      <w:r w:rsidRPr="00703710">
        <w:rPr>
          <w:rFonts w:eastAsia="Calibri"/>
          <w:lang w:eastAsia="ar-SA"/>
        </w:rPr>
        <w:t xml:space="preserve">) sesijos darbotvarkę Seimo nutarimo </w:t>
      </w:r>
      <w:r w:rsidRPr="00703710">
        <w:rPr>
          <w:rFonts w:eastAsia="Calibri"/>
          <w:lang w:eastAsia="ar-SA"/>
        </w:rPr>
        <w:lastRenderedPageBreak/>
        <w:t>„Dėl Lietuvos Respublikos Seimo Peticijų komisijos 202</w:t>
      </w:r>
      <w:r w:rsidR="00A7076A" w:rsidRPr="00703710">
        <w:rPr>
          <w:rFonts w:eastAsia="Calibri"/>
          <w:lang w:val="en-US" w:eastAsia="ar-SA"/>
        </w:rPr>
        <w:t>6</w:t>
      </w:r>
      <w:r w:rsidR="003A61FB" w:rsidRPr="00703710">
        <w:rPr>
          <w:rFonts w:eastAsia="Calibri"/>
          <w:lang w:eastAsia="ar-SA"/>
        </w:rPr>
        <w:t xml:space="preserve"> m. </w:t>
      </w:r>
      <w:proofErr w:type="spellStart"/>
      <w:proofErr w:type="gramStart"/>
      <w:r w:rsidR="00713E16" w:rsidRPr="00703710">
        <w:rPr>
          <w:rFonts w:eastAsia="Calibri"/>
          <w:lang w:val="en-US" w:eastAsia="ar-SA"/>
        </w:rPr>
        <w:t>gegužės</w:t>
      </w:r>
      <w:proofErr w:type="spellEnd"/>
      <w:proofErr w:type="gramEnd"/>
      <w:r w:rsidR="00713E16" w:rsidRPr="00703710">
        <w:rPr>
          <w:rFonts w:eastAsia="Calibri"/>
          <w:lang w:val="en-US" w:eastAsia="ar-SA"/>
        </w:rPr>
        <w:t xml:space="preserve"> </w:t>
      </w:r>
      <w:r w:rsidR="00B83D45" w:rsidRPr="00703710">
        <w:rPr>
          <w:rFonts w:eastAsia="Calibri"/>
          <w:lang w:val="en-US" w:eastAsia="ar-SA"/>
        </w:rPr>
        <w:t>20</w:t>
      </w:r>
      <w:r w:rsidR="00DF6855" w:rsidRPr="00703710">
        <w:rPr>
          <w:rFonts w:eastAsia="Calibri"/>
          <w:lang w:val="en-US" w:eastAsia="ar-SA"/>
        </w:rPr>
        <w:t xml:space="preserve"> </w:t>
      </w:r>
      <w:r w:rsidR="002F4574" w:rsidRPr="00703710">
        <w:rPr>
          <w:rFonts w:eastAsia="Calibri"/>
          <w:lang w:eastAsia="ar-SA"/>
        </w:rPr>
        <w:t>d. išvad</w:t>
      </w:r>
      <w:r w:rsidR="00A5687E" w:rsidRPr="00703710">
        <w:rPr>
          <w:rFonts w:eastAsia="Calibri"/>
          <w:lang w:eastAsia="ar-SA"/>
        </w:rPr>
        <w:t>os Nr. 250-I</w:t>
      </w:r>
      <w:r w:rsidR="003A61FB" w:rsidRPr="00703710">
        <w:rPr>
          <w:rFonts w:eastAsia="Calibri"/>
          <w:lang w:eastAsia="ar-SA"/>
        </w:rPr>
        <w:t>-</w:t>
      </w:r>
      <w:r w:rsidR="00B92C9B" w:rsidRPr="00703710">
        <w:rPr>
          <w:rFonts w:eastAsia="Calibri"/>
          <w:lang w:eastAsia="ar-SA"/>
        </w:rPr>
        <w:t>1</w:t>
      </w:r>
      <w:r w:rsidR="00C122C7" w:rsidRPr="00703710">
        <w:rPr>
          <w:rFonts w:eastAsia="Calibri"/>
          <w:lang w:val="en-US" w:eastAsia="ar-SA"/>
        </w:rPr>
        <w:t>7</w:t>
      </w:r>
      <w:r w:rsidRPr="00703710">
        <w:rPr>
          <w:rFonts w:eastAsia="Calibri"/>
          <w:lang w:eastAsia="ar-SA"/>
        </w:rPr>
        <w:t>“ projektą.</w:t>
      </w:r>
    </w:p>
    <w:p w14:paraId="7E60640E" w14:textId="214AD284" w:rsidR="00F60FE9" w:rsidRPr="00703710" w:rsidRDefault="00F60FE9" w:rsidP="00B92C9B">
      <w:pPr>
        <w:spacing w:line="360" w:lineRule="auto"/>
        <w:jc w:val="both"/>
        <w:rPr>
          <w:rFonts w:eastAsia="Calibri"/>
          <w:szCs w:val="24"/>
          <w:lang w:eastAsia="ar-SA"/>
        </w:rPr>
      </w:pPr>
    </w:p>
    <w:p w14:paraId="17742F4D" w14:textId="723B243B" w:rsidR="005427A1" w:rsidRPr="00703710" w:rsidRDefault="00AC3DB9">
      <w:pPr>
        <w:tabs>
          <w:tab w:val="left" w:pos="1134"/>
        </w:tabs>
        <w:spacing w:line="360" w:lineRule="auto"/>
        <w:jc w:val="both"/>
        <w:rPr>
          <w:rFonts w:eastAsia="Calibri"/>
          <w:szCs w:val="24"/>
        </w:rPr>
      </w:pPr>
      <w:r w:rsidRPr="00703710">
        <w:rPr>
          <w:rFonts w:eastAsia="Calibri"/>
          <w:szCs w:val="24"/>
          <w:lang w:eastAsia="ar-SA"/>
        </w:rPr>
        <w:t xml:space="preserve">Komisijos </w:t>
      </w:r>
      <w:r w:rsidR="005D0813" w:rsidRPr="00703710">
        <w:rPr>
          <w:rFonts w:eastAsia="Calibri"/>
          <w:szCs w:val="24"/>
          <w:lang w:eastAsia="ar-SA"/>
        </w:rPr>
        <w:t>pirmininkas</w:t>
      </w:r>
      <w:r w:rsidR="005D0813" w:rsidRPr="00703710">
        <w:rPr>
          <w:rFonts w:eastAsia="Calibri"/>
          <w:szCs w:val="24"/>
          <w:lang w:eastAsia="ar-SA"/>
        </w:rPr>
        <w:tab/>
      </w:r>
      <w:r w:rsidR="005D0813" w:rsidRPr="00703710">
        <w:rPr>
          <w:rFonts w:eastAsia="Calibri"/>
          <w:szCs w:val="24"/>
          <w:lang w:eastAsia="ar-SA"/>
        </w:rPr>
        <w:tab/>
      </w:r>
      <w:r w:rsidR="005D0813" w:rsidRPr="00703710">
        <w:rPr>
          <w:rFonts w:eastAsia="Calibri"/>
          <w:szCs w:val="24"/>
          <w:lang w:eastAsia="ar-SA"/>
        </w:rPr>
        <w:tab/>
      </w:r>
      <w:r w:rsidR="005D0813" w:rsidRPr="00703710">
        <w:rPr>
          <w:rFonts w:eastAsia="Calibri"/>
          <w:szCs w:val="24"/>
          <w:lang w:eastAsia="ar-SA"/>
        </w:rPr>
        <w:tab/>
      </w:r>
      <w:r w:rsidR="005D0813" w:rsidRPr="00703710">
        <w:rPr>
          <w:rFonts w:eastAsia="Calibri"/>
          <w:szCs w:val="24"/>
          <w:lang w:eastAsia="ar-SA"/>
        </w:rPr>
        <w:tab/>
      </w:r>
      <w:r w:rsidR="006806C4" w:rsidRPr="00703710">
        <w:rPr>
          <w:rFonts w:eastAsia="Calibri"/>
          <w:szCs w:val="24"/>
          <w:lang w:eastAsia="ar-SA"/>
        </w:rPr>
        <w:t xml:space="preserve">       </w:t>
      </w:r>
      <w:r w:rsidR="005D0813" w:rsidRPr="00703710">
        <w:rPr>
          <w:rFonts w:eastAsia="Calibri"/>
          <w:szCs w:val="24"/>
          <w:lang w:eastAsia="ar-SA"/>
        </w:rPr>
        <w:t xml:space="preserve">Tadas </w:t>
      </w:r>
      <w:proofErr w:type="spellStart"/>
      <w:r w:rsidR="005D0813" w:rsidRPr="00703710">
        <w:rPr>
          <w:rFonts w:eastAsia="Calibri"/>
          <w:szCs w:val="24"/>
          <w:lang w:eastAsia="ar-SA"/>
        </w:rPr>
        <w:t>Prajara</w:t>
      </w:r>
      <w:proofErr w:type="spellEnd"/>
    </w:p>
    <w:sectPr w:rsidR="005427A1" w:rsidRPr="00703710">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10F87" w14:textId="77777777" w:rsidR="000E7AC8" w:rsidRDefault="000E7AC8">
      <w:pPr>
        <w:rPr>
          <w:rFonts w:ascii="CG Times" w:hAnsi="CG Times"/>
          <w:sz w:val="20"/>
        </w:rPr>
      </w:pPr>
      <w:r>
        <w:rPr>
          <w:rFonts w:ascii="CG Times" w:hAnsi="CG Times"/>
          <w:sz w:val="20"/>
        </w:rPr>
        <w:separator/>
      </w:r>
    </w:p>
  </w:endnote>
  <w:endnote w:type="continuationSeparator" w:id="0">
    <w:p w14:paraId="66862BFA" w14:textId="77777777" w:rsidR="000E7AC8" w:rsidRDefault="000E7AC8">
      <w:pPr>
        <w:rPr>
          <w:rFonts w:ascii="CG Times" w:hAnsi="CG Times"/>
          <w:sz w:val="20"/>
        </w:rPr>
      </w:pPr>
      <w:r>
        <w:rPr>
          <w:rFonts w:ascii="CG Times" w:hAnsi="CG Times"/>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Andale Sans UI">
    <w:altName w:val="Calibri"/>
    <w:charset w:val="00"/>
    <w:family w:val="auto"/>
    <w:pitch w:val="variable"/>
  </w:font>
  <w:font w:name="Tahoma">
    <w:panose1 w:val="020B0604030504040204"/>
    <w:charset w:val="BA"/>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4DBC2" w14:textId="77777777" w:rsidR="000E7AC8" w:rsidRDefault="000E7AC8">
    <w:pPr>
      <w:tabs>
        <w:tab w:val="center" w:pos="4819"/>
        <w:tab w:val="right" w:pos="9638"/>
      </w:tabs>
      <w:rPr>
        <w:rFonts w:ascii="CG Times" w:hAnsi="CG Times"/>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AFB1E" w14:textId="77777777" w:rsidR="000E7AC8" w:rsidRDefault="000E7AC8">
    <w:pPr>
      <w:tabs>
        <w:tab w:val="center" w:pos="4819"/>
        <w:tab w:val="right" w:pos="9638"/>
      </w:tabs>
      <w:rPr>
        <w:rFonts w:ascii="CG Times" w:hAnsi="CG Times"/>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415A5" w14:textId="77777777" w:rsidR="000E7AC8" w:rsidRDefault="000E7AC8">
    <w:pPr>
      <w:tabs>
        <w:tab w:val="center" w:pos="4819"/>
        <w:tab w:val="right" w:pos="9638"/>
      </w:tabs>
      <w:rPr>
        <w:rFonts w:ascii="CG Times" w:hAnsi="CG Time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5897A" w14:textId="77777777" w:rsidR="000E7AC8" w:rsidRDefault="000E7AC8">
      <w:pPr>
        <w:rPr>
          <w:rFonts w:ascii="CG Times" w:hAnsi="CG Times"/>
          <w:sz w:val="20"/>
        </w:rPr>
      </w:pPr>
      <w:r>
        <w:rPr>
          <w:rFonts w:ascii="CG Times" w:hAnsi="CG Times"/>
          <w:sz w:val="20"/>
        </w:rPr>
        <w:separator/>
      </w:r>
    </w:p>
  </w:footnote>
  <w:footnote w:type="continuationSeparator" w:id="0">
    <w:p w14:paraId="1241F22E" w14:textId="77777777" w:rsidR="000E7AC8" w:rsidRDefault="000E7AC8">
      <w:pPr>
        <w:rPr>
          <w:rFonts w:ascii="CG Times" w:hAnsi="CG Times"/>
          <w:sz w:val="20"/>
        </w:rPr>
      </w:pPr>
      <w:r>
        <w:rPr>
          <w:rFonts w:ascii="CG Times" w:hAnsi="CG Times"/>
          <w:sz w:val="20"/>
        </w:rPr>
        <w:continuationSeparator/>
      </w:r>
    </w:p>
  </w:footnote>
  <w:footnote w:id="1">
    <w:p w14:paraId="6219EDDC" w14:textId="77777777" w:rsidR="00B83D45" w:rsidRPr="005D5146" w:rsidRDefault="00B83D45" w:rsidP="002951C8">
      <w:pPr>
        <w:pStyle w:val="Puslapioinaostekstas"/>
        <w:jc w:val="both"/>
        <w:rPr>
          <w:rFonts w:ascii="Times New Roman" w:hAnsi="Times New Roman" w:cs="Times New Roman"/>
        </w:rPr>
      </w:pPr>
      <w:r w:rsidRPr="005D5146">
        <w:rPr>
          <w:rStyle w:val="Puslapioinaosnuoroda"/>
          <w:rFonts w:ascii="Times New Roman" w:hAnsi="Times New Roman" w:cs="Times New Roman"/>
        </w:rPr>
        <w:footnoteRef/>
      </w:r>
      <w:r w:rsidRPr="005D5146">
        <w:rPr>
          <w:rFonts w:ascii="Times New Roman" w:hAnsi="Times New Roman" w:cs="Times New Roman"/>
        </w:rPr>
        <w:t xml:space="preserve"> </w:t>
      </w:r>
      <w:r w:rsidRPr="005D5146">
        <w:rPr>
          <w:rFonts w:ascii="Times New Roman" w:hAnsi="Times New Roman" w:cs="Times New Roman"/>
          <w:bCs/>
        </w:rPr>
        <w:t>Lietuvos Respublikos apylinkių teismų įsteigimo ir jų veiklos teritorijų nustatymo įstatymo Nr. I-2375 pakeitimo įstatymo projekt</w:t>
      </w:r>
      <w:r>
        <w:rPr>
          <w:rFonts w:ascii="Times New Roman" w:hAnsi="Times New Roman" w:cs="Times New Roman"/>
          <w:bCs/>
        </w:rPr>
        <w:t>as</w:t>
      </w:r>
      <w:r w:rsidRPr="005D5146">
        <w:rPr>
          <w:rFonts w:ascii="Times New Roman" w:hAnsi="Times New Roman" w:cs="Times New Roman"/>
          <w:bCs/>
        </w:rPr>
        <w:t>, Lietuvos Respublikos apylinkių teismų reorganizavimo įstatymo projekt</w:t>
      </w:r>
      <w:r>
        <w:rPr>
          <w:rFonts w:ascii="Times New Roman" w:hAnsi="Times New Roman" w:cs="Times New Roman"/>
          <w:bCs/>
        </w:rPr>
        <w:t>as</w:t>
      </w:r>
      <w:r w:rsidRPr="005D5146">
        <w:rPr>
          <w:rFonts w:ascii="Times New Roman" w:hAnsi="Times New Roman" w:cs="Times New Roman"/>
          <w:bCs/>
        </w:rPr>
        <w:t>, Lietuvos Respublikos įstatymo „Dėl Lietuvos Aukščiausiojo Teismo, Lietuvos apeliacinio teismo, apygardų teismų įsteigimo, apygardų ir apylinkių teismų veiklos teritorijų nustatymo bei Lietuvos Respublikos prokuratūros reformavimo“ Nr. I-497 pavadinimo</w:t>
      </w:r>
      <w:r>
        <w:rPr>
          <w:rFonts w:ascii="Times New Roman" w:hAnsi="Times New Roman" w:cs="Times New Roman"/>
          <w:bCs/>
        </w:rPr>
        <w:t>,</w:t>
      </w:r>
      <w:r w:rsidRPr="005D5146">
        <w:rPr>
          <w:rFonts w:ascii="Times New Roman" w:hAnsi="Times New Roman" w:cs="Times New Roman"/>
          <w:bCs/>
        </w:rPr>
        <w:t xml:space="preserve"> 6 straipsnio pakeitimo </w:t>
      </w:r>
      <w:r>
        <w:rPr>
          <w:rFonts w:ascii="Times New Roman" w:hAnsi="Times New Roman" w:cs="Times New Roman"/>
          <w:bCs/>
        </w:rPr>
        <w:t xml:space="preserve">ir </w:t>
      </w:r>
      <w:r w:rsidRPr="005D5146">
        <w:rPr>
          <w:rFonts w:ascii="Times New Roman" w:hAnsi="Times New Roman" w:cs="Times New Roman"/>
          <w:bCs/>
        </w:rPr>
        <w:t>7 straipsnio pripažinimo netekusiu galios įstatymo projekt</w:t>
      </w:r>
      <w:r>
        <w:rPr>
          <w:rFonts w:ascii="Times New Roman" w:hAnsi="Times New Roman" w:cs="Times New Roman"/>
          <w:bCs/>
        </w:rPr>
        <w:t>as</w:t>
      </w:r>
      <w:r w:rsidRPr="005D5146">
        <w:rPr>
          <w:rFonts w:ascii="Times New Roman" w:hAnsi="Times New Roman" w:cs="Times New Roman"/>
          <w:bCs/>
        </w:rPr>
        <w:t>,</w:t>
      </w:r>
      <w:r w:rsidRPr="005D5146">
        <w:rPr>
          <w:rFonts w:ascii="Times New Roman" w:hAnsi="Times New Roman" w:cs="Times New Roman"/>
        </w:rPr>
        <w:t xml:space="preserve"> </w:t>
      </w:r>
      <w:r w:rsidRPr="005D5146">
        <w:rPr>
          <w:rFonts w:ascii="Times New Roman" w:hAnsi="Times New Roman" w:cs="Times New Roman"/>
          <w:bCs/>
        </w:rPr>
        <w:t>Lietuvos Respublikos Seimo nutarimo „Dėl apylinkių teismų reorganizavimo“</w:t>
      </w:r>
      <w:r>
        <w:rPr>
          <w:rFonts w:ascii="Times New Roman" w:hAnsi="Times New Roman" w:cs="Times New Roman"/>
          <w:bCs/>
        </w:rPr>
        <w:t xml:space="preserve"> projektas</w:t>
      </w:r>
      <w:r w:rsidRPr="005D5146">
        <w:rPr>
          <w:rFonts w:ascii="Times New Roman" w:hAnsi="Times New Roman" w:cs="Times New Roman"/>
          <w:bCs/>
        </w:rPr>
        <w:t>, Lietuvos Respublikos teismų įstatymo Nr. I-480 57, 101 ir 119 straipsnių pakeitimo įstatymo projekt</w:t>
      </w:r>
      <w:r>
        <w:rPr>
          <w:rFonts w:ascii="Times New Roman" w:hAnsi="Times New Roman" w:cs="Times New Roman"/>
          <w:bCs/>
        </w:rPr>
        <w:t>as</w:t>
      </w:r>
      <w:r w:rsidRPr="005D5146">
        <w:rPr>
          <w:rFonts w:ascii="Times New Roman" w:hAnsi="Times New Roman" w:cs="Times New Roman"/>
          <w:bCs/>
        </w:rPr>
        <w:t>, Lietuvos Respublikos civilinio proceso kodekso 62</w:t>
      </w:r>
      <w:r w:rsidRPr="005D5146">
        <w:rPr>
          <w:rFonts w:ascii="Times New Roman" w:hAnsi="Times New Roman" w:cs="Times New Roman"/>
          <w:bCs/>
          <w:vertAlign w:val="superscript"/>
        </w:rPr>
        <w:t>1</w:t>
      </w:r>
      <w:r w:rsidRPr="005D5146">
        <w:rPr>
          <w:rFonts w:ascii="Times New Roman" w:hAnsi="Times New Roman" w:cs="Times New Roman"/>
          <w:bCs/>
        </w:rPr>
        <w:t>, 304, 441 straipsnių pakeitimo ir Kodekso papildymo 62</w:t>
      </w:r>
      <w:r w:rsidRPr="005D5146">
        <w:rPr>
          <w:rFonts w:ascii="Times New Roman" w:hAnsi="Times New Roman" w:cs="Times New Roman"/>
          <w:bCs/>
          <w:vertAlign w:val="superscript"/>
        </w:rPr>
        <w:t>2</w:t>
      </w:r>
      <w:r w:rsidRPr="005D5146">
        <w:rPr>
          <w:rFonts w:ascii="Times New Roman" w:hAnsi="Times New Roman" w:cs="Times New Roman"/>
          <w:bCs/>
        </w:rPr>
        <w:t xml:space="preserve"> ir 62</w:t>
      </w:r>
      <w:r w:rsidRPr="005D5146">
        <w:rPr>
          <w:rFonts w:ascii="Times New Roman" w:hAnsi="Times New Roman" w:cs="Times New Roman"/>
          <w:bCs/>
          <w:vertAlign w:val="superscript"/>
        </w:rPr>
        <w:t xml:space="preserve">3 </w:t>
      </w:r>
      <w:r w:rsidRPr="005D5146">
        <w:rPr>
          <w:rFonts w:ascii="Times New Roman" w:hAnsi="Times New Roman" w:cs="Times New Roman"/>
          <w:bCs/>
        </w:rPr>
        <w:t>straipsniais įstatymo projekt</w:t>
      </w:r>
      <w:r>
        <w:rPr>
          <w:rFonts w:ascii="Times New Roman" w:hAnsi="Times New Roman" w:cs="Times New Roman"/>
          <w:bCs/>
        </w:rPr>
        <w:t>as.</w:t>
      </w:r>
    </w:p>
  </w:footnote>
  <w:footnote w:id="2">
    <w:p w14:paraId="17C6FDA5" w14:textId="77777777" w:rsidR="00B83D45" w:rsidRPr="000604C0" w:rsidRDefault="00B83D45" w:rsidP="00B83D45">
      <w:pPr>
        <w:pStyle w:val="Puslapioinaostekstas"/>
        <w:rPr>
          <w:rFonts w:ascii="Times New Roman" w:hAnsi="Times New Roman" w:cs="Times New Roman"/>
        </w:rPr>
      </w:pPr>
      <w:r w:rsidRPr="000604C0">
        <w:rPr>
          <w:rStyle w:val="Puslapioinaosnuoroda"/>
          <w:rFonts w:ascii="Times New Roman" w:hAnsi="Times New Roman" w:cs="Times New Roman"/>
        </w:rPr>
        <w:footnoteRef/>
      </w:r>
      <w:r w:rsidRPr="000604C0">
        <w:rPr>
          <w:rFonts w:ascii="Times New Roman" w:hAnsi="Times New Roman" w:cs="Times New Roman"/>
        </w:rPr>
        <w:t xml:space="preserve"> </w:t>
      </w:r>
      <w:hyperlink r:id="rId1" w:history="1">
        <w:r w:rsidRPr="005D5146">
          <w:rPr>
            <w:rStyle w:val="Hipersaitas"/>
            <w:rFonts w:ascii="Times New Roman" w:hAnsi="Times New Roman" w:cs="Times New Roman"/>
          </w:rPr>
          <w:t>Teismų reformos projektų aiškinamasis raštas</w:t>
        </w:r>
      </w:hyperlink>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20067" w14:textId="77777777" w:rsidR="000E7AC8" w:rsidRDefault="000E7AC8">
    <w:pPr>
      <w:tabs>
        <w:tab w:val="center" w:pos="4819"/>
        <w:tab w:val="right" w:pos="9638"/>
      </w:tabs>
      <w:rPr>
        <w:rFonts w:ascii="CG Times" w:hAnsi="CG Times"/>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B4701" w14:textId="1353C67D" w:rsidR="000E7AC8" w:rsidRDefault="000E7AC8">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CC461E">
      <w:rPr>
        <w:noProof/>
        <w:szCs w:val="24"/>
      </w:rPr>
      <w:t>4</w:t>
    </w:r>
    <w:r>
      <w:rPr>
        <w:szCs w:val="24"/>
      </w:rPr>
      <w:fldChar w:fldCharType="end"/>
    </w:r>
  </w:p>
  <w:p w14:paraId="3D3FEB32" w14:textId="77777777" w:rsidR="000E7AC8" w:rsidRDefault="000E7AC8">
    <w:pPr>
      <w:tabs>
        <w:tab w:val="center" w:pos="4819"/>
        <w:tab w:val="right" w:pos="9638"/>
      </w:tabs>
      <w:rPr>
        <w:rFonts w:ascii="CG Times" w:hAnsi="CG Times"/>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52817" w14:textId="77777777" w:rsidR="000E7AC8" w:rsidRDefault="000E7AC8">
    <w:pPr>
      <w:tabs>
        <w:tab w:val="center" w:pos="4819"/>
        <w:tab w:val="right" w:pos="9638"/>
      </w:tabs>
      <w:rPr>
        <w:rFonts w:ascii="CG Times" w:hAnsi="CG Time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0653"/>
    <w:multiLevelType w:val="hybridMultilevel"/>
    <w:tmpl w:val="73C83D44"/>
    <w:lvl w:ilvl="0" w:tplc="411C3570">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07B268DD"/>
    <w:multiLevelType w:val="multilevel"/>
    <w:tmpl w:val="4B489C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67346"/>
    <w:multiLevelType w:val="multilevel"/>
    <w:tmpl w:val="3DAE9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30DC6"/>
    <w:multiLevelType w:val="multilevel"/>
    <w:tmpl w:val="1612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1C09E4"/>
    <w:multiLevelType w:val="hybridMultilevel"/>
    <w:tmpl w:val="ABE646D8"/>
    <w:lvl w:ilvl="0" w:tplc="44FABA4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A7369E9"/>
    <w:multiLevelType w:val="multilevel"/>
    <w:tmpl w:val="9B24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571D8E"/>
    <w:multiLevelType w:val="multilevel"/>
    <w:tmpl w:val="215C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34DA4"/>
    <w:rsid w:val="00050547"/>
    <w:rsid w:val="000744CB"/>
    <w:rsid w:val="00083260"/>
    <w:rsid w:val="000A15D3"/>
    <w:rsid w:val="000B57C6"/>
    <w:rsid w:val="000B781B"/>
    <w:rsid w:val="000C5B5B"/>
    <w:rsid w:val="000C730C"/>
    <w:rsid w:val="000D4965"/>
    <w:rsid w:val="000E65AF"/>
    <w:rsid w:val="000E7AC8"/>
    <w:rsid w:val="0010364C"/>
    <w:rsid w:val="001136B4"/>
    <w:rsid w:val="00116259"/>
    <w:rsid w:val="001209AF"/>
    <w:rsid w:val="00121904"/>
    <w:rsid w:val="00125696"/>
    <w:rsid w:val="00125A79"/>
    <w:rsid w:val="0013463E"/>
    <w:rsid w:val="001366E5"/>
    <w:rsid w:val="001606EE"/>
    <w:rsid w:val="00173EC2"/>
    <w:rsid w:val="00194795"/>
    <w:rsid w:val="001A71CE"/>
    <w:rsid w:val="001B7668"/>
    <w:rsid w:val="001C6181"/>
    <w:rsid w:val="001D5719"/>
    <w:rsid w:val="002117D2"/>
    <w:rsid w:val="00245A5E"/>
    <w:rsid w:val="002514F0"/>
    <w:rsid w:val="00251B38"/>
    <w:rsid w:val="00276913"/>
    <w:rsid w:val="002951C8"/>
    <w:rsid w:val="002A15D8"/>
    <w:rsid w:val="002B140E"/>
    <w:rsid w:val="002E10C8"/>
    <w:rsid w:val="002F4574"/>
    <w:rsid w:val="002F53CF"/>
    <w:rsid w:val="002F7036"/>
    <w:rsid w:val="003364F0"/>
    <w:rsid w:val="00341A42"/>
    <w:rsid w:val="003444ED"/>
    <w:rsid w:val="00373F2E"/>
    <w:rsid w:val="003A61FB"/>
    <w:rsid w:val="003A69A1"/>
    <w:rsid w:val="0042652D"/>
    <w:rsid w:val="004342D8"/>
    <w:rsid w:val="00436859"/>
    <w:rsid w:val="00440382"/>
    <w:rsid w:val="00446730"/>
    <w:rsid w:val="00452B04"/>
    <w:rsid w:val="00463A97"/>
    <w:rsid w:val="00476259"/>
    <w:rsid w:val="0048593D"/>
    <w:rsid w:val="004A0BA9"/>
    <w:rsid w:val="004A561A"/>
    <w:rsid w:val="004C29E9"/>
    <w:rsid w:val="004D4198"/>
    <w:rsid w:val="004E00ED"/>
    <w:rsid w:val="004E06FA"/>
    <w:rsid w:val="004E5D57"/>
    <w:rsid w:val="005157B5"/>
    <w:rsid w:val="005273A0"/>
    <w:rsid w:val="005427A1"/>
    <w:rsid w:val="005846E2"/>
    <w:rsid w:val="00590DC6"/>
    <w:rsid w:val="00591E96"/>
    <w:rsid w:val="00593097"/>
    <w:rsid w:val="005A0810"/>
    <w:rsid w:val="005B0B93"/>
    <w:rsid w:val="005B5348"/>
    <w:rsid w:val="005C0B2E"/>
    <w:rsid w:val="005D0813"/>
    <w:rsid w:val="005F6CEC"/>
    <w:rsid w:val="00610904"/>
    <w:rsid w:val="0061148F"/>
    <w:rsid w:val="00625B47"/>
    <w:rsid w:val="006414A4"/>
    <w:rsid w:val="00643484"/>
    <w:rsid w:val="006635C6"/>
    <w:rsid w:val="006702BC"/>
    <w:rsid w:val="006806C4"/>
    <w:rsid w:val="00696ABA"/>
    <w:rsid w:val="006A4651"/>
    <w:rsid w:val="006C088F"/>
    <w:rsid w:val="006D5712"/>
    <w:rsid w:val="006E593C"/>
    <w:rsid w:val="006F0FF2"/>
    <w:rsid w:val="006F6DD9"/>
    <w:rsid w:val="0070031F"/>
    <w:rsid w:val="007008F4"/>
    <w:rsid w:val="00703710"/>
    <w:rsid w:val="00712F21"/>
    <w:rsid w:val="00713644"/>
    <w:rsid w:val="00713E16"/>
    <w:rsid w:val="00737933"/>
    <w:rsid w:val="00765218"/>
    <w:rsid w:val="007659F0"/>
    <w:rsid w:val="00783F7E"/>
    <w:rsid w:val="007978C0"/>
    <w:rsid w:val="007A014D"/>
    <w:rsid w:val="007D2F42"/>
    <w:rsid w:val="007D77E1"/>
    <w:rsid w:val="00804FD1"/>
    <w:rsid w:val="0080743B"/>
    <w:rsid w:val="00823BFD"/>
    <w:rsid w:val="00823DB7"/>
    <w:rsid w:val="00827DBB"/>
    <w:rsid w:val="00834AA6"/>
    <w:rsid w:val="008369B2"/>
    <w:rsid w:val="008643E2"/>
    <w:rsid w:val="008648D7"/>
    <w:rsid w:val="008709C3"/>
    <w:rsid w:val="00873B0A"/>
    <w:rsid w:val="008A25A7"/>
    <w:rsid w:val="008C5B32"/>
    <w:rsid w:val="008D131C"/>
    <w:rsid w:val="008D1A94"/>
    <w:rsid w:val="008D3DC6"/>
    <w:rsid w:val="008E51FC"/>
    <w:rsid w:val="008F1AA2"/>
    <w:rsid w:val="008F4A1A"/>
    <w:rsid w:val="008F5133"/>
    <w:rsid w:val="009032F7"/>
    <w:rsid w:val="0091178E"/>
    <w:rsid w:val="00913CCE"/>
    <w:rsid w:val="00916CF8"/>
    <w:rsid w:val="00924207"/>
    <w:rsid w:val="0092769C"/>
    <w:rsid w:val="00945D27"/>
    <w:rsid w:val="009558AB"/>
    <w:rsid w:val="00990BEA"/>
    <w:rsid w:val="009B718B"/>
    <w:rsid w:val="009D0638"/>
    <w:rsid w:val="009F371C"/>
    <w:rsid w:val="00A24955"/>
    <w:rsid w:val="00A24CA7"/>
    <w:rsid w:val="00A270F0"/>
    <w:rsid w:val="00A32403"/>
    <w:rsid w:val="00A52656"/>
    <w:rsid w:val="00A52A26"/>
    <w:rsid w:val="00A5687E"/>
    <w:rsid w:val="00A7076A"/>
    <w:rsid w:val="00A914A7"/>
    <w:rsid w:val="00AA55AF"/>
    <w:rsid w:val="00AB29EA"/>
    <w:rsid w:val="00AB6EF3"/>
    <w:rsid w:val="00AC03E2"/>
    <w:rsid w:val="00AC3DB9"/>
    <w:rsid w:val="00AD1B14"/>
    <w:rsid w:val="00AE7509"/>
    <w:rsid w:val="00B04E85"/>
    <w:rsid w:val="00B175D5"/>
    <w:rsid w:val="00B25B25"/>
    <w:rsid w:val="00B3570D"/>
    <w:rsid w:val="00B80D4B"/>
    <w:rsid w:val="00B83D45"/>
    <w:rsid w:val="00B92C9B"/>
    <w:rsid w:val="00B97FA5"/>
    <w:rsid w:val="00BD1A41"/>
    <w:rsid w:val="00BD7788"/>
    <w:rsid w:val="00BF2352"/>
    <w:rsid w:val="00BF5B1D"/>
    <w:rsid w:val="00C122C7"/>
    <w:rsid w:val="00C145A4"/>
    <w:rsid w:val="00C238C5"/>
    <w:rsid w:val="00C42236"/>
    <w:rsid w:val="00C44D30"/>
    <w:rsid w:val="00C5060C"/>
    <w:rsid w:val="00C72C80"/>
    <w:rsid w:val="00C76B4C"/>
    <w:rsid w:val="00C91424"/>
    <w:rsid w:val="00CC461E"/>
    <w:rsid w:val="00CC4B5B"/>
    <w:rsid w:val="00CD3F8A"/>
    <w:rsid w:val="00CD6D56"/>
    <w:rsid w:val="00CF7BAC"/>
    <w:rsid w:val="00D07497"/>
    <w:rsid w:val="00D12CC4"/>
    <w:rsid w:val="00D16B45"/>
    <w:rsid w:val="00D4413C"/>
    <w:rsid w:val="00D627CE"/>
    <w:rsid w:val="00D7062E"/>
    <w:rsid w:val="00D7507C"/>
    <w:rsid w:val="00D7583E"/>
    <w:rsid w:val="00D90E5B"/>
    <w:rsid w:val="00D92E3C"/>
    <w:rsid w:val="00DA51E1"/>
    <w:rsid w:val="00DC5613"/>
    <w:rsid w:val="00DF6855"/>
    <w:rsid w:val="00E3334A"/>
    <w:rsid w:val="00E560F5"/>
    <w:rsid w:val="00E719C5"/>
    <w:rsid w:val="00EB4FAD"/>
    <w:rsid w:val="00EE2035"/>
    <w:rsid w:val="00EE395D"/>
    <w:rsid w:val="00F334E0"/>
    <w:rsid w:val="00F60571"/>
    <w:rsid w:val="00F60FE9"/>
    <w:rsid w:val="00F64AD6"/>
    <w:rsid w:val="00F901F4"/>
    <w:rsid w:val="00FA0059"/>
    <w:rsid w:val="00FB7D57"/>
    <w:rsid w:val="00FB7E49"/>
    <w:rsid w:val="00FC7E67"/>
    <w:rsid w:val="00FD1E14"/>
    <w:rsid w:val="00FD61F4"/>
    <w:rsid w:val="00FE3CF0"/>
    <w:rsid w:val="00FE679C"/>
    <w:rsid w:val="00FF75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E07F"/>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link w:val="Antrat3Diagrama"/>
    <w:uiPriority w:val="9"/>
    <w:qFormat/>
    <w:rsid w:val="006F0FF2"/>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72C8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72C80"/>
    <w:rPr>
      <w:rFonts w:ascii="Segoe UI" w:hAnsi="Segoe UI" w:cs="Segoe UI"/>
      <w:sz w:val="18"/>
      <w:szCs w:val="18"/>
    </w:rPr>
  </w:style>
  <w:style w:type="character" w:customStyle="1" w:styleId="normaltextrun">
    <w:name w:val="normaltextrun"/>
    <w:basedOn w:val="Numatytasispastraiposriftas"/>
    <w:rsid w:val="006A4651"/>
  </w:style>
  <w:style w:type="paragraph" w:styleId="Puslapioinaostekstas">
    <w:name w:val="footnote text"/>
    <w:aliases w:val="Footnote Text Char1,Footnote Text Char Char,Footnote text,Footnote Text1,Char Char,Footnote Text2,Footnote Text11,ALTS FOOTNOTE11,Footnote Text Char111,Footnote Text Char Char Char11,Footnote Text Char1 Char Char Char Char11"/>
    <w:basedOn w:val="prastasis"/>
    <w:link w:val="PuslapioinaostekstasDiagrama"/>
    <w:qFormat/>
    <w:rsid w:val="00C145A4"/>
    <w:rPr>
      <w:rFonts w:ascii="Calibri" w:eastAsia="Calibri" w:hAnsi="Calibri" w:cs="Calibri"/>
      <w:sz w:val="20"/>
      <w:lang w:eastAsia="lt-LT"/>
    </w:rPr>
  </w:style>
  <w:style w:type="character" w:customStyle="1" w:styleId="PuslapioinaostekstasDiagrama">
    <w:name w:val="Puslapio išnašos tekstas Diagrama"/>
    <w:aliases w:val="Footnote Text Char1 Diagrama,Footnote Text Char Char Diagrama,Footnote text Diagrama,Footnote Text1 Diagrama,Char Char Diagrama,Footnote Text2 Diagrama,Footnote Text11 Diagrama,ALTS FOOTNOTE11 Diagrama"/>
    <w:basedOn w:val="Numatytasispastraiposriftas"/>
    <w:link w:val="Puslapioinaostekstas"/>
    <w:rsid w:val="00C145A4"/>
    <w:rPr>
      <w:rFonts w:ascii="Calibri" w:eastAsia="Calibri" w:hAnsi="Calibri" w:cs="Calibri"/>
      <w:sz w:val="20"/>
      <w:lang w:eastAsia="lt-LT"/>
    </w:rPr>
  </w:style>
  <w:style w:type="character" w:styleId="Puslapioinaosnuoroda">
    <w:name w:val="footnote reference"/>
    <w:aliases w:val="16 Point,Superscript 6 Point,Footnote Reference Number,Footnote Reference_LVL6,Footnote Reference_LVL61,Footnote Reference_LVL62,Footnote Reference_LVL63,Footnote Reference_LVL64,Footnote call,BVI fnr,Footnote symbol,Footnote"/>
    <w:rsid w:val="00C145A4"/>
    <w:rPr>
      <w:vertAlign w:val="superscript"/>
    </w:rPr>
  </w:style>
  <w:style w:type="paragraph" w:customStyle="1" w:styleId="Default">
    <w:name w:val="Default"/>
    <w:rsid w:val="00C145A4"/>
    <w:pPr>
      <w:autoSpaceDE w:val="0"/>
      <w:autoSpaceDN w:val="0"/>
      <w:adjustRightInd w:val="0"/>
    </w:pPr>
    <w:rPr>
      <w:color w:val="000000"/>
      <w:szCs w:val="24"/>
      <w:lang w:eastAsia="lt-LT"/>
    </w:rPr>
  </w:style>
  <w:style w:type="character" w:styleId="Hipersaitas">
    <w:name w:val="Hyperlink"/>
    <w:rsid w:val="00D92E3C"/>
    <w:rPr>
      <w:color w:val="000080"/>
      <w:u w:val="single"/>
    </w:rPr>
  </w:style>
  <w:style w:type="paragraph" w:styleId="Pagrindinistekstas">
    <w:name w:val="Body Text"/>
    <w:basedOn w:val="prastasis"/>
    <w:link w:val="PagrindinistekstasDiagrama"/>
    <w:rsid w:val="00D92E3C"/>
    <w:pPr>
      <w:ind w:firstLine="567"/>
      <w:jc w:val="both"/>
    </w:pPr>
    <w:rPr>
      <w:rFonts w:eastAsia="Andale Sans UI" w:cs="Tahoma"/>
      <w:szCs w:val="24"/>
      <w:lang w:bidi="en-US"/>
    </w:rPr>
  </w:style>
  <w:style w:type="character" w:customStyle="1" w:styleId="PagrindinistekstasDiagrama">
    <w:name w:val="Pagrindinis tekstas Diagrama"/>
    <w:basedOn w:val="Numatytasispastraiposriftas"/>
    <w:link w:val="Pagrindinistekstas"/>
    <w:rsid w:val="00D92E3C"/>
    <w:rPr>
      <w:rFonts w:eastAsia="Andale Sans UI" w:cs="Tahoma"/>
      <w:szCs w:val="24"/>
      <w:lang w:bidi="en-US"/>
    </w:rPr>
  </w:style>
  <w:style w:type="paragraph" w:styleId="Komentarotekstas">
    <w:name w:val="annotation text"/>
    <w:basedOn w:val="prastasis"/>
    <w:link w:val="KomentarotekstasDiagrama"/>
    <w:unhideWhenUsed/>
    <w:rsid w:val="00D92E3C"/>
    <w:pPr>
      <w:jc w:val="both"/>
    </w:pPr>
    <w:rPr>
      <w:rFonts w:eastAsia="Andale Sans UI" w:cs="Tahoma"/>
      <w:sz w:val="20"/>
      <w:lang w:bidi="en-US"/>
    </w:rPr>
  </w:style>
  <w:style w:type="character" w:customStyle="1" w:styleId="KomentarotekstasDiagrama">
    <w:name w:val="Komentaro tekstas Diagrama"/>
    <w:basedOn w:val="Numatytasispastraiposriftas"/>
    <w:link w:val="Komentarotekstas"/>
    <w:rsid w:val="00D92E3C"/>
    <w:rPr>
      <w:rFonts w:eastAsia="Andale Sans UI" w:cs="Tahoma"/>
      <w:sz w:val="20"/>
      <w:lang w:bidi="en-US"/>
    </w:rPr>
  </w:style>
  <w:style w:type="character" w:customStyle="1" w:styleId="normal-h">
    <w:name w:val="normal-h"/>
    <w:basedOn w:val="Numatytasispastraiposriftas"/>
    <w:rsid w:val="00D92E3C"/>
  </w:style>
  <w:style w:type="character" w:customStyle="1" w:styleId="contentpasted1">
    <w:name w:val="contentpasted1"/>
    <w:basedOn w:val="Numatytasispastraiposriftas"/>
    <w:rsid w:val="00D92E3C"/>
  </w:style>
  <w:style w:type="paragraph" w:styleId="Antrats">
    <w:name w:val="header"/>
    <w:aliases w:val="Char Diagrama Diagrama,Char,Diagrama Diagrama Diagrama, Char,En-tête-1,En-tête-2,hd,Header 2,Char2,Char3,Char Char Char Char,Char Char Char1,Char Char1,Diagrama"/>
    <w:basedOn w:val="prastasis"/>
    <w:link w:val="AntratsDiagrama"/>
    <w:rsid w:val="008F1AA2"/>
    <w:pPr>
      <w:tabs>
        <w:tab w:val="center" w:pos="4320"/>
        <w:tab w:val="right" w:pos="8640"/>
      </w:tabs>
    </w:pPr>
    <w:rPr>
      <w:sz w:val="20"/>
    </w:rPr>
  </w:style>
  <w:style w:type="character" w:customStyle="1" w:styleId="AntratsDiagrama">
    <w:name w:val="Antraštės Diagrama"/>
    <w:aliases w:val="Char Diagrama Diagrama Diagrama,Char Diagrama,Diagrama Diagrama Diagrama Diagrama, Char Diagrama,En-tête-1 Diagrama,En-tête-2 Diagrama,hd Diagrama,Header 2 Diagrama,Char2 Diagrama,Char3 Diagrama,Char Char Char Char Diagrama"/>
    <w:basedOn w:val="Numatytasispastraiposriftas"/>
    <w:link w:val="Antrats"/>
    <w:qFormat/>
    <w:rsid w:val="008F1AA2"/>
    <w:rPr>
      <w:sz w:val="20"/>
    </w:rPr>
  </w:style>
  <w:style w:type="character" w:customStyle="1" w:styleId="clear">
    <w:name w:val="clear"/>
    <w:basedOn w:val="Numatytasispastraiposriftas"/>
    <w:rsid w:val="008F1AA2"/>
  </w:style>
  <w:style w:type="paragraph" w:customStyle="1" w:styleId="TableContents">
    <w:name w:val="Table Contents"/>
    <w:basedOn w:val="prastasis"/>
    <w:rsid w:val="005D0813"/>
    <w:pPr>
      <w:suppressLineNumbers/>
      <w:jc w:val="both"/>
    </w:pPr>
    <w:rPr>
      <w:rFonts w:eastAsia="Andale Sans UI" w:cs="Tahoma"/>
      <w:szCs w:val="24"/>
      <w:lang w:bidi="en-US"/>
    </w:rPr>
  </w:style>
  <w:style w:type="paragraph" w:styleId="Dokumentoinaostekstas">
    <w:name w:val="endnote text"/>
    <w:basedOn w:val="prastasis"/>
    <w:link w:val="DokumentoinaostekstasDiagrama"/>
    <w:uiPriority w:val="99"/>
    <w:unhideWhenUsed/>
    <w:rsid w:val="005D0813"/>
    <w:pPr>
      <w:jc w:val="both"/>
    </w:pPr>
    <w:rPr>
      <w:rFonts w:eastAsia="Andale Sans UI" w:cs="Tahoma"/>
      <w:sz w:val="20"/>
      <w:lang w:bidi="en-US"/>
    </w:rPr>
  </w:style>
  <w:style w:type="character" w:customStyle="1" w:styleId="DokumentoinaostekstasDiagrama">
    <w:name w:val="Dokumento išnašos tekstas Diagrama"/>
    <w:basedOn w:val="Numatytasispastraiposriftas"/>
    <w:link w:val="Dokumentoinaostekstas"/>
    <w:uiPriority w:val="99"/>
    <w:rsid w:val="005D0813"/>
    <w:rPr>
      <w:rFonts w:eastAsia="Andale Sans UI" w:cs="Tahoma"/>
      <w:sz w:val="20"/>
      <w:lang w:bidi="en-US"/>
    </w:rPr>
  </w:style>
  <w:style w:type="character" w:styleId="Dokumentoinaosnumeris">
    <w:name w:val="endnote reference"/>
    <w:basedOn w:val="Numatytasispastraiposriftas"/>
    <w:uiPriority w:val="99"/>
    <w:semiHidden/>
    <w:unhideWhenUsed/>
    <w:rsid w:val="005D0813"/>
    <w:rPr>
      <w:vertAlign w:val="superscript"/>
    </w:rPr>
  </w:style>
  <w:style w:type="character" w:customStyle="1" w:styleId="ng-star-inserted">
    <w:name w:val="ng-star-inserted"/>
    <w:basedOn w:val="Numatytasispastraiposriftas"/>
    <w:rsid w:val="005D0813"/>
  </w:style>
  <w:style w:type="paragraph" w:customStyle="1" w:styleId="paragraph">
    <w:name w:val="paragraph"/>
    <w:basedOn w:val="prastasis"/>
    <w:rsid w:val="002E10C8"/>
    <w:pPr>
      <w:spacing w:before="100" w:beforeAutospacing="1" w:after="100" w:afterAutospacing="1"/>
    </w:pPr>
    <w:rPr>
      <w:szCs w:val="24"/>
      <w:lang w:eastAsia="lt-LT"/>
    </w:rPr>
  </w:style>
  <w:style w:type="paragraph" w:styleId="Betarp">
    <w:name w:val="No Spacing"/>
    <w:uiPriority w:val="1"/>
    <w:qFormat/>
    <w:rsid w:val="002F4574"/>
    <w:rPr>
      <w:rFonts w:asciiTheme="minorHAnsi" w:eastAsiaTheme="minorHAnsi" w:hAnsiTheme="minorHAnsi" w:cstheme="minorBidi"/>
      <w:sz w:val="22"/>
      <w:szCs w:val="22"/>
    </w:rPr>
  </w:style>
  <w:style w:type="character" w:customStyle="1" w:styleId="Antrat3Diagrama">
    <w:name w:val="Antraštė 3 Diagrama"/>
    <w:basedOn w:val="Numatytasispastraiposriftas"/>
    <w:link w:val="Antrat3"/>
    <w:uiPriority w:val="9"/>
    <w:rsid w:val="006F0FF2"/>
    <w:rPr>
      <w:b/>
      <w:bCs/>
      <w:sz w:val="27"/>
      <w:szCs w:val="27"/>
      <w:lang w:eastAsia="lt-LT"/>
    </w:rPr>
  </w:style>
  <w:style w:type="character" w:styleId="Grietas">
    <w:name w:val="Strong"/>
    <w:basedOn w:val="Numatytasispastraiposriftas"/>
    <w:uiPriority w:val="22"/>
    <w:qFormat/>
    <w:rsid w:val="006F0FF2"/>
    <w:rPr>
      <w:b/>
      <w:bCs/>
    </w:rPr>
  </w:style>
  <w:style w:type="paragraph" w:styleId="prastasiniatinklio">
    <w:name w:val="Normal (Web)"/>
    <w:basedOn w:val="prastasis"/>
    <w:uiPriority w:val="99"/>
    <w:semiHidden/>
    <w:unhideWhenUsed/>
    <w:rsid w:val="006F0FF2"/>
    <w:pPr>
      <w:spacing w:before="100" w:beforeAutospacing="1" w:after="100" w:afterAutospacing="1"/>
    </w:pPr>
    <w:rPr>
      <w:szCs w:val="24"/>
      <w:lang w:eastAsia="lt-LT"/>
    </w:rPr>
  </w:style>
  <w:style w:type="paragraph" w:styleId="Sraopastraipa">
    <w:name w:val="List Paragraph"/>
    <w:basedOn w:val="prastasis"/>
    <w:link w:val="SraopastraipaDiagrama"/>
    <w:uiPriority w:val="34"/>
    <w:qFormat/>
    <w:rsid w:val="001209AF"/>
    <w:pPr>
      <w:ind w:left="720"/>
      <w:contextualSpacing/>
    </w:pPr>
  </w:style>
  <w:style w:type="character" w:customStyle="1" w:styleId="SraopastraipaDiagrama">
    <w:name w:val="Sąrašo pastraipa Diagrama"/>
    <w:link w:val="Sraopastraipa"/>
    <w:uiPriority w:val="34"/>
    <w:locked/>
    <w:rsid w:val="001209AF"/>
  </w:style>
  <w:style w:type="character" w:customStyle="1" w:styleId="itemdisplayname-386">
    <w:name w:val="itemdisplayname-386"/>
    <w:basedOn w:val="Numatytasispastraiposriftas"/>
    <w:rsid w:val="00A270F0"/>
  </w:style>
  <w:style w:type="character" w:customStyle="1" w:styleId="screenreaderfriendlyhiddentag-277">
    <w:name w:val="screenreaderfriendlyhiddentag-277"/>
    <w:basedOn w:val="Numatytasispastraiposriftas"/>
    <w:rsid w:val="00A270F0"/>
  </w:style>
  <w:style w:type="character" w:styleId="Komentaronuoroda">
    <w:name w:val="annotation reference"/>
    <w:basedOn w:val="Numatytasispastraiposriftas"/>
    <w:semiHidden/>
    <w:unhideWhenUsed/>
    <w:rsid w:val="004E06FA"/>
    <w:rPr>
      <w:sz w:val="16"/>
      <w:szCs w:val="16"/>
    </w:rPr>
  </w:style>
  <w:style w:type="paragraph" w:styleId="Komentarotema">
    <w:name w:val="annotation subject"/>
    <w:basedOn w:val="Komentarotekstas"/>
    <w:next w:val="Komentarotekstas"/>
    <w:link w:val="KomentarotemaDiagrama"/>
    <w:semiHidden/>
    <w:unhideWhenUsed/>
    <w:rsid w:val="004E06FA"/>
    <w:pPr>
      <w:jc w:val="left"/>
    </w:pPr>
    <w:rPr>
      <w:rFonts w:eastAsia="Times New Roman" w:cs="Times New Roman"/>
      <w:b/>
      <w:bCs/>
      <w:lang w:bidi="ar-SA"/>
    </w:rPr>
  </w:style>
  <w:style w:type="character" w:customStyle="1" w:styleId="KomentarotemaDiagrama">
    <w:name w:val="Komentaro tema Diagrama"/>
    <w:basedOn w:val="KomentarotekstasDiagrama"/>
    <w:link w:val="Komentarotema"/>
    <w:semiHidden/>
    <w:rsid w:val="004E06FA"/>
    <w:rPr>
      <w:rFonts w:eastAsia="Andale Sans UI" w:cs="Tahoma"/>
      <w:b/>
      <w:bCs/>
      <w:sz w:val="20"/>
      <w:lang w:bidi="en-US"/>
    </w:rPr>
  </w:style>
  <w:style w:type="character" w:customStyle="1" w:styleId="shift">
    <w:name w:val="shift"/>
    <w:basedOn w:val="Numatytasispastraiposriftas"/>
    <w:rsid w:val="006C088F"/>
  </w:style>
  <w:style w:type="paragraph" w:customStyle="1" w:styleId="tactin">
    <w:name w:val="tactin"/>
    <w:basedOn w:val="prastasis"/>
    <w:rsid w:val="00B92C9B"/>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7499">
      <w:bodyDiv w:val="1"/>
      <w:marLeft w:val="0"/>
      <w:marRight w:val="0"/>
      <w:marTop w:val="0"/>
      <w:marBottom w:val="0"/>
      <w:divBdr>
        <w:top w:val="none" w:sz="0" w:space="0" w:color="auto"/>
        <w:left w:val="none" w:sz="0" w:space="0" w:color="auto"/>
        <w:bottom w:val="none" w:sz="0" w:space="0" w:color="auto"/>
        <w:right w:val="none" w:sz="0" w:space="0" w:color="auto"/>
      </w:divBdr>
      <w:divsChild>
        <w:div w:id="1478650833">
          <w:marLeft w:val="0"/>
          <w:marRight w:val="0"/>
          <w:marTop w:val="0"/>
          <w:marBottom w:val="0"/>
          <w:divBdr>
            <w:top w:val="none" w:sz="0" w:space="0" w:color="auto"/>
            <w:left w:val="none" w:sz="0" w:space="0" w:color="auto"/>
            <w:bottom w:val="none" w:sz="0" w:space="0" w:color="auto"/>
            <w:right w:val="none" w:sz="0" w:space="0" w:color="auto"/>
          </w:divBdr>
          <w:divsChild>
            <w:div w:id="986319374">
              <w:marLeft w:val="0"/>
              <w:marRight w:val="0"/>
              <w:marTop w:val="0"/>
              <w:marBottom w:val="0"/>
              <w:divBdr>
                <w:top w:val="none" w:sz="0" w:space="0" w:color="auto"/>
                <w:left w:val="none" w:sz="0" w:space="0" w:color="auto"/>
                <w:bottom w:val="none" w:sz="0" w:space="0" w:color="auto"/>
                <w:right w:val="none" w:sz="0" w:space="0" w:color="auto"/>
              </w:divBdr>
            </w:div>
          </w:divsChild>
        </w:div>
        <w:div w:id="1860777411">
          <w:marLeft w:val="0"/>
          <w:marRight w:val="0"/>
          <w:marTop w:val="0"/>
          <w:marBottom w:val="0"/>
          <w:divBdr>
            <w:top w:val="none" w:sz="0" w:space="0" w:color="auto"/>
            <w:left w:val="none" w:sz="0" w:space="0" w:color="auto"/>
            <w:bottom w:val="none" w:sz="0" w:space="0" w:color="auto"/>
            <w:right w:val="none" w:sz="0" w:space="0" w:color="auto"/>
          </w:divBdr>
          <w:divsChild>
            <w:div w:id="1936358899">
              <w:marLeft w:val="0"/>
              <w:marRight w:val="0"/>
              <w:marTop w:val="0"/>
              <w:marBottom w:val="0"/>
              <w:divBdr>
                <w:top w:val="none" w:sz="0" w:space="0" w:color="auto"/>
                <w:left w:val="none" w:sz="0" w:space="0" w:color="auto"/>
                <w:bottom w:val="none" w:sz="0" w:space="0" w:color="auto"/>
                <w:right w:val="none" w:sz="0" w:space="0" w:color="auto"/>
              </w:divBdr>
              <w:divsChild>
                <w:div w:id="166477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07357">
      <w:bodyDiv w:val="1"/>
      <w:marLeft w:val="0"/>
      <w:marRight w:val="0"/>
      <w:marTop w:val="0"/>
      <w:marBottom w:val="0"/>
      <w:divBdr>
        <w:top w:val="none" w:sz="0" w:space="0" w:color="auto"/>
        <w:left w:val="none" w:sz="0" w:space="0" w:color="auto"/>
        <w:bottom w:val="none" w:sz="0" w:space="0" w:color="auto"/>
        <w:right w:val="none" w:sz="0" w:space="0" w:color="auto"/>
      </w:divBdr>
      <w:divsChild>
        <w:div w:id="2114398527">
          <w:marLeft w:val="0"/>
          <w:marRight w:val="0"/>
          <w:marTop w:val="0"/>
          <w:marBottom w:val="0"/>
          <w:divBdr>
            <w:top w:val="none" w:sz="0" w:space="0" w:color="auto"/>
            <w:left w:val="none" w:sz="0" w:space="0" w:color="auto"/>
            <w:bottom w:val="none" w:sz="0" w:space="0" w:color="auto"/>
            <w:right w:val="none" w:sz="0" w:space="0" w:color="auto"/>
          </w:divBdr>
          <w:divsChild>
            <w:div w:id="1466851481">
              <w:marLeft w:val="0"/>
              <w:marRight w:val="0"/>
              <w:marTop w:val="0"/>
              <w:marBottom w:val="0"/>
              <w:divBdr>
                <w:top w:val="none" w:sz="0" w:space="0" w:color="auto"/>
                <w:left w:val="none" w:sz="0" w:space="0" w:color="auto"/>
                <w:bottom w:val="none" w:sz="0" w:space="0" w:color="auto"/>
                <w:right w:val="none" w:sz="0" w:space="0" w:color="auto"/>
              </w:divBdr>
            </w:div>
          </w:divsChild>
        </w:div>
        <w:div w:id="294609100">
          <w:marLeft w:val="0"/>
          <w:marRight w:val="0"/>
          <w:marTop w:val="0"/>
          <w:marBottom w:val="0"/>
          <w:divBdr>
            <w:top w:val="none" w:sz="0" w:space="0" w:color="auto"/>
            <w:left w:val="none" w:sz="0" w:space="0" w:color="auto"/>
            <w:bottom w:val="none" w:sz="0" w:space="0" w:color="auto"/>
            <w:right w:val="none" w:sz="0" w:space="0" w:color="auto"/>
          </w:divBdr>
          <w:divsChild>
            <w:div w:id="678120801">
              <w:marLeft w:val="0"/>
              <w:marRight w:val="0"/>
              <w:marTop w:val="0"/>
              <w:marBottom w:val="0"/>
              <w:divBdr>
                <w:top w:val="none" w:sz="0" w:space="0" w:color="auto"/>
                <w:left w:val="none" w:sz="0" w:space="0" w:color="auto"/>
                <w:bottom w:val="none" w:sz="0" w:space="0" w:color="auto"/>
                <w:right w:val="none" w:sz="0" w:space="0" w:color="auto"/>
              </w:divBdr>
              <w:divsChild>
                <w:div w:id="183213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85623">
      <w:bodyDiv w:val="1"/>
      <w:marLeft w:val="0"/>
      <w:marRight w:val="0"/>
      <w:marTop w:val="0"/>
      <w:marBottom w:val="0"/>
      <w:divBdr>
        <w:top w:val="none" w:sz="0" w:space="0" w:color="auto"/>
        <w:left w:val="none" w:sz="0" w:space="0" w:color="auto"/>
        <w:bottom w:val="none" w:sz="0" w:space="0" w:color="auto"/>
        <w:right w:val="none" w:sz="0" w:space="0" w:color="auto"/>
      </w:divBdr>
    </w:div>
    <w:div w:id="595863544">
      <w:bodyDiv w:val="1"/>
      <w:marLeft w:val="0"/>
      <w:marRight w:val="0"/>
      <w:marTop w:val="0"/>
      <w:marBottom w:val="0"/>
      <w:divBdr>
        <w:top w:val="none" w:sz="0" w:space="0" w:color="auto"/>
        <w:left w:val="none" w:sz="0" w:space="0" w:color="auto"/>
        <w:bottom w:val="none" w:sz="0" w:space="0" w:color="auto"/>
        <w:right w:val="none" w:sz="0" w:space="0" w:color="auto"/>
      </w:divBdr>
    </w:div>
    <w:div w:id="809904462">
      <w:bodyDiv w:val="1"/>
      <w:marLeft w:val="0"/>
      <w:marRight w:val="0"/>
      <w:marTop w:val="0"/>
      <w:marBottom w:val="0"/>
      <w:divBdr>
        <w:top w:val="none" w:sz="0" w:space="0" w:color="auto"/>
        <w:left w:val="none" w:sz="0" w:space="0" w:color="auto"/>
        <w:bottom w:val="none" w:sz="0" w:space="0" w:color="auto"/>
        <w:right w:val="none" w:sz="0" w:space="0" w:color="auto"/>
      </w:divBdr>
    </w:div>
    <w:div w:id="99202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K/f8606521facd11edbc0bd16e3a4d3b97?jfwid=-cpn6hslkp"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arts xmlns="http://lrs.lt/TAIS/DocParts">
  <Part Type="pagrindine" DocPartId="eb2e099258dd4196bcf9666e11ceaa92" PartId="46a0fb91daf64f5292e9262b495ae84e">
    <Part Type="preambule" DocPartId="b68f453c061a44198d6034e8509d844f" PartId="4a1e2754778e450bbfed49196cc2268c"/>
    <Part Type="pastraipa" DocPartId="cc8180f4cc3343f09fa32348a6b664ac" PartId="61e79df1cae74e789a0ffd222907bcc1"/>
  </Part>
</Par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Z6YWEJNPDQQR-896559167-651</_dlc_DocId>
    <_dlc_DocIdUrl xmlns="28130d43-1b56-4a10-ad88-2cd38123f4c1">
      <Url>https://intranetas.lrs.lt/29/_layouts/15/DocIdRedir.aspx?ID=Z6YWEJNPDQQR-896559167-651</Url>
      <Description>Z6YWEJNPDQQR-896559167-651</Description>
    </_dlc_DocIdUrl>
  </documentManagement>
</p:properties>
</file>

<file path=customXml/itemProps1.xml><?xml version="1.0" encoding="utf-8"?>
<ds:datastoreItem xmlns:ds="http://schemas.openxmlformats.org/officeDocument/2006/customXml" ds:itemID="{572F02B0-E301-4EC6-94A1-980E93393CA3}">
  <ds:schemaRefs>
    <ds:schemaRef ds:uri="http://lrs.lt/TAIS/DocParts"/>
  </ds:schemaRefs>
</ds:datastoreItem>
</file>

<file path=customXml/itemProps2.xml><?xml version="1.0" encoding="utf-8"?>
<ds:datastoreItem xmlns:ds="http://schemas.openxmlformats.org/officeDocument/2006/customXml" ds:itemID="{D27BEB69-F890-428C-9270-01759357B7F7}">
  <ds:schemaRefs>
    <ds:schemaRef ds:uri="http://schemas.openxmlformats.org/officeDocument/2006/bibliography"/>
  </ds:schemaRefs>
</ds:datastoreItem>
</file>

<file path=customXml/itemProps3.xml><?xml version="1.0" encoding="utf-8"?>
<ds:datastoreItem xmlns:ds="http://schemas.openxmlformats.org/officeDocument/2006/customXml" ds:itemID="{97D6BE6E-62E9-4557-B2D5-7FA451E2A254}"/>
</file>

<file path=customXml/itemProps4.xml><?xml version="1.0" encoding="utf-8"?>
<ds:datastoreItem xmlns:ds="http://schemas.openxmlformats.org/officeDocument/2006/customXml" ds:itemID="{E15918B8-5E06-4CF0-A7B5-976C539F51A4}"/>
</file>

<file path=customXml/itemProps5.xml><?xml version="1.0" encoding="utf-8"?>
<ds:datastoreItem xmlns:ds="http://schemas.openxmlformats.org/officeDocument/2006/customXml" ds:itemID="{767CB052-EDD1-43E0-B571-25055DCB6DB9}"/>
</file>

<file path=customXml/itemProps6.xml><?xml version="1.0" encoding="utf-8"?>
<ds:datastoreItem xmlns:ds="http://schemas.openxmlformats.org/officeDocument/2006/customXml" ds:itemID="{7DA5E125-B0B9-4A6E-AA62-10F6283EB069}"/>
</file>

<file path=docProps/app.xml><?xml version="1.0" encoding="utf-8"?>
<Properties xmlns="http://schemas.openxmlformats.org/officeDocument/2006/extended-properties" xmlns:vt="http://schemas.openxmlformats.org/officeDocument/2006/docPropsVTypes">
  <Template>Normal</Template>
  <TotalTime>381</TotalTime>
  <Pages>4</Pages>
  <Words>5405</Words>
  <Characters>3082</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GRICIŪTĖ Rasa</dc:creator>
  <cp:lastModifiedBy>KNIUKŠTIENĖ Rimantė</cp:lastModifiedBy>
  <cp:revision>25</cp:revision>
  <cp:lastPrinted>2025-10-30T09:49:00Z</cp:lastPrinted>
  <dcterms:created xsi:type="dcterms:W3CDTF">2026-03-09T10:08:00Z</dcterms:created>
  <dcterms:modified xsi:type="dcterms:W3CDTF">2026-06-16T10:48:00Z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65a81871-5b2e-40df-a470-347029746772</vt:lpwstr>
  </property>
</Properties>
</file>