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3"/>
          <w:szCs w:val="23"/>
        </w:rPr>
        <w:alias w:val="pagrindine"/>
        <w:tag w:val="part_46a0fb91daf64f5292e9262b495ae84e"/>
        <w:id w:val="1957282416"/>
        <w:lock w:val="sdtLocked"/>
      </w:sdtPr>
      <w:sdtEndPr/>
      <w:sdtContent>
        <w:p w:rsidR="005427A1" w:rsidRPr="00D627CE" w:rsidRDefault="005427A1">
          <w:pPr>
            <w:tabs>
              <w:tab w:val="center" w:pos="4819"/>
              <w:tab w:val="right" w:pos="9638"/>
            </w:tabs>
            <w:rPr>
              <w:rFonts w:ascii="CG Times" w:hAnsi="CG Times"/>
              <w:sz w:val="23"/>
              <w:szCs w:val="23"/>
            </w:rPr>
          </w:pPr>
        </w:p>
        <w:p w:rsidR="005427A1" w:rsidRPr="00D627CE" w:rsidRDefault="00AC3DB9">
          <w:pPr>
            <w:jc w:val="center"/>
            <w:rPr>
              <w:sz w:val="23"/>
              <w:szCs w:val="23"/>
            </w:rPr>
          </w:pPr>
          <w:r w:rsidRPr="00D627CE">
            <w:rPr>
              <w:noProof/>
              <w:sz w:val="23"/>
              <w:szCs w:val="23"/>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D627CE" w:rsidRDefault="005427A1">
          <w:pPr>
            <w:ind w:firstLine="851"/>
            <w:jc w:val="center"/>
            <w:rPr>
              <w:sz w:val="23"/>
              <w:szCs w:val="23"/>
            </w:rPr>
          </w:pPr>
        </w:p>
        <w:p w:rsidR="005427A1" w:rsidRPr="001136B4" w:rsidRDefault="00AC3DB9">
          <w:pPr>
            <w:jc w:val="center"/>
            <w:rPr>
              <w:b/>
              <w:bCs/>
              <w:szCs w:val="24"/>
            </w:rPr>
          </w:pPr>
          <w:r w:rsidRPr="001136B4">
            <w:rPr>
              <w:b/>
              <w:bCs/>
              <w:szCs w:val="24"/>
            </w:rPr>
            <w:t>LIETUVOS RESPUBLIKOS SEIMO</w:t>
          </w:r>
        </w:p>
        <w:p w:rsidR="005427A1" w:rsidRPr="001136B4" w:rsidRDefault="00AC3DB9">
          <w:pPr>
            <w:spacing w:line="360" w:lineRule="auto"/>
            <w:jc w:val="center"/>
            <w:rPr>
              <w:b/>
              <w:bCs/>
              <w:spacing w:val="4"/>
              <w:szCs w:val="24"/>
            </w:rPr>
          </w:pPr>
          <w:r w:rsidRPr="001136B4">
            <w:rPr>
              <w:b/>
              <w:bCs/>
              <w:spacing w:val="4"/>
              <w:szCs w:val="24"/>
            </w:rPr>
            <w:t>PETICIJŲ KOMISIJA</w:t>
          </w:r>
        </w:p>
        <w:p w:rsidR="005427A1" w:rsidRPr="001136B4" w:rsidRDefault="00AC3DB9">
          <w:pPr>
            <w:spacing w:line="360" w:lineRule="auto"/>
            <w:jc w:val="center"/>
            <w:rPr>
              <w:rFonts w:eastAsia="Calibri"/>
              <w:b/>
              <w:szCs w:val="24"/>
            </w:rPr>
          </w:pPr>
          <w:r w:rsidRPr="001136B4">
            <w:rPr>
              <w:rFonts w:eastAsia="Calibri"/>
              <w:b/>
              <w:szCs w:val="24"/>
            </w:rPr>
            <w:t>IŠVADA</w:t>
          </w:r>
        </w:p>
        <w:p w:rsidR="005427A1" w:rsidRPr="001136B4" w:rsidRDefault="00AC3DB9">
          <w:pPr>
            <w:spacing w:line="360" w:lineRule="auto"/>
            <w:jc w:val="center"/>
            <w:rPr>
              <w:rFonts w:eastAsia="Calibri"/>
              <w:b/>
              <w:szCs w:val="24"/>
            </w:rPr>
          </w:pPr>
          <w:r w:rsidRPr="001136B4">
            <w:rPr>
              <w:rFonts w:eastAsia="Calibri"/>
              <w:b/>
              <w:szCs w:val="24"/>
            </w:rPr>
            <w:t>DĖL PETICIJOJE PATEIKTO SIŪLYMO NETENKINIMO</w:t>
          </w:r>
        </w:p>
        <w:p w:rsidR="005427A1" w:rsidRPr="001136B4" w:rsidRDefault="008709C3">
          <w:pPr>
            <w:spacing w:line="360" w:lineRule="auto"/>
            <w:jc w:val="center"/>
            <w:rPr>
              <w:rFonts w:eastAsia="Calibri"/>
              <w:szCs w:val="24"/>
              <w:lang w:val="en-US"/>
            </w:rPr>
          </w:pPr>
          <w:r w:rsidRPr="001136B4">
            <w:rPr>
              <w:rFonts w:eastAsia="Calibri"/>
              <w:szCs w:val="24"/>
            </w:rPr>
            <w:t xml:space="preserve">2024 m. rugsėjo </w:t>
          </w:r>
          <w:r w:rsidRPr="001136B4">
            <w:rPr>
              <w:rFonts w:eastAsia="Calibri"/>
              <w:szCs w:val="24"/>
              <w:lang w:val="en-US"/>
            </w:rPr>
            <w:t>2</w:t>
          </w:r>
          <w:r w:rsidRPr="001136B4">
            <w:rPr>
              <w:rFonts w:eastAsia="Calibri"/>
              <w:szCs w:val="24"/>
            </w:rPr>
            <w:t xml:space="preserve"> d. Nr. 250-I-24</w:t>
          </w:r>
        </w:p>
        <w:p w:rsidR="005427A1" w:rsidRPr="001136B4" w:rsidRDefault="00AC3DB9">
          <w:pPr>
            <w:spacing w:line="360" w:lineRule="auto"/>
            <w:jc w:val="center"/>
            <w:rPr>
              <w:rFonts w:eastAsia="Calibri"/>
              <w:szCs w:val="24"/>
            </w:rPr>
          </w:pPr>
          <w:r w:rsidRPr="001136B4">
            <w:rPr>
              <w:rFonts w:eastAsia="Calibri"/>
              <w:szCs w:val="24"/>
            </w:rPr>
            <w:t>Vilnius</w:t>
          </w:r>
        </w:p>
        <w:p w:rsidR="005427A1" w:rsidRPr="001136B4" w:rsidRDefault="005427A1">
          <w:pPr>
            <w:spacing w:line="360" w:lineRule="auto"/>
            <w:jc w:val="center"/>
            <w:rPr>
              <w:rFonts w:eastAsia="Calibri"/>
              <w:szCs w:val="24"/>
            </w:rPr>
          </w:pPr>
        </w:p>
        <w:sdt>
          <w:sdtPr>
            <w:rPr>
              <w:color w:val="auto"/>
              <w:szCs w:val="20"/>
              <w:lang w:eastAsia="en-US"/>
            </w:rPr>
            <w:alias w:val="preambule"/>
            <w:tag w:val="part_4a1e2754778e450bbfed49196cc2268c"/>
            <w:id w:val="-236793222"/>
            <w:lock w:val="sdtLocked"/>
          </w:sdtPr>
          <w:sdtEndPr/>
          <w:sdtContent>
            <w:p w:rsidR="007D2F42" w:rsidRPr="001136B4" w:rsidRDefault="00AC3DB9" w:rsidP="008F1AA2">
              <w:pPr>
                <w:pStyle w:val="Default"/>
                <w:spacing w:line="360" w:lineRule="auto"/>
                <w:ind w:firstLine="720"/>
                <w:jc w:val="both"/>
              </w:pPr>
              <w:r w:rsidRPr="001136B4">
                <w:t>Lietuvos Respublikos Seimo Pe</w:t>
              </w:r>
              <w:r w:rsidR="00FF75B2" w:rsidRPr="001136B4">
                <w:t xml:space="preserve">ticijų komisija </w:t>
              </w:r>
              <w:r w:rsidR="00C145A4" w:rsidRPr="001136B4">
                <w:t xml:space="preserve">(toliau – Komisija) </w:t>
              </w:r>
              <w:r w:rsidR="008709C3" w:rsidRPr="001136B4">
                <w:t xml:space="preserve">2024 m. rugsėjo </w:t>
              </w:r>
              <w:r w:rsidR="008709C3" w:rsidRPr="001136B4">
                <w:rPr>
                  <w:lang w:val="en-US"/>
                </w:rPr>
                <w:t>2</w:t>
              </w:r>
              <w:r w:rsidRPr="001136B4">
                <w:t xml:space="preserve"> d.</w:t>
              </w:r>
              <w:r w:rsidR="00916CF8" w:rsidRPr="001136B4">
                <w:t xml:space="preserve"> posėdyje išnagrinėjo pareiškėjo</w:t>
              </w:r>
              <w:r w:rsidRPr="001136B4">
                <w:t xml:space="preserve"> petic</w:t>
              </w:r>
              <w:r w:rsidR="00D92E3C" w:rsidRPr="001136B4">
                <w:t>iją, kurioje pateiktas siūlymas</w:t>
              </w:r>
              <w:r w:rsidR="00D92E3C" w:rsidRPr="001136B4">
                <w:rPr>
                  <w:color w:val="1F4E79" w:themeColor="accent1" w:themeShade="80"/>
                  <w:lang w:bidi="bn-IN"/>
                </w:rPr>
                <w:t xml:space="preserve"> </w:t>
              </w:r>
              <w:r w:rsidR="008F1AA2" w:rsidRPr="001136B4">
                <w:t>papildyti Lietuvos Respublikos bausmių vykdymo kodekso (toliau – BVK) 35 straipsnio 3 dalies 6 punktą nuostata, kuri leistų nuteistiesiems parvykti į namus jų nedarbingumo metu (išskyrus atvejus, kai sergama užkrečiama ar infekcine liga)</w:t>
              </w:r>
              <w:r w:rsidR="00D92E3C" w:rsidRPr="001136B4">
                <w:t xml:space="preserve"> </w:t>
              </w:r>
              <w:r w:rsidR="00945D27" w:rsidRPr="001136B4">
                <w:rPr>
                  <w:rFonts w:eastAsia="Calibri"/>
                </w:rPr>
                <w:t xml:space="preserve">ir priėmė sprendimą </w:t>
              </w:r>
              <w:r w:rsidR="00945D27" w:rsidRPr="001136B4">
                <w:t xml:space="preserve">teikti Seimui išvadą </w:t>
              </w:r>
              <w:r w:rsidR="00945D27" w:rsidRPr="001136B4">
                <w:rPr>
                  <w:rFonts w:eastAsia="Calibri"/>
                </w:rPr>
                <w:t>netenkinti šio siūlymo.</w:t>
              </w:r>
              <w:r w:rsidR="00D627CE" w:rsidRPr="001136B4">
                <w:rPr>
                  <w:rFonts w:eastAsia="Calibri"/>
                </w:rPr>
                <w:t xml:space="preserve"> </w:t>
              </w:r>
              <w:r w:rsidR="00C145A4" w:rsidRPr="001136B4">
                <w:t>K</w:t>
              </w:r>
              <w:r w:rsidR="00FF75B2" w:rsidRPr="001136B4">
                <w:t>omisija</w:t>
              </w:r>
              <w:r w:rsidR="00F60FE9" w:rsidRPr="001136B4">
                <w:rPr>
                  <w:rFonts w:eastAsia="Calibri"/>
                </w:rPr>
                <w:t xml:space="preserve"> sprendimą priė</w:t>
              </w:r>
              <w:r w:rsidR="00FF75B2" w:rsidRPr="001136B4">
                <w:rPr>
                  <w:rFonts w:eastAsia="Calibri"/>
                </w:rPr>
                <w:t>mė</w:t>
              </w:r>
              <w:r w:rsidR="00945D27" w:rsidRPr="001136B4">
                <w:rPr>
                  <w:rFonts w:eastAsia="Calibri"/>
                </w:rPr>
                <w:t xml:space="preserve"> atsižvelgus</w:t>
              </w:r>
              <w:r w:rsidR="00FF75B2" w:rsidRPr="001136B4">
                <w:rPr>
                  <w:rFonts w:eastAsia="Calibri"/>
                </w:rPr>
                <w:t>i</w:t>
              </w:r>
              <w:r w:rsidR="00945D27" w:rsidRPr="001136B4">
                <w:rPr>
                  <w:rFonts w:eastAsia="Calibri"/>
                </w:rPr>
                <w:t xml:space="preserve"> į Lietuvos Respublikos </w:t>
              </w:r>
              <w:r w:rsidR="00C91424" w:rsidRPr="001136B4">
                <w:t>teisingumo</w:t>
              </w:r>
              <w:r w:rsidR="00D92E3C" w:rsidRPr="001136B4">
                <w:t xml:space="preserve"> ministerijos </w:t>
              </w:r>
              <w:r w:rsidR="00C91424" w:rsidRPr="001136B4">
                <w:rPr>
                  <w:rFonts w:eastAsia="Calibri"/>
                </w:rPr>
                <w:t xml:space="preserve">ir Lietuvos kalėjimų tarnybos nuomonę </w:t>
              </w:r>
              <w:r w:rsidR="00945D27" w:rsidRPr="001136B4">
                <w:rPr>
                  <w:rFonts w:eastAsia="Calibri"/>
                </w:rPr>
                <w:t>dėl peticijoje pateikto siūlymo.</w:t>
              </w:r>
              <w:r w:rsidR="00916CF8" w:rsidRPr="001136B4">
                <w:t xml:space="preserve"> </w:t>
              </w:r>
            </w:p>
            <w:p w:rsidR="008F1AA2" w:rsidRPr="001136B4" w:rsidRDefault="008F1AA2" w:rsidP="008F1AA2">
              <w:pPr>
                <w:pStyle w:val="Antrats"/>
                <w:tabs>
                  <w:tab w:val="left" w:pos="1296"/>
                </w:tabs>
                <w:spacing w:line="360" w:lineRule="auto"/>
                <w:ind w:firstLine="851"/>
                <w:jc w:val="both"/>
                <w:rPr>
                  <w:sz w:val="24"/>
                  <w:szCs w:val="24"/>
                </w:rPr>
              </w:pPr>
              <w:r w:rsidRPr="001136B4">
                <w:rPr>
                  <w:sz w:val="24"/>
                  <w:szCs w:val="24"/>
                </w:rPr>
                <w:t>BVK 35 straipsnio 3 dalies 6 punkte nustatyta teisė nuteistiesiems, atliekantiems bausmę atviro tipo bausmės atlikimo vietoje, kartą per savaitę iki dviejų parų ne darbo metu (t. y. savo poilsio/laisvalaikio) parvykti į Lietuvos Respublikos teritorijoje esančius namus ar aplankyti Lietuvos Respublikos teritorijoje gyvenančius artimuosius. Sprendžiant klausimą dėl leidimo nuteistajam, atliekančiam bausmę atvirto tipo bausmės atlikimo vietoje, parvykti į namus ar aplankyti artimuosius turi būti vertinamas jo elgesys, t. y. ar jis neturi drausminių nuobaudų arba neįvykdytų administracinių nuobaudų ar administracinio poveikio priemonių. Taigi BVK 35 straipsnio 3 dalies 6 punkto redakcija neapriboja laisvės atėmimo vietų įstaigos administracijos galimybių išleisti nuteistąjį į namus ar aplankyti artimuosius, kai jis turi nedarbingumą, tačiau sprendžiant šį klausimą, būtina atsižvelgti ir į kitus teisės aktus, reglamentuojančius asmenų elgesį jų laikinojo nedarbingumo metu. BVK 68 straipsnio 5 dalies 4 punkte nustatyta, kad trumpalaikė išvyka į namus nesuteikiama pusiau atviro tipo bausmės atlikimo vietų lengvojoje grupėje bausmę atliekantiems nuteistiesiems „</w:t>
              </w:r>
              <w:r w:rsidRPr="001136B4">
                <w:rPr>
                  <w:i/>
                  <w:iCs/>
                  <w:sz w:val="24"/>
                  <w:szCs w:val="24"/>
                </w:rPr>
                <w:t>sergantiems pavojingomis arba ypač pavojingomis užkrečiamosiomis ligomis, kurios plinta oro lašeliniu būdu;</w:t>
              </w:r>
              <w:r w:rsidRPr="001136B4">
                <w:rPr>
                  <w:sz w:val="24"/>
                  <w:szCs w:val="24"/>
                </w:rPr>
                <w:t>“.</w:t>
              </w:r>
            </w:p>
            <w:p w:rsidR="008F1AA2" w:rsidRPr="001136B4" w:rsidRDefault="008F1AA2" w:rsidP="008F1AA2">
              <w:pPr>
                <w:tabs>
                  <w:tab w:val="left" w:pos="1134"/>
                </w:tabs>
                <w:spacing w:line="360" w:lineRule="auto"/>
                <w:ind w:right="40" w:firstLine="851"/>
                <w:jc w:val="both"/>
                <w:outlineLvl w:val="0"/>
                <w:rPr>
                  <w:szCs w:val="24"/>
                </w:rPr>
              </w:pPr>
              <w:r w:rsidRPr="001136B4">
                <w:rPr>
                  <w:szCs w:val="24"/>
                </w:rPr>
                <w:t xml:space="preserve">Pažymėtina, kad laikinojo nedarbingumo dėl ligos metu asmuo turi visas jėgas sutelkti į savo sveikatą, griežtai laikytis gydytojo nustatyto gydymosi režimo ir elgtis taip, kad jo veiksmai neužtęstų ligos trukmės. Siekiant užtikrinti, kad laikinasis nedarbingumas truktų tik tiek, kiek reikalinga asmens darbingumui atstatyti ir nebūtų piktnaudžiaujama laikinojo nedarbingumo suteikiamomis naudomis (pavyzdžiui, ligos išmokomis), laikinai nedarbingais pripažinti asmenys </w:t>
              </w:r>
              <w:r w:rsidRPr="001136B4">
                <w:rPr>
                  <w:szCs w:val="24"/>
                </w:rPr>
                <w:lastRenderedPageBreak/>
                <w:t>privalo griežtai laikytis Elektroninių nedarbingumo pažymėjimų bei elektroninių nėštumo ir gimdymo atostogų pažymėjimų išdavimo taisyklėse (toliau – Nedarbingumo pažymėjimų išdavimo taisyklės), patvirtintose Lietuvos Respublikos sveikatos apsaugos ministro ir Lietuvos Respublikos socialinės apsaugos ir darbo ministro 2005 m. birželio 30 d. įsakymu Nr. V-533/A1-189 „</w:t>
              </w:r>
              <w:r w:rsidRPr="001136B4">
                <w:rPr>
                  <w:rStyle w:val="clear"/>
                  <w:szCs w:val="24"/>
                </w:rPr>
                <w:t xml:space="preserve">Dėl teisės aktų, susijusių su elektroniniais nedarbingumo pažymėjimais bei elektroniniais nėštumo ir gimdymo atostogų pažymėjimais, patvirtinimo“, </w:t>
              </w:r>
              <w:r w:rsidRPr="001136B4">
                <w:rPr>
                  <w:szCs w:val="24"/>
                </w:rPr>
                <w:t xml:space="preserve">nustatytų </w:t>
              </w:r>
              <w:bookmarkStart w:id="0" w:name="_Hlk173242583"/>
              <w:r w:rsidRPr="001136B4">
                <w:rPr>
                  <w:szCs w:val="24"/>
                </w:rPr>
                <w:t>elgesio taisyklių nedarbingumo metu</w:t>
              </w:r>
              <w:bookmarkEnd w:id="0"/>
              <w:r w:rsidRPr="001136B4">
                <w:rPr>
                  <w:szCs w:val="24"/>
                </w:rPr>
                <w:t xml:space="preserve">, su kuriomis jie supažindami pasirašytinai. Vienoje iš elgesio taisyklių įtvirtinta, kad </w:t>
              </w:r>
              <w:r w:rsidRPr="001136B4">
                <w:rPr>
                  <w:rStyle w:val="clear"/>
                  <w:szCs w:val="24"/>
                </w:rPr>
                <w:t>bet koks asmens, kuriam išduotas laikinojo nedarbingumo pažymėjimas, keliavimas (išskyrus vykimą į asmens sveikatos priežiūros įstaigas) yra laikomas elgesio taisyklių laikinojo nedarbingumo metu pažeidimu (</w:t>
              </w:r>
              <w:r w:rsidRPr="001136B4">
                <w:rPr>
                  <w:szCs w:val="24"/>
                </w:rPr>
                <w:t xml:space="preserve">Nedarbingumo pažymėjimų išdavimo taisyklių </w:t>
              </w:r>
              <w:r w:rsidRPr="001136B4">
                <w:rPr>
                  <w:rStyle w:val="clear"/>
                  <w:szCs w:val="24"/>
                </w:rPr>
                <w:t>51.6 papunktis). Nuteistieji, kurie atlieka b</w:t>
              </w:r>
              <w:r w:rsidRPr="001136B4">
                <w:rPr>
                  <w:szCs w:val="24"/>
                </w:rPr>
                <w:t>ausmę atviro tipo bausmės atlikimo vietose, yra įtraukti į nacionalinę socialinio draudimo sistemą, todėl paminėtos elgesio taisyklės nedarbingumo metu</w:t>
              </w:r>
              <w:r w:rsidRPr="001136B4">
                <w:rPr>
                  <w:rStyle w:val="clear"/>
                  <w:szCs w:val="24"/>
                </w:rPr>
                <w:t xml:space="preserve"> jiems taip pat yra taikomos. </w:t>
              </w:r>
              <w:r w:rsidRPr="001136B4">
                <w:rPr>
                  <w:szCs w:val="24"/>
                </w:rPr>
                <w:t xml:space="preserve">Taigi, net ir pakeitus BVK nuostatas, minėtiems nuteistiesiems išliktų pareiga laikytis </w:t>
              </w:r>
              <w:bookmarkStart w:id="1" w:name="_Hlk173243107"/>
              <w:r w:rsidRPr="001136B4">
                <w:rPr>
                  <w:szCs w:val="24"/>
                </w:rPr>
                <w:t xml:space="preserve">elgesio taisyklių nedarbingumo metu </w:t>
              </w:r>
              <w:bookmarkEnd w:id="1"/>
              <w:r w:rsidRPr="001136B4">
                <w:rPr>
                  <w:szCs w:val="24"/>
                </w:rPr>
                <w:t xml:space="preserve">(įskaitant ir draudimą keliauti) ir sutelkti dėmesį į savo sveikatą, o Lietuvos kalėjimų tarnybai, kuriai be kita ko, pavesta atlikti laisvės atėmimo vietų įstaigoje laikomų asmenų teisės pažeidimų prevenciją – kontroliuoti, kad nurodyti nuteistieji tinkamai vykdytų jiems teisės aktų nustatytas pareigas/elgesio taisykles. </w:t>
              </w:r>
            </w:p>
            <w:p w:rsidR="008F1AA2" w:rsidRPr="001136B4" w:rsidRDefault="008F1AA2" w:rsidP="00FC7E67">
              <w:pPr>
                <w:tabs>
                  <w:tab w:val="left" w:pos="1134"/>
                </w:tabs>
                <w:spacing w:line="360" w:lineRule="auto"/>
                <w:ind w:right="40" w:firstLine="851"/>
                <w:jc w:val="both"/>
                <w:outlineLvl w:val="0"/>
                <w:rPr>
                  <w:szCs w:val="24"/>
                </w:rPr>
              </w:pPr>
              <w:r w:rsidRPr="001136B4">
                <w:rPr>
                  <w:szCs w:val="24"/>
                </w:rPr>
                <w:t xml:space="preserve">Apibendrinant šiame rašte paminėtus aspektus, akcentuotina, kad </w:t>
              </w:r>
              <w:r w:rsidRPr="001136B4">
                <w:rPr>
                  <w:rStyle w:val="clear"/>
                  <w:szCs w:val="24"/>
                </w:rPr>
                <w:t>l</w:t>
              </w:r>
              <w:r w:rsidRPr="001136B4">
                <w:rPr>
                  <w:szCs w:val="24"/>
                </w:rPr>
                <w:t xml:space="preserve">aikinas nedarbingumas neturėtų būti sutapatinamas su nuteistojo laisvu nuo darbo/poilsio laiku (kas iš esmės siūloma peticijoje) ir kurį jis gali panaudoti savo poreikiams tenkinti (o taip pat ir parvykimui į namus ar pas artimuosius). Šio nedarbingumo metu nuteistasis turėtų rūpintis savo sveikata ir neatlikti jokių veiksmų, kurie jo nedarbingumo pabaigą tik atitolintų. </w:t>
              </w:r>
            </w:p>
            <w:p w:rsidR="005427A1" w:rsidRPr="001136B4" w:rsidRDefault="00F60FE9" w:rsidP="00D92E3C">
              <w:pPr>
                <w:spacing w:line="360" w:lineRule="auto"/>
                <w:ind w:firstLine="709"/>
                <w:jc w:val="both"/>
                <w:rPr>
                  <w:szCs w:val="24"/>
                </w:rPr>
              </w:pPr>
              <w:r w:rsidRPr="001136B4">
                <w:rPr>
                  <w:rFonts w:eastAsia="Calibri"/>
                  <w:szCs w:val="24"/>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w:t>
              </w:r>
              <w:r w:rsidR="0070031F">
                <w:rPr>
                  <w:rFonts w:eastAsia="Calibri"/>
                  <w:szCs w:val="24"/>
                  <w:lang w:eastAsia="ar-SA"/>
                </w:rPr>
                <w:t xml:space="preserve">at siūloma įtraukti į Seimo </w:t>
              </w:r>
              <w:bookmarkStart w:id="2" w:name="_GoBack"/>
              <w:bookmarkEnd w:id="2"/>
              <w:r w:rsidR="00C91424" w:rsidRPr="001136B4">
                <w:rPr>
                  <w:rFonts w:eastAsia="Calibri"/>
                  <w:szCs w:val="24"/>
                  <w:lang w:eastAsia="ar-SA"/>
                </w:rPr>
                <w:t>IX (rudens</w:t>
              </w:r>
              <w:r w:rsidRPr="001136B4">
                <w:rPr>
                  <w:rFonts w:eastAsia="Calibri"/>
                  <w:szCs w:val="24"/>
                  <w:lang w:eastAsia="ar-SA"/>
                </w:rPr>
                <w:t>) sesijos darbotvarkę Seimo nutarimo „Dėl Lietuvos Respublikos Seimo Peticijų komisijos 202</w:t>
              </w:r>
              <w:r w:rsidRPr="001136B4">
                <w:rPr>
                  <w:rFonts w:eastAsia="Calibri"/>
                  <w:szCs w:val="24"/>
                  <w:lang w:val="en-US" w:eastAsia="ar-SA"/>
                </w:rPr>
                <w:t>4</w:t>
              </w:r>
              <w:r w:rsidR="00C91424" w:rsidRPr="001136B4">
                <w:rPr>
                  <w:rFonts w:eastAsia="Calibri"/>
                  <w:szCs w:val="24"/>
                  <w:lang w:eastAsia="ar-SA"/>
                </w:rPr>
                <w:t xml:space="preserve"> m. rugsėjo </w:t>
              </w:r>
              <w:r w:rsidR="00C91424" w:rsidRPr="001136B4">
                <w:rPr>
                  <w:rFonts w:eastAsia="Calibri"/>
                  <w:szCs w:val="24"/>
                  <w:lang w:val="en-US" w:eastAsia="ar-SA"/>
                </w:rPr>
                <w:t>2</w:t>
              </w:r>
              <w:r w:rsidRPr="001136B4">
                <w:rPr>
                  <w:rFonts w:eastAsia="Calibri"/>
                  <w:szCs w:val="24"/>
                  <w:lang w:val="en-US" w:eastAsia="ar-SA"/>
                </w:rPr>
                <w:t xml:space="preserve"> </w:t>
              </w:r>
              <w:r w:rsidR="00C91424" w:rsidRPr="001136B4">
                <w:rPr>
                  <w:rFonts w:eastAsia="Calibri"/>
                  <w:szCs w:val="24"/>
                  <w:lang w:eastAsia="ar-SA"/>
                </w:rPr>
                <w:t>d. išvados Nr. 250-I-24</w:t>
              </w:r>
              <w:r w:rsidRPr="001136B4">
                <w:rPr>
                  <w:rFonts w:eastAsia="Calibri"/>
                  <w:szCs w:val="24"/>
                  <w:lang w:eastAsia="ar-SA"/>
                </w:rPr>
                <w:t>“ projektą.</w:t>
              </w:r>
            </w:p>
          </w:sdtContent>
        </w:sdt>
        <w:sdt>
          <w:sdtPr>
            <w:rPr>
              <w:szCs w:val="24"/>
            </w:rPr>
            <w:alias w:val="pastraipa"/>
            <w:tag w:val="part_61e79df1cae74e789a0ffd222907bcc1"/>
            <w:id w:val="149337873"/>
            <w:lock w:val="sdtLocked"/>
          </w:sdtPr>
          <w:sdtEndPr>
            <w:rPr>
              <w:sz w:val="23"/>
              <w:szCs w:val="23"/>
            </w:rPr>
          </w:sdtEndPr>
          <w:sdtContent>
            <w:p w:rsidR="00F60FE9" w:rsidRPr="001136B4" w:rsidRDefault="00F60FE9" w:rsidP="00F60FE9">
              <w:pPr>
                <w:spacing w:line="360" w:lineRule="auto"/>
                <w:jc w:val="both"/>
                <w:rPr>
                  <w:rFonts w:eastAsia="Calibri"/>
                  <w:szCs w:val="24"/>
                  <w:lang w:eastAsia="ar-SA"/>
                </w:rPr>
              </w:pPr>
            </w:p>
            <w:p w:rsidR="005427A1" w:rsidRPr="004E5D57" w:rsidRDefault="00AC3DB9">
              <w:pPr>
                <w:tabs>
                  <w:tab w:val="left" w:pos="1134"/>
                </w:tabs>
                <w:spacing w:line="360" w:lineRule="auto"/>
                <w:jc w:val="both"/>
                <w:rPr>
                  <w:rFonts w:eastAsia="Calibri"/>
                  <w:szCs w:val="24"/>
                  <w:lang w:eastAsia="ar-SA"/>
                </w:rPr>
              </w:pPr>
              <w:r w:rsidRPr="004E5D57">
                <w:rPr>
                  <w:rFonts w:eastAsia="Calibri"/>
                  <w:szCs w:val="24"/>
                  <w:lang w:eastAsia="ar-SA"/>
                </w:rPr>
                <w:t>Komisijos pirmininkas</w:t>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t>Edmundas Pupinis</w:t>
              </w:r>
            </w:p>
            <w:p w:rsidR="007D2F42" w:rsidRDefault="007D2F42">
              <w:pPr>
                <w:tabs>
                  <w:tab w:val="left" w:pos="1134"/>
                </w:tabs>
                <w:spacing w:line="360" w:lineRule="auto"/>
                <w:jc w:val="both"/>
                <w:rPr>
                  <w:rFonts w:eastAsia="Calibri"/>
                  <w:sz w:val="23"/>
                  <w:szCs w:val="23"/>
                  <w:lang w:eastAsia="ar-SA"/>
                </w:rPr>
              </w:pPr>
            </w:p>
            <w:p w:rsidR="005427A1" w:rsidRPr="00D627CE" w:rsidRDefault="00AC3DB9">
              <w:pPr>
                <w:tabs>
                  <w:tab w:val="left" w:pos="1134"/>
                </w:tabs>
                <w:spacing w:line="360" w:lineRule="auto"/>
                <w:jc w:val="both"/>
                <w:rPr>
                  <w:rFonts w:eastAsia="Calibri"/>
                  <w:sz w:val="23"/>
                  <w:szCs w:val="23"/>
                </w:rPr>
              </w:pPr>
              <w:r w:rsidRPr="00D627CE">
                <w:rPr>
                  <w:rFonts w:eastAsia="Calibri"/>
                  <w:sz w:val="23"/>
                  <w:szCs w:val="23"/>
                  <w:lang w:eastAsia="ar-SA"/>
                </w:rPr>
                <w:t>R. Kniukštienė, tel. (0 5)  209 6</w:t>
              </w:r>
              <w:r w:rsidRPr="00D627CE">
                <w:rPr>
                  <w:rFonts w:eastAsia="Calibri"/>
                  <w:sz w:val="23"/>
                  <w:szCs w:val="23"/>
                  <w:lang w:val="en-US" w:eastAsia="ar-SA"/>
                </w:rPr>
                <w:t>591</w:t>
              </w:r>
              <w:r w:rsidRPr="00D627CE">
                <w:rPr>
                  <w:rFonts w:eastAsia="Calibri"/>
                  <w:sz w:val="23"/>
                  <w:szCs w:val="23"/>
                  <w:lang w:eastAsia="ar-SA"/>
                </w:rPr>
                <w:t>, el. p. rimante.kniukstiene@lrs.lt</w:t>
              </w:r>
            </w:p>
          </w:sdtContent>
        </w:sdt>
      </w:sdtContent>
    </w:sdt>
    <w:sectPr w:rsidR="005427A1" w:rsidRPr="00D627C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70031F">
      <w:rPr>
        <w:noProof/>
        <w:szCs w:val="24"/>
      </w:rPr>
      <w:t>2</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1136B4"/>
    <w:rsid w:val="00121904"/>
    <w:rsid w:val="00125A79"/>
    <w:rsid w:val="0013463E"/>
    <w:rsid w:val="00245A5E"/>
    <w:rsid w:val="002F53CF"/>
    <w:rsid w:val="002F7036"/>
    <w:rsid w:val="003364F0"/>
    <w:rsid w:val="004C29E9"/>
    <w:rsid w:val="004E5D57"/>
    <w:rsid w:val="005427A1"/>
    <w:rsid w:val="00590DC6"/>
    <w:rsid w:val="00593097"/>
    <w:rsid w:val="005A0810"/>
    <w:rsid w:val="006A4651"/>
    <w:rsid w:val="006F6DD9"/>
    <w:rsid w:val="0070031F"/>
    <w:rsid w:val="007A014D"/>
    <w:rsid w:val="007D2F42"/>
    <w:rsid w:val="00834AA6"/>
    <w:rsid w:val="008709C3"/>
    <w:rsid w:val="008D131C"/>
    <w:rsid w:val="008F1AA2"/>
    <w:rsid w:val="0091178E"/>
    <w:rsid w:val="00913CCE"/>
    <w:rsid w:val="00916CF8"/>
    <w:rsid w:val="00945D27"/>
    <w:rsid w:val="00AC3DB9"/>
    <w:rsid w:val="00AE7509"/>
    <w:rsid w:val="00B80D4B"/>
    <w:rsid w:val="00BF5B1D"/>
    <w:rsid w:val="00C145A4"/>
    <w:rsid w:val="00C5060C"/>
    <w:rsid w:val="00C72C80"/>
    <w:rsid w:val="00C91424"/>
    <w:rsid w:val="00D627CE"/>
    <w:rsid w:val="00D92E3C"/>
    <w:rsid w:val="00DA51E1"/>
    <w:rsid w:val="00E560F5"/>
    <w:rsid w:val="00F60FE9"/>
    <w:rsid w:val="00FA0059"/>
    <w:rsid w:val="00FC7E67"/>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5BACE"/>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basedOn w:val="prastasis"/>
    <w:link w:val="AntratsDiagrama"/>
    <w:rsid w:val="008F1AA2"/>
    <w:pPr>
      <w:tabs>
        <w:tab w:val="center" w:pos="4320"/>
        <w:tab w:val="right" w:pos="8640"/>
      </w:tabs>
    </w:pPr>
    <w:rPr>
      <w:sz w:val="20"/>
    </w:rPr>
  </w:style>
  <w:style w:type="character" w:customStyle="1" w:styleId="AntratsDiagrama">
    <w:name w:val="Antraštės Diagrama"/>
    <w:basedOn w:val="Numatytasispastraiposriftas"/>
    <w:link w:val="Antrats"/>
    <w:rsid w:val="008F1AA2"/>
    <w:rPr>
      <w:sz w:val="20"/>
    </w:rPr>
  </w:style>
  <w:style w:type="character" w:customStyle="1" w:styleId="clear">
    <w:name w:val="clear"/>
    <w:basedOn w:val="Numatytasispastraiposriftas"/>
    <w:rsid w:val="008F1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Z6YWEJNPDQQR-896559167-489</_dlc_DocId>
    <_dlc_DocIdUrl xmlns="28130d43-1b56-4a10-ad88-2cd38123f4c1">
      <Url>https://intranetas.lrs.lt/29/_layouts/15/DocIdRedir.aspx?ID=Z6YWEJNPDQQR-896559167-489</Url>
      <Description>Z6YWEJNPDQQR-896559167-489</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5232D7E0-6C74-49B3-BCE6-47531366D15B}">
  <ds:schemaRefs>
    <ds:schemaRef ds:uri="http://schemas.openxmlformats.org/officeDocument/2006/bibliography"/>
  </ds:schemaRefs>
</ds:datastoreItem>
</file>

<file path=customXml/itemProps3.xml><?xml version="1.0" encoding="utf-8"?>
<ds:datastoreItem xmlns:ds="http://schemas.openxmlformats.org/officeDocument/2006/customXml" ds:itemID="{1CA4A636-B845-4DDB-A431-5129D14E4B14}"/>
</file>

<file path=customXml/itemProps4.xml><?xml version="1.0" encoding="utf-8"?>
<ds:datastoreItem xmlns:ds="http://schemas.openxmlformats.org/officeDocument/2006/customXml" ds:itemID="{22EC78A9-8E3E-448D-AD52-425148EB63FF}"/>
</file>

<file path=customXml/itemProps5.xml><?xml version="1.0" encoding="utf-8"?>
<ds:datastoreItem xmlns:ds="http://schemas.openxmlformats.org/officeDocument/2006/customXml" ds:itemID="{73D2236F-D49F-4A9E-AFFA-7788DD3820E2}"/>
</file>

<file path=customXml/itemProps6.xml><?xml version="1.0" encoding="utf-8"?>
<ds:datastoreItem xmlns:ds="http://schemas.openxmlformats.org/officeDocument/2006/customXml" ds:itemID="{3FE463AF-95FE-4723-9329-EBBE8949907B}"/>
</file>

<file path=docProps/app.xml><?xml version="1.0" encoding="utf-8"?>
<Properties xmlns="http://schemas.openxmlformats.org/officeDocument/2006/extended-properties" xmlns:vt="http://schemas.openxmlformats.org/officeDocument/2006/docPropsVTypes">
  <Template>Normal.dotm</Template>
  <TotalTime>134</TotalTime>
  <Pages>2</Pages>
  <Words>3341</Words>
  <Characters>1905</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GRICIŪTĖ Rasa</dc:creator>
  <cp:lastModifiedBy>KNIUKŠTIENĖ Rimantė</cp:lastModifiedBy>
  <cp:revision>33</cp:revision>
  <cp:lastPrinted>2024-06-26T10:06:00Z</cp:lastPrinted>
  <dcterms:created xsi:type="dcterms:W3CDTF">2024-06-05T07:01:00Z</dcterms:created>
  <dcterms:modified xsi:type="dcterms:W3CDTF">2024-09-25T07:40:00Z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2edbfdd5-b895-49d7-badb-4bc4ef78835f</vt:lpwstr>
  </property>
</Properties>
</file>