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13" w:type="dxa"/>
        <w:tblCellMar>
          <w:left w:w="10" w:type="dxa"/>
          <w:right w:w="10" w:type="dxa"/>
        </w:tblCellMar>
        <w:tblLook w:val="04A0" w:firstRow="1" w:lastRow="0" w:firstColumn="1" w:lastColumn="0" w:noHBand="0" w:noVBand="1"/>
      </w:tblPr>
      <w:tblGrid>
        <w:gridCol w:w="5812"/>
        <w:gridCol w:w="4111"/>
      </w:tblGrid>
      <w:tr w:rsidR="008B0682" w14:paraId="439CD352" w14:textId="77777777">
        <w:tc>
          <w:tcPr>
            <w:tcW w:w="5812" w:type="dxa"/>
            <w:shd w:val="clear" w:color="auto" w:fill="auto"/>
            <w:tcMar>
              <w:top w:w="0" w:type="dxa"/>
              <w:left w:w="108" w:type="dxa"/>
              <w:bottom w:w="0" w:type="dxa"/>
              <w:right w:w="108" w:type="dxa"/>
            </w:tcMar>
          </w:tcPr>
          <w:p w14:paraId="66DC4E7F" w14:textId="56F4741B" w:rsidR="008B0682" w:rsidRDefault="0065309F">
            <w:pPr>
              <w:pStyle w:val="Adresas"/>
              <w:rPr>
                <w:bCs/>
              </w:rPr>
            </w:pPr>
            <w:bookmarkStart w:id="0" w:name="_GoBack"/>
            <w:bookmarkEnd w:id="0"/>
            <w:r>
              <w:rPr>
                <w:bCs/>
              </w:rPr>
              <w:t xml:space="preserve">Lietuvos Respublikos Seimo </w:t>
            </w:r>
            <w:r w:rsidR="004D054E">
              <w:rPr>
                <w:bCs/>
              </w:rPr>
              <w:t>P</w:t>
            </w:r>
            <w:r>
              <w:rPr>
                <w:bCs/>
              </w:rPr>
              <w:t>eticijų komisijai</w:t>
            </w:r>
          </w:p>
        </w:tc>
        <w:tc>
          <w:tcPr>
            <w:tcW w:w="4111" w:type="dxa"/>
            <w:shd w:val="clear" w:color="auto" w:fill="auto"/>
            <w:tcMar>
              <w:top w:w="0" w:type="dxa"/>
              <w:left w:w="108" w:type="dxa"/>
              <w:bottom w:w="0" w:type="dxa"/>
              <w:right w:w="108" w:type="dxa"/>
            </w:tcMar>
          </w:tcPr>
          <w:p w14:paraId="2CBC39ED" w14:textId="77777777" w:rsidR="008B0682" w:rsidRDefault="0065309F">
            <w:pPr>
              <w:pStyle w:val="Adresas"/>
              <w:rPr>
                <w:bCs/>
              </w:rPr>
            </w:pPr>
            <w:r>
              <w:rPr>
                <w:bCs/>
              </w:rPr>
              <w:t>2024-02-</w:t>
            </w:r>
          </w:p>
          <w:p w14:paraId="4C070021" w14:textId="77777777" w:rsidR="008B0682" w:rsidRDefault="0065309F">
            <w:pPr>
              <w:pStyle w:val="Adresas"/>
              <w:rPr>
                <w:bCs/>
              </w:rPr>
            </w:pPr>
            <w:r>
              <w:rPr>
                <w:bCs/>
              </w:rPr>
              <w:t xml:space="preserve">Į 2024-01-26 Nr. S-2024-370 </w:t>
            </w:r>
          </w:p>
        </w:tc>
      </w:tr>
    </w:tbl>
    <w:p w14:paraId="7263C8C1" w14:textId="77777777" w:rsidR="008B0682" w:rsidRDefault="008B0682">
      <w:pPr>
        <w:pStyle w:val="Pavadinimas1"/>
        <w:ind w:right="-1"/>
        <w:jc w:val="both"/>
        <w:rPr>
          <w:b/>
        </w:rPr>
      </w:pPr>
      <w:bookmarkStart w:id="1" w:name="_Hlk158214568"/>
    </w:p>
    <w:p w14:paraId="79197764" w14:textId="77777777" w:rsidR="008B0682" w:rsidRDefault="008B0682">
      <w:pPr>
        <w:pStyle w:val="Pavadinimas1"/>
        <w:ind w:right="-1"/>
        <w:jc w:val="both"/>
        <w:rPr>
          <w:b/>
        </w:rPr>
      </w:pPr>
    </w:p>
    <w:bookmarkEnd w:id="1"/>
    <w:p w14:paraId="61062B17" w14:textId="77777777" w:rsidR="008B0682" w:rsidRDefault="0065309F">
      <w:pPr>
        <w:pStyle w:val="Pavadinimas1"/>
        <w:ind w:right="-1"/>
        <w:jc w:val="both"/>
      </w:pPr>
      <w:r>
        <w:rPr>
          <w:b/>
        </w:rPr>
        <w:t>Dėl mindaugo gedeikio peticijoje pateiktų pasiūlymų</w:t>
      </w:r>
    </w:p>
    <w:p w14:paraId="44B0039F" w14:textId="77777777" w:rsidR="008B0682" w:rsidRDefault="008B0682">
      <w:pPr>
        <w:jc w:val="both"/>
      </w:pPr>
    </w:p>
    <w:p w14:paraId="2F87C4AD" w14:textId="77777777" w:rsidR="008B0682" w:rsidRDefault="0065309F">
      <w:pPr>
        <w:ind w:firstLine="851"/>
        <w:jc w:val="both"/>
      </w:pPr>
      <w:r>
        <w:rPr>
          <w:bCs/>
        </w:rPr>
        <w:t>Lietuvos Respublikos teisingumo ministerija susipažino su Lietuvos Respublikos Seimo Peticijų komisijos 2024 m. sausio 26 d. raštu Nr. S-2024-370 persiųsta Mindaugo Gedeikio peticija, kuria siūloma pakeisti Lietuvos Respublikos civilinio kodekso (toliau – CK) 6.427 straipsnio 3 dalį arba papildyti šį straipsnį nauja dalimi, ir pagal kompetenciją teikia šią nuomonę.</w:t>
      </w:r>
    </w:p>
    <w:p w14:paraId="0690F97E" w14:textId="77777777" w:rsidR="008B0682" w:rsidRDefault="0065309F">
      <w:pPr>
        <w:ind w:firstLine="851"/>
        <w:jc w:val="both"/>
        <w:rPr>
          <w:bCs/>
        </w:rPr>
      </w:pPr>
      <w:r>
        <w:rPr>
          <w:bCs/>
        </w:rPr>
        <w:t xml:space="preserve">Peticijoje siūloma pakeisti CK 6.427 straipsnio 3 dalį arba papildyti šį straipsnį nauja dalimi, numatant, kad skolininkas turi pirmumo teisę įsigyti perleidžiamą reikalavimo teisę už tą kainą, už kurią ji parduodama, ir kitomis tokiomis pačiomis sąlygomis, išskyrus atvejus, kai parduodama iš viešųjų varžytynių, arba išpirkti savo skolą, sumokėdamas reikalavimo perleidimo sutarties kainą, sutarties sudarymo išlaidas ir palūkanas, skaičiuojamas nuo kainos. </w:t>
      </w:r>
      <w:bookmarkStart w:id="2" w:name="_Hlk158895629"/>
      <w:r>
        <w:rPr>
          <w:bCs/>
        </w:rPr>
        <w:t>Peticijoje iš esmės nurodoma, kad tai, jog įstatyme nenumatyta skolininko galimybė (įskaitant ir pirmenybės teise) išpirkti savo skolą taip ją sumažinant, neužtikrina skolininko orumo apsaugos, prieštarauja teisinės valstybės principui, pažeidžia asmenų lygybės principą</w:t>
      </w:r>
      <w:bookmarkEnd w:id="2"/>
      <w:r>
        <w:rPr>
          <w:bCs/>
        </w:rPr>
        <w:t xml:space="preserve">. </w:t>
      </w:r>
    </w:p>
    <w:p w14:paraId="02C005AF" w14:textId="0491204B" w:rsidR="008B0682" w:rsidRDefault="0065309F">
      <w:pPr>
        <w:ind w:firstLine="851"/>
        <w:jc w:val="both"/>
      </w:pPr>
      <w:r>
        <w:t>Reikalavimo perleidimas suprantamas kaip prievolės aktyviosios šalies – kreditoriaus – pakeitimas kitu asmeniu, kai pati prievolė išlieka nepakitusi.</w:t>
      </w:r>
      <w:r>
        <w:rPr>
          <w:rStyle w:val="Puslapioinaosnuoroda"/>
        </w:rPr>
        <w:footnoteReference w:id="1"/>
      </w:r>
      <w:r>
        <w:t xml:space="preserve"> </w:t>
      </w:r>
      <w:r>
        <w:rPr>
          <w:bCs/>
        </w:rPr>
        <w:t xml:space="preserve">CK 6.101 straipsnio 1 dalyje numatyta, kad kreditorius turi teisę be skolininko sutikimo perleisti visą reikalavimą ar jo dalį kitam asmeniui, jeigu tai neprieštarauja įstatymams ar sutarčiai arba jeigu reikalavimas nesusijęs su kreditoriaus asmeniu. Reikalavimo teisės perleidimas neturi pažeisti skolininko teisių ir labiau suvaržyti jo prievolės. </w:t>
      </w:r>
    </w:p>
    <w:p w14:paraId="65269DCB" w14:textId="77777777" w:rsidR="008B0682" w:rsidRDefault="0065309F">
      <w:pPr>
        <w:ind w:firstLine="851"/>
        <w:jc w:val="both"/>
      </w:pPr>
      <w:r>
        <w:rPr>
          <w:bCs/>
        </w:rPr>
        <w:t xml:space="preserve">Peticijoje teigiama, kad </w:t>
      </w:r>
      <w:r>
        <w:t xml:space="preserve">komercinė praktika, kai verslininkas už nedidelę kainą perleidžia arba nuperka skolą (reikalavimo teisę), nors apie tokį perleidimą skolininkas nebuvo iš anksto informuotas arba nebuvo gautas jo sutikimas ir jam nebuvo suteikta galimybė savo skolą išpirkti ir taip ją panaikinti, pažeidžia Lietuvos Respublikos Konstituciją. </w:t>
      </w:r>
    </w:p>
    <w:p w14:paraId="1580697D" w14:textId="38BD14F6" w:rsidR="008B0682" w:rsidRDefault="00021494">
      <w:pPr>
        <w:ind w:firstLine="851"/>
        <w:jc w:val="both"/>
      </w:pPr>
      <w:r>
        <w:t xml:space="preserve">Teisingumo ministerijos vertinimu, </w:t>
      </w:r>
      <w:r w:rsidR="0065309F">
        <w:t xml:space="preserve">CK reguliavimu užtikrinama kreditoriaus-skolininko interesų pusiausvyra ir kartu reglamentuota skolininko apsauga. Nors reikalavimo teisei perleisti nereikia skolininko sutikimo, išskyrus įstatymo ar sutarties nustatytas išimtis (CK 6.101 straipsnio 1, 5 dalys), tačiau vadovaujantis CK 6.109 straipsniu, kreditorius privalo informuoti skolininką apie reikalavimo teisės perleidimą. Be to, </w:t>
      </w:r>
      <w:r w:rsidR="0065309F">
        <w:rPr>
          <w:rFonts w:eastAsia="Calibri"/>
          <w:lang w:eastAsia="en-US"/>
        </w:rPr>
        <w:t xml:space="preserve">CK 6.107 straipsnio 1 dalyje įtvirtinta, kad skolininkas turi </w:t>
      </w:r>
      <w:r w:rsidR="0065309F">
        <w:rPr>
          <w:rFonts w:eastAsia="Calibri"/>
          <w:lang w:eastAsia="en-US"/>
        </w:rPr>
        <w:lastRenderedPageBreak/>
        <w:t xml:space="preserve">teisę reikšti naujojo kreditoriaus reikalavimams visus atsikirtimus, kuriuos jis turėjo teisę reikšti pradiniam kreditoriui tuo metu, kai gavo pranešimą apie reikalavimo perleidimą. </w:t>
      </w:r>
      <w:r w:rsidR="00127856">
        <w:rPr>
          <w:rFonts w:eastAsia="Calibri"/>
          <w:lang w:eastAsia="en-US"/>
        </w:rPr>
        <w:t>Be to, CK</w:t>
      </w:r>
      <w:r w:rsidR="00D4109D">
        <w:rPr>
          <w:rFonts w:eastAsia="Calibri"/>
          <w:lang w:eastAsia="en-US"/>
        </w:rPr>
        <w:t> </w:t>
      </w:r>
      <w:r w:rsidR="00127856">
        <w:rPr>
          <w:rFonts w:eastAsia="Calibri"/>
          <w:lang w:eastAsia="en-US"/>
        </w:rPr>
        <w:t>6.102 str</w:t>
      </w:r>
      <w:r w:rsidR="007C3F7C">
        <w:rPr>
          <w:rFonts w:eastAsia="Calibri"/>
          <w:lang w:eastAsia="en-US"/>
        </w:rPr>
        <w:t>aipsnyje</w:t>
      </w:r>
      <w:r w:rsidR="00127856">
        <w:rPr>
          <w:rFonts w:eastAsia="Calibri"/>
          <w:lang w:eastAsia="en-US"/>
        </w:rPr>
        <w:t xml:space="preserve"> taip pat numatyti atvejai, kuriais </w:t>
      </w:r>
      <w:r w:rsidR="002B7662">
        <w:rPr>
          <w:rFonts w:eastAsia="Calibri"/>
          <w:lang w:eastAsia="en-US"/>
        </w:rPr>
        <w:t>draudžiama perleisti reikalavimą.</w:t>
      </w:r>
    </w:p>
    <w:p w14:paraId="5E2DBEEA" w14:textId="4DB14336" w:rsidR="006A3C53" w:rsidRDefault="0065309F">
      <w:pPr>
        <w:ind w:firstLine="851"/>
        <w:jc w:val="both"/>
        <w:rPr>
          <w:color w:val="000000"/>
          <w:shd w:val="clear" w:color="auto" w:fill="FFFFFF"/>
        </w:rPr>
      </w:pPr>
      <w:r>
        <w:rPr>
          <w:bCs/>
        </w:rPr>
        <w:t xml:space="preserve">Atkreiptinas dėmesys, kad vadovaujantis CK 6.38 straipsnio 1 dalimi, </w:t>
      </w:r>
      <w:r>
        <w:rPr>
          <w:color w:val="000000"/>
          <w:shd w:val="clear" w:color="auto" w:fill="FFFFFF"/>
        </w:rPr>
        <w:t xml:space="preserve">prievolės turi būti vykdomos sąžiningai, tinkamai bei nustatytais terminais pagal įstatymų ar sutarties nurodymus, o kai tokių nurodymų nėra, – vadovaujantis protingumo kriterijais. </w:t>
      </w:r>
      <w:r w:rsidR="0087738D">
        <w:rPr>
          <w:color w:val="000000"/>
          <w:shd w:val="clear" w:color="auto" w:fill="FFFFFF"/>
        </w:rPr>
        <w:t>Š</w:t>
      </w:r>
      <w:r w:rsidR="003375DB">
        <w:rPr>
          <w:color w:val="000000"/>
          <w:shd w:val="clear" w:color="auto" w:fill="FFFFFF"/>
        </w:rPr>
        <w:t>alys turi teisę laisvai sudaryti sutartis</w:t>
      </w:r>
      <w:r w:rsidR="00715E85">
        <w:rPr>
          <w:color w:val="000000"/>
          <w:shd w:val="clear" w:color="auto" w:fill="FFFFFF"/>
        </w:rPr>
        <w:t xml:space="preserve"> </w:t>
      </w:r>
      <w:r w:rsidR="00041C39">
        <w:rPr>
          <w:color w:val="000000"/>
          <w:shd w:val="clear" w:color="auto" w:fill="FFFFFF"/>
        </w:rPr>
        <w:t>(</w:t>
      </w:r>
      <w:r w:rsidR="00715E85">
        <w:rPr>
          <w:color w:val="000000"/>
          <w:shd w:val="clear" w:color="auto" w:fill="FFFFFF"/>
        </w:rPr>
        <w:t>ir</w:t>
      </w:r>
      <w:r w:rsidR="001517BE">
        <w:rPr>
          <w:color w:val="000000"/>
          <w:shd w:val="clear" w:color="auto" w:fill="FFFFFF"/>
        </w:rPr>
        <w:t xml:space="preserve"> tuo pačiu</w:t>
      </w:r>
      <w:r w:rsidR="00715E85">
        <w:rPr>
          <w:color w:val="000000"/>
          <w:shd w:val="clear" w:color="auto" w:fill="FFFFFF"/>
        </w:rPr>
        <w:t xml:space="preserve"> pris</w:t>
      </w:r>
      <w:r w:rsidR="00A877A5">
        <w:rPr>
          <w:color w:val="000000"/>
          <w:shd w:val="clear" w:color="auto" w:fill="FFFFFF"/>
        </w:rPr>
        <w:t>iim</w:t>
      </w:r>
      <w:r w:rsidR="007A01AD">
        <w:rPr>
          <w:color w:val="000000"/>
          <w:shd w:val="clear" w:color="auto" w:fill="FFFFFF"/>
        </w:rPr>
        <w:t>a</w:t>
      </w:r>
      <w:r w:rsidR="00A877A5">
        <w:rPr>
          <w:color w:val="000000"/>
          <w:shd w:val="clear" w:color="auto" w:fill="FFFFFF"/>
        </w:rPr>
        <w:t xml:space="preserve"> iš sutarties kylančius įsipareigojimus</w:t>
      </w:r>
      <w:r w:rsidR="00041C39">
        <w:rPr>
          <w:color w:val="000000"/>
          <w:shd w:val="clear" w:color="auto" w:fill="FFFFFF"/>
        </w:rPr>
        <w:t>)</w:t>
      </w:r>
      <w:r w:rsidR="00E11622">
        <w:rPr>
          <w:color w:val="000000"/>
          <w:shd w:val="clear" w:color="auto" w:fill="FFFFFF"/>
        </w:rPr>
        <w:t>, o</w:t>
      </w:r>
      <w:r w:rsidR="00041C39">
        <w:rPr>
          <w:color w:val="000000"/>
          <w:shd w:val="clear" w:color="auto" w:fill="FFFFFF"/>
        </w:rPr>
        <w:t xml:space="preserve"> </w:t>
      </w:r>
      <w:r w:rsidR="00657A21">
        <w:rPr>
          <w:color w:val="000000"/>
          <w:shd w:val="clear" w:color="auto" w:fill="FFFFFF"/>
        </w:rPr>
        <w:t>skolininkas savaime nėra lai</w:t>
      </w:r>
      <w:r w:rsidR="00306E43">
        <w:rPr>
          <w:color w:val="000000"/>
          <w:shd w:val="clear" w:color="auto" w:fill="FFFFFF"/>
        </w:rPr>
        <w:t>k</w:t>
      </w:r>
      <w:r w:rsidR="00E11622">
        <w:rPr>
          <w:color w:val="000000"/>
          <w:shd w:val="clear" w:color="auto" w:fill="FFFFFF"/>
        </w:rPr>
        <w:t>omas</w:t>
      </w:r>
      <w:r w:rsidR="00657A21">
        <w:rPr>
          <w:color w:val="000000"/>
          <w:shd w:val="clear" w:color="auto" w:fill="FFFFFF"/>
        </w:rPr>
        <w:t xml:space="preserve"> silpnesne sandorio šalimi. </w:t>
      </w:r>
      <w:r w:rsidR="00092073">
        <w:rPr>
          <w:color w:val="000000"/>
          <w:shd w:val="clear" w:color="auto" w:fill="FFFFFF"/>
        </w:rPr>
        <w:t xml:space="preserve">Įstatymuose yra išskirti </w:t>
      </w:r>
      <w:r w:rsidR="006B412D">
        <w:rPr>
          <w:color w:val="000000"/>
          <w:shd w:val="clear" w:color="auto" w:fill="FFFFFF"/>
        </w:rPr>
        <w:t xml:space="preserve">atskiri </w:t>
      </w:r>
      <w:r w:rsidR="0080788B">
        <w:rPr>
          <w:color w:val="000000"/>
          <w:shd w:val="clear" w:color="auto" w:fill="FFFFFF"/>
        </w:rPr>
        <w:t>atvej</w:t>
      </w:r>
      <w:r w:rsidR="00092073">
        <w:rPr>
          <w:color w:val="000000"/>
          <w:shd w:val="clear" w:color="auto" w:fill="FFFFFF"/>
        </w:rPr>
        <w:t>ai</w:t>
      </w:r>
      <w:r w:rsidR="0080788B">
        <w:rPr>
          <w:color w:val="000000"/>
          <w:shd w:val="clear" w:color="auto" w:fill="FFFFFF"/>
        </w:rPr>
        <w:t xml:space="preserve">, kai skolininkas </w:t>
      </w:r>
      <w:r w:rsidR="006B412D">
        <w:rPr>
          <w:color w:val="000000"/>
          <w:shd w:val="clear" w:color="auto" w:fill="FFFFFF"/>
        </w:rPr>
        <w:t>yra</w:t>
      </w:r>
      <w:r w:rsidR="0080788B">
        <w:rPr>
          <w:color w:val="000000"/>
          <w:shd w:val="clear" w:color="auto" w:fill="FFFFFF"/>
        </w:rPr>
        <w:t xml:space="preserve"> </w:t>
      </w:r>
      <w:r w:rsidR="003C7F86">
        <w:rPr>
          <w:color w:val="000000"/>
          <w:shd w:val="clear" w:color="auto" w:fill="FFFFFF"/>
        </w:rPr>
        <w:t xml:space="preserve">laikomas labiau pažeidžiama </w:t>
      </w:r>
      <w:r w:rsidR="00B33EAB">
        <w:rPr>
          <w:color w:val="000000"/>
          <w:shd w:val="clear" w:color="auto" w:fill="FFFFFF"/>
        </w:rPr>
        <w:t>s</w:t>
      </w:r>
      <w:r w:rsidR="00846E42">
        <w:rPr>
          <w:color w:val="000000"/>
          <w:shd w:val="clear" w:color="auto" w:fill="FFFFFF"/>
        </w:rPr>
        <w:t xml:space="preserve">utarties </w:t>
      </w:r>
      <w:r w:rsidR="003C7F86">
        <w:rPr>
          <w:color w:val="000000"/>
          <w:shd w:val="clear" w:color="auto" w:fill="FFFFFF"/>
        </w:rPr>
        <w:t>šalimi</w:t>
      </w:r>
      <w:r w:rsidR="00487C52">
        <w:rPr>
          <w:color w:val="000000"/>
          <w:shd w:val="clear" w:color="auto" w:fill="FFFFFF"/>
        </w:rPr>
        <w:t xml:space="preserve"> ir </w:t>
      </w:r>
      <w:r w:rsidR="00F55B4C">
        <w:rPr>
          <w:color w:val="000000"/>
          <w:shd w:val="clear" w:color="auto" w:fill="FFFFFF"/>
        </w:rPr>
        <w:t>dėl to</w:t>
      </w:r>
      <w:r w:rsidR="00306E43">
        <w:rPr>
          <w:color w:val="000000"/>
          <w:shd w:val="clear" w:color="auto" w:fill="FFFFFF"/>
        </w:rPr>
        <w:t xml:space="preserve"> yra</w:t>
      </w:r>
      <w:r w:rsidR="00846E42">
        <w:rPr>
          <w:color w:val="000000"/>
          <w:shd w:val="clear" w:color="auto" w:fill="FFFFFF"/>
        </w:rPr>
        <w:t xml:space="preserve"> </w:t>
      </w:r>
      <w:r w:rsidR="00F55B4C">
        <w:rPr>
          <w:color w:val="000000"/>
          <w:shd w:val="clear" w:color="auto" w:fill="FFFFFF"/>
        </w:rPr>
        <w:t>įtvirtintos</w:t>
      </w:r>
      <w:r>
        <w:rPr>
          <w:color w:val="000000"/>
          <w:shd w:val="clear" w:color="auto" w:fill="FFFFFF"/>
        </w:rPr>
        <w:t xml:space="preserve"> specialios</w:t>
      </w:r>
      <w:r w:rsidR="00F55B4C">
        <w:rPr>
          <w:color w:val="000000"/>
          <w:shd w:val="clear" w:color="auto" w:fill="FFFFFF"/>
        </w:rPr>
        <w:t xml:space="preserve"> </w:t>
      </w:r>
      <w:r w:rsidR="003447AC">
        <w:rPr>
          <w:color w:val="000000"/>
          <w:shd w:val="clear" w:color="auto" w:fill="FFFFFF"/>
        </w:rPr>
        <w:t xml:space="preserve">jo </w:t>
      </w:r>
      <w:r w:rsidR="00846E42">
        <w:rPr>
          <w:color w:val="000000"/>
          <w:shd w:val="clear" w:color="auto" w:fill="FFFFFF"/>
        </w:rPr>
        <w:t xml:space="preserve">teisių </w:t>
      </w:r>
      <w:r w:rsidR="0011586B">
        <w:rPr>
          <w:color w:val="000000"/>
          <w:shd w:val="clear" w:color="auto" w:fill="FFFFFF"/>
        </w:rPr>
        <w:t>apsaugos priemon</w:t>
      </w:r>
      <w:r w:rsidR="00846E42">
        <w:rPr>
          <w:color w:val="000000"/>
          <w:shd w:val="clear" w:color="auto" w:fill="FFFFFF"/>
        </w:rPr>
        <w:t>ė</w:t>
      </w:r>
      <w:r w:rsidR="0011586B">
        <w:rPr>
          <w:color w:val="000000"/>
          <w:shd w:val="clear" w:color="auto" w:fill="FFFFFF"/>
        </w:rPr>
        <w:t xml:space="preserve">s (pavyzdžiui, </w:t>
      </w:r>
      <w:r w:rsidR="00D24BA6">
        <w:rPr>
          <w:color w:val="000000"/>
          <w:shd w:val="clear" w:color="auto" w:fill="FFFFFF"/>
        </w:rPr>
        <w:t xml:space="preserve">per įstatyme nustatytą laikotarpį </w:t>
      </w:r>
      <w:r w:rsidR="00FA405B">
        <w:rPr>
          <w:color w:val="000000"/>
          <w:shd w:val="clear" w:color="auto" w:fill="FFFFFF"/>
        </w:rPr>
        <w:t xml:space="preserve">vartojimo kredito </w:t>
      </w:r>
      <w:r w:rsidR="00D24BA6">
        <w:rPr>
          <w:color w:val="000000"/>
          <w:shd w:val="clear" w:color="auto" w:fill="FFFFFF"/>
        </w:rPr>
        <w:t>gavėjas</w:t>
      </w:r>
      <w:r w:rsidR="008D2521">
        <w:rPr>
          <w:color w:val="000000"/>
          <w:shd w:val="clear" w:color="auto" w:fill="FFFFFF"/>
        </w:rPr>
        <w:t xml:space="preserve"> (vartotojas)</w:t>
      </w:r>
      <w:r w:rsidR="00D24BA6">
        <w:rPr>
          <w:color w:val="000000"/>
          <w:shd w:val="clear" w:color="auto" w:fill="FFFFFF"/>
        </w:rPr>
        <w:t xml:space="preserve">, nenurodydamas priežasties, gali atsisakyti vartojimo kredito sutarties </w:t>
      </w:r>
      <w:r w:rsidR="00D933F6">
        <w:rPr>
          <w:color w:val="000000"/>
          <w:shd w:val="clear" w:color="auto" w:fill="FFFFFF"/>
        </w:rPr>
        <w:t>nepatirdamas jokių nuostolių</w:t>
      </w:r>
      <w:r w:rsidR="00D933F6">
        <w:rPr>
          <w:rStyle w:val="Puslapioinaosnuoroda"/>
          <w:color w:val="000000"/>
          <w:shd w:val="clear" w:color="auto" w:fill="FFFFFF"/>
        </w:rPr>
        <w:footnoteReference w:id="2"/>
      </w:r>
      <w:r w:rsidR="00D933F6">
        <w:rPr>
          <w:color w:val="000000"/>
          <w:shd w:val="clear" w:color="auto" w:fill="FFFFFF"/>
        </w:rPr>
        <w:t>).</w:t>
      </w:r>
    </w:p>
    <w:p w14:paraId="7A5B93BC" w14:textId="43B7D785" w:rsidR="008B0682" w:rsidRDefault="0065309F">
      <w:pPr>
        <w:ind w:firstLine="851"/>
        <w:jc w:val="both"/>
      </w:pPr>
      <w:r>
        <w:rPr>
          <w:color w:val="000000"/>
          <w:shd w:val="clear" w:color="auto" w:fill="FFFFFF"/>
        </w:rPr>
        <w:t xml:space="preserve">Pareiškėjo pasiūlymo įgyvendinimas suteikti galimybę skolininkui pirmenybės teise įsigyti reikalavimo teisę į savo paties skolą </w:t>
      </w:r>
      <w:r w:rsidR="00CD29ED">
        <w:rPr>
          <w:color w:val="000000"/>
          <w:shd w:val="clear" w:color="auto" w:fill="FFFFFF"/>
        </w:rPr>
        <w:t xml:space="preserve">(tikėtina, </w:t>
      </w:r>
      <w:r>
        <w:rPr>
          <w:color w:val="000000"/>
          <w:shd w:val="clear" w:color="auto" w:fill="FFFFFF"/>
        </w:rPr>
        <w:t>už mažesnę kainą</w:t>
      </w:r>
      <w:r w:rsidR="00CD29ED">
        <w:rPr>
          <w:color w:val="000000"/>
          <w:shd w:val="clear" w:color="auto" w:fill="FFFFFF"/>
        </w:rPr>
        <w:t>)</w:t>
      </w:r>
      <w:r w:rsidR="00710F81">
        <w:rPr>
          <w:color w:val="000000"/>
          <w:shd w:val="clear" w:color="auto" w:fill="FFFFFF"/>
        </w:rPr>
        <w:t>, kas lemtų</w:t>
      </w:r>
      <w:r>
        <w:rPr>
          <w:color w:val="000000"/>
          <w:shd w:val="clear" w:color="auto" w:fill="FFFFFF"/>
        </w:rPr>
        <w:t xml:space="preserve"> prievolės pabaig</w:t>
      </w:r>
      <w:r w:rsidR="00710F81">
        <w:rPr>
          <w:color w:val="000000"/>
          <w:shd w:val="clear" w:color="auto" w:fill="FFFFFF"/>
        </w:rPr>
        <w:t>ą</w:t>
      </w:r>
      <w:r>
        <w:rPr>
          <w:rStyle w:val="Puslapioinaosnuoroda"/>
          <w:color w:val="000000"/>
          <w:shd w:val="clear" w:color="auto" w:fill="FFFFFF"/>
        </w:rPr>
        <w:footnoteReference w:id="3"/>
      </w:r>
      <w:r w:rsidR="00710F81">
        <w:rPr>
          <w:color w:val="000000"/>
          <w:shd w:val="clear" w:color="auto" w:fill="FFFFFF"/>
        </w:rPr>
        <w:t>,</w:t>
      </w:r>
      <w:r>
        <w:rPr>
          <w:color w:val="000000"/>
          <w:shd w:val="clear" w:color="auto" w:fill="FFFFFF"/>
        </w:rPr>
        <w:t xml:space="preserve"> </w:t>
      </w:r>
      <w:r w:rsidR="007E14F9">
        <w:rPr>
          <w:color w:val="000000"/>
          <w:shd w:val="clear" w:color="auto" w:fill="FFFFFF"/>
        </w:rPr>
        <w:t xml:space="preserve">kartu </w:t>
      </w:r>
      <w:r>
        <w:rPr>
          <w:color w:val="000000"/>
          <w:shd w:val="clear" w:color="auto" w:fill="FFFFFF"/>
        </w:rPr>
        <w:t>reikštų galimybę piktnaudžiauti – sudaryti sandorį su kreditoriumi, jo tinkamai nevykdyti, o kreditoriui nusprendus parduoti tokią susidariusią skolą, įvykdyti prievolę už mažesnę kainą. Tai prieštarautų bendriesiems sutarčių teisės principams ir</w:t>
      </w:r>
      <w:r w:rsidR="00263598">
        <w:rPr>
          <w:color w:val="000000"/>
          <w:shd w:val="clear" w:color="auto" w:fill="FFFFFF"/>
        </w:rPr>
        <w:t>,</w:t>
      </w:r>
      <w:r>
        <w:rPr>
          <w:color w:val="000000"/>
          <w:shd w:val="clear" w:color="auto" w:fill="FFFFFF"/>
        </w:rPr>
        <w:t xml:space="preserve"> </w:t>
      </w:r>
      <w:r w:rsidR="00130510">
        <w:rPr>
          <w:color w:val="000000"/>
          <w:shd w:val="clear" w:color="auto" w:fill="FFFFFF"/>
        </w:rPr>
        <w:t xml:space="preserve">Teisingumo ministerijos nuomone, </w:t>
      </w:r>
      <w:r w:rsidR="00263598">
        <w:rPr>
          <w:color w:val="000000"/>
          <w:shd w:val="clear" w:color="auto" w:fill="FFFFFF"/>
        </w:rPr>
        <w:t xml:space="preserve">priešingai nei </w:t>
      </w:r>
      <w:r>
        <w:rPr>
          <w:color w:val="000000"/>
          <w:shd w:val="clear" w:color="auto" w:fill="FFFFFF"/>
        </w:rPr>
        <w:t xml:space="preserve">kaip teigiama peticijoje, neprisidėtų prie tautos gerovės, </w:t>
      </w:r>
      <w:r w:rsidR="005D0103">
        <w:rPr>
          <w:color w:val="000000"/>
          <w:shd w:val="clear" w:color="auto" w:fill="FFFFFF"/>
        </w:rPr>
        <w:t xml:space="preserve"> o iš esmės </w:t>
      </w:r>
      <w:r>
        <w:rPr>
          <w:color w:val="000000"/>
          <w:shd w:val="clear" w:color="auto" w:fill="FFFFFF"/>
        </w:rPr>
        <w:t xml:space="preserve">neigiamai paveiktų civilinių sandorių apyvartą, nes kreditoriui apskritai nebeliktų prasmės perleisti reikalavimo teisę. </w:t>
      </w:r>
    </w:p>
    <w:p w14:paraId="263F7D66" w14:textId="77777777" w:rsidR="008B0682" w:rsidRDefault="0065309F">
      <w:pPr>
        <w:ind w:firstLine="851"/>
        <w:jc w:val="both"/>
        <w:rPr>
          <w:color w:val="000000"/>
          <w:shd w:val="clear" w:color="auto" w:fill="FFFFFF"/>
        </w:rPr>
      </w:pPr>
      <w:r>
        <w:rPr>
          <w:color w:val="000000"/>
          <w:shd w:val="clear" w:color="auto" w:fill="FFFFFF"/>
        </w:rPr>
        <w:t>Peticijoje taip pat nurodoma, kad objektyviai nėra pateisinama, kad tam tikriems visuomenės nariams yra suteikiama pirmumo teisė įsigyti perleidžiamą turtą, tuo tarpu visuomenės nariams, kurie siekia įsigyti savo skolą ar ją sumažinti, pirmumo teisė nesuteikiama, o tai nesuderinama su Lietuvos Respublikos Konstitucinio Teismo jurisprudencija.</w:t>
      </w:r>
    </w:p>
    <w:p w14:paraId="6CBA6D52" w14:textId="77777777" w:rsidR="008B0682" w:rsidRDefault="0065309F">
      <w:pPr>
        <w:ind w:firstLine="851"/>
        <w:jc w:val="both"/>
      </w:pPr>
      <w:r>
        <w:t>Kaip yra konstatavęs Konstitucinis Teismas, konstitucinis asmenų lygiateisiškumo principas savaime nepaneigia galimybės įstatymu nustatyti nevienodą, diferencijuotą teisinį reguliavimą tam tikrų asmenų, priklausančių skirtingoms kategorijoms, atžvilgiu, jeigu tarp šių asmenų yra tokio pobūdžio skirtumų, kurie tokį diferencijuotą reguliavimą daro objektyviai pateisinamą. Diferencijuotas teisinis reguliavimas, kai jis taikomas tam tikroms vienodais požymiais pasižyminčioms asmenų grupėms, jeigu juo siekiama pozityvių, visuomeniškai reikšmingų tikslų arba jeigu tam tikrų ribojimų ar sąlygų nustatymas yra susijęs su reguliuojamų visuomeninių santykių ypatumais, savaime nėra laikytinas diskriminaciniu</w:t>
      </w:r>
      <w:r>
        <w:rPr>
          <w:rStyle w:val="Puslapioinaosnuoroda"/>
        </w:rPr>
        <w:footnoteReference w:id="4"/>
      </w:r>
      <w:r>
        <w:t>.</w:t>
      </w:r>
    </w:p>
    <w:p w14:paraId="4700D6A1" w14:textId="77777777" w:rsidR="008B0682" w:rsidRDefault="0065309F">
      <w:pPr>
        <w:ind w:firstLine="851"/>
        <w:jc w:val="both"/>
      </w:pPr>
      <w:r>
        <w:t>Peticijoje nurodomos normos, kurios atskirais atvejais suteikia pirmenybės teisę, teisine prasme visiškai skiriasi nuo reikalavimo teisės perleidimo sutarčių, o toks reguliavimas nulemtas teisinio santykio ypatumų. Pavyzdžiui, Lietuvos Aukščiausiojo Teismo jurisprudencija, aiškinant </w:t>
      </w:r>
      <w:bookmarkStart w:id="3" w:name="n67321f36-3819-4dc5-945b-6026af3720d9"/>
      <w:r>
        <w:fldChar w:fldCharType="begin"/>
      </w:r>
      <w:r>
        <w:instrText xml:space="preserve"> HYPERLINK  "https://www.infolex.lt/ta/18140" \o "Lietuvos Respublikos civilinis kodeksas. Ketvirtoji knyga. Daiktinė teisė" </w:instrText>
      </w:r>
      <w:r>
        <w:fldChar w:fldCharType="separate"/>
      </w:r>
      <w:r>
        <w:rPr>
          <w:rStyle w:val="Hipersaitas"/>
          <w:color w:val="auto"/>
          <w:u w:val="none"/>
        </w:rPr>
        <w:t>CK</w:t>
      </w:r>
      <w:r>
        <w:rPr>
          <w:rStyle w:val="Hipersaitas"/>
          <w:color w:val="auto"/>
          <w:u w:val="none"/>
        </w:rPr>
        <w:fldChar w:fldCharType="end"/>
      </w:r>
      <w:bookmarkStart w:id="4" w:name="pn67321f36-3819-4dc5-945b-6026af3720d9"/>
      <w:bookmarkEnd w:id="3"/>
      <w:bookmarkEnd w:id="4"/>
      <w:r>
        <w:t> </w:t>
      </w:r>
      <w:bookmarkStart w:id="5" w:name="n5c77f856-4f4b-4c02-84a3-0abdfa949403"/>
      <w:r>
        <w:fldChar w:fldCharType="begin"/>
      </w:r>
      <w:r>
        <w:instrText xml:space="preserve"> HYPERLINK  "https://www.infolex.lt/teise/Default.aspx?id=20&amp;item=doc&amp;aktoid=1881349&amp;cid=70822" \o "Pirmenybės teisė pirkti parduodamas dalis, esančias bendrąja nuosavybe" </w:instrText>
      </w:r>
      <w:r>
        <w:fldChar w:fldCharType="separate"/>
      </w:r>
      <w:r>
        <w:rPr>
          <w:rStyle w:val="Hipersaitas"/>
          <w:color w:val="auto"/>
          <w:u w:val="none"/>
        </w:rPr>
        <w:t>4.79</w:t>
      </w:r>
      <w:r>
        <w:rPr>
          <w:rStyle w:val="Hipersaitas"/>
          <w:color w:val="auto"/>
          <w:u w:val="none"/>
        </w:rPr>
        <w:fldChar w:fldCharType="end"/>
      </w:r>
      <w:bookmarkStart w:id="6" w:name="pn5c77f856-4f4b-4c02-84a3-0abdfa949403"/>
      <w:bookmarkEnd w:id="5"/>
      <w:bookmarkEnd w:id="6"/>
      <w:r>
        <w:t> straipsnyje įtvirtinto teisinio reguliavimo tikslus, yra nuosekliai išplėtota. Kasacinio teismo praktikoje konstatuota, kad </w:t>
      </w:r>
      <w:bookmarkStart w:id="7" w:name="nd5387f41-441e-4fd9-9a5c-a341044dad46"/>
      <w:r>
        <w:fldChar w:fldCharType="begin"/>
      </w:r>
      <w:r>
        <w:instrText xml:space="preserve"> HYPERLINK  "https://www.infolex.lt/ta/18140" \o "Lietuvos Respublikos civilinis kodeksas. Ketvirtoji knyga. Daiktinė teisė" </w:instrText>
      </w:r>
      <w:r>
        <w:fldChar w:fldCharType="separate"/>
      </w:r>
      <w:r>
        <w:rPr>
          <w:rStyle w:val="Hipersaitas"/>
          <w:color w:val="auto"/>
          <w:u w:val="none"/>
        </w:rPr>
        <w:t>CK</w:t>
      </w:r>
      <w:r>
        <w:rPr>
          <w:rStyle w:val="Hipersaitas"/>
          <w:color w:val="auto"/>
          <w:u w:val="none"/>
        </w:rPr>
        <w:fldChar w:fldCharType="end"/>
      </w:r>
      <w:bookmarkStart w:id="8" w:name="pnd5387f41-441e-4fd9-9a5c-a341044dad46"/>
      <w:bookmarkEnd w:id="7"/>
      <w:bookmarkEnd w:id="8"/>
      <w:r>
        <w:t> </w:t>
      </w:r>
      <w:bookmarkStart w:id="9" w:name="nb483d932-4272-4a12-bd4c-d83bf1045f2b"/>
      <w:r>
        <w:fldChar w:fldCharType="begin"/>
      </w:r>
      <w:r>
        <w:instrText xml:space="preserve"> HYPERLINK  "https://www.infolex.lt/teise/Default.aspx?id=20&amp;item=doc&amp;aktoid=1881349&amp;cid=70822" \o "Pirmenybės teisė pirkti parduodamas dalis, esančias bendrąja nuosavybe" </w:instrText>
      </w:r>
      <w:r>
        <w:fldChar w:fldCharType="separate"/>
      </w:r>
      <w:r>
        <w:rPr>
          <w:rStyle w:val="Hipersaitas"/>
          <w:color w:val="auto"/>
          <w:u w:val="none"/>
        </w:rPr>
        <w:t>4.79</w:t>
      </w:r>
      <w:r>
        <w:rPr>
          <w:rStyle w:val="Hipersaitas"/>
          <w:color w:val="auto"/>
          <w:u w:val="none"/>
        </w:rPr>
        <w:fldChar w:fldCharType="end"/>
      </w:r>
      <w:bookmarkStart w:id="10" w:name="pnb483d932-4272-4a12-bd4c-d83bf1045f2b"/>
      <w:bookmarkEnd w:id="9"/>
      <w:bookmarkEnd w:id="10"/>
      <w:r>
        <w:t xml:space="preserve"> straipsnyje nustatyta pirmenybės teisė bendraturčiai įsigyti parduodamą daikto dalį ta kaina, kuria ji parduodama, yra daiktinė turtinė teisė, įgyvendinama kaip privaloma ir esminė sąlyga, kai vienas iš bendraturčių parduoda savo bendrosios nuosavybės dalį. Šia įstatyme įtvirtinta teise sudaroma galimybė sumažinti bendraturčių skaičių ir pakeisti nuosavybės teisės rūšį, nes dviejų ar kelių savininkų teisė valdyti </w:t>
      </w:r>
      <w:r>
        <w:lastRenderedPageBreak/>
        <w:t>vieną daiktą yra apsunkinta, todėl kai vienas iš bendraturčių parduoda savo dalį, šią dalį įsigijus kitam bendraturčiui ir sujungus daikto dalis, daikto valdymas tampa efektyvesnis (</w:t>
      </w:r>
      <w:r>
        <w:rPr>
          <w:i/>
          <w:iCs/>
        </w:rPr>
        <w:t>Lietuvos Aukščiausiojo Teismo 2006 m. birželio 21 d. nutartis civilinėje byloje Nr. </w:t>
      </w:r>
      <w:bookmarkStart w:id="11" w:name="n74f55633-41a0-4bf7-9e6a-dcc7a2e1d013"/>
      <w:r>
        <w:rPr>
          <w:i/>
          <w:iCs/>
        </w:rPr>
        <w:t>3K-3-417/2006</w:t>
      </w:r>
      <w:bookmarkStart w:id="12" w:name="pn74f55633-41a0-4bf7-9e6a-dcc7a2e1d013"/>
      <w:bookmarkEnd w:id="11"/>
      <w:bookmarkEnd w:id="12"/>
      <w:r>
        <w:t>). Pirmenybės teisė įsigyti parduodamą dalį yra vienas iš būdų spręsti pagrindinę bendrosios nuosavybės instituto problemą – kelių savininkų nuosavybės teisių į bendrą daiktą įgyvendinimo suderinimo klausimą, mažinant bendraturčių skaičių ar transformuojant bendrosios nuosavybės teisę į asmeninę (</w:t>
      </w:r>
      <w:r>
        <w:rPr>
          <w:i/>
          <w:iCs/>
        </w:rPr>
        <w:t>Lietuvos Aukščiausiojo Teismo 2015 m. lapkričio 12 d. nutartis civilinėje byloje Nr. </w:t>
      </w:r>
      <w:bookmarkStart w:id="13" w:name="n5f28f587-ccd6-4314-94d8-de1de071af9f"/>
      <w:r>
        <w:rPr>
          <w:i/>
          <w:iCs/>
        </w:rPr>
        <w:t>3K-3-598-916/2015</w:t>
      </w:r>
      <w:bookmarkStart w:id="14" w:name="pn5f28f587-ccd6-4314-94d8-de1de071af9f"/>
      <w:bookmarkEnd w:id="13"/>
      <w:bookmarkEnd w:id="14"/>
      <w:r>
        <w:t xml:space="preserve">). </w:t>
      </w:r>
    </w:p>
    <w:p w14:paraId="0636B170" w14:textId="2F7A6B22" w:rsidR="008B0682" w:rsidRDefault="0065309F">
      <w:pPr>
        <w:ind w:firstLine="851"/>
        <w:jc w:val="both"/>
      </w:pPr>
      <w:r>
        <w:t xml:space="preserve">Be to, peticijoje nurodytame Europos Sąjungos Teisingumo Teismo 2018 m. rugpjūčio 7 d. sprendime sujungtose bylose C-96/16 ir C-94/17 nebuvo sprendžiama dėl skolininko pirmenybės teisės </w:t>
      </w:r>
      <w:r w:rsidR="008F5862">
        <w:t>įsigyti perleidžiamą</w:t>
      </w:r>
      <w:r>
        <w:t xml:space="preserve"> reikalavimo teis</w:t>
      </w:r>
      <w:r w:rsidR="008F5862">
        <w:t>ę</w:t>
      </w:r>
      <w:r>
        <w:t xml:space="preserve"> įtvirtinimo nacionalinėje valstybių narių teisėje būtinybės. Dar daugiau, vien tai, kad kitų šalių teisinėse sistemose egzistuoja vienokios ar kitokios normos, neturint praktines problemas Lietuvoje pagrindžiančių duomenų, nėra pakankamas pagrindas keisti Lietuvoje galiojantį teisinį reguliavimą. </w:t>
      </w:r>
    </w:p>
    <w:p w14:paraId="7B41CC15" w14:textId="066CB76B" w:rsidR="008B0682" w:rsidRDefault="0065309F">
      <w:pPr>
        <w:ind w:firstLine="851"/>
        <w:jc w:val="both"/>
      </w:pPr>
      <w:r>
        <w:t xml:space="preserve">Atsižvelgiant į tai kas išdėstyta, Teisingumo ministerijos nuomone, nėra tikslinga keisti peticijoje nurodytų CK 6.427 straipsnio nuostatų, o </w:t>
      </w:r>
      <w:bookmarkStart w:id="15" w:name="_Hlk94618885"/>
      <w:r>
        <w:t>pareiškėjo siūlymams dėl jų pakeitimo neturėtų būti pritarta.</w:t>
      </w:r>
      <w:bookmarkEnd w:id="15"/>
    </w:p>
    <w:p w14:paraId="263F3CE3" w14:textId="77777777" w:rsidR="008B0682" w:rsidRDefault="008B0682">
      <w:pPr>
        <w:jc w:val="both"/>
      </w:pPr>
    </w:p>
    <w:p w14:paraId="630FA2A9" w14:textId="77777777" w:rsidR="008B0682" w:rsidRDefault="008B0682">
      <w:pPr>
        <w:jc w:val="both"/>
      </w:pPr>
    </w:p>
    <w:p w14:paraId="69E01132" w14:textId="77777777" w:rsidR="008B0682" w:rsidRDefault="008B0682">
      <w:pPr>
        <w:jc w:val="both"/>
      </w:pPr>
    </w:p>
    <w:p w14:paraId="5400A944" w14:textId="77777777" w:rsidR="008B0682" w:rsidRDefault="008B0682">
      <w:pPr>
        <w:jc w:val="both"/>
      </w:pPr>
    </w:p>
    <w:p w14:paraId="386A8A71" w14:textId="77777777" w:rsidR="008B0682" w:rsidRDefault="0065309F">
      <w:pPr>
        <w:tabs>
          <w:tab w:val="right" w:pos="9412"/>
        </w:tabs>
      </w:pPr>
      <w:r>
        <w:t>Teisingumo ministrė</w:t>
      </w:r>
      <w:r>
        <w:tab/>
        <w:t>Ewelina Dobrowolska</w:t>
      </w:r>
    </w:p>
    <w:p w14:paraId="6A4DEABD" w14:textId="77777777" w:rsidR="008B0682" w:rsidRDefault="008B0682"/>
    <w:p w14:paraId="4A333EC2" w14:textId="77777777" w:rsidR="008B0682" w:rsidRDefault="008B0682"/>
    <w:p w14:paraId="2AFB7A1C" w14:textId="77777777" w:rsidR="008B0682" w:rsidRDefault="008B0682"/>
    <w:p w14:paraId="0C8851A7" w14:textId="77777777" w:rsidR="008B0682" w:rsidRDefault="008B0682"/>
    <w:p w14:paraId="209DEAD5" w14:textId="77777777" w:rsidR="006D73F4" w:rsidRDefault="006D73F4"/>
    <w:p w14:paraId="2B9810B2" w14:textId="77777777" w:rsidR="006D73F4" w:rsidRDefault="006D73F4"/>
    <w:p w14:paraId="360899E8" w14:textId="77777777" w:rsidR="006D73F4" w:rsidRDefault="006D73F4"/>
    <w:p w14:paraId="64B12019" w14:textId="77777777" w:rsidR="008B0682" w:rsidRDefault="0065309F">
      <w:pPr>
        <w:spacing w:line="256" w:lineRule="auto"/>
      </w:pPr>
      <w:r>
        <w:t>Samanta Delekaitė, tel. +370 671 90 738, el. p. samanta.delekaite@tm.lt</w:t>
      </w:r>
    </w:p>
    <w:sectPr w:rsidR="008B0682">
      <w:headerReference w:type="default" r:id="rId8"/>
      <w:footerReference w:type="default" r:id="rId9"/>
      <w:headerReference w:type="first" r:id="rId10"/>
      <w:footerReference w:type="first" r:id="rId11"/>
      <w:footnotePr>
        <w:pos w:val="beneathText"/>
      </w:footnotePr>
      <w:pgSz w:w="11905" w:h="16837"/>
      <w:pgMar w:top="1134" w:right="737" w:bottom="1134" w:left="1701" w:header="1123" w:footer="573"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EA4E1" w14:textId="77777777" w:rsidR="009815CB" w:rsidRDefault="009815CB">
      <w:r>
        <w:separator/>
      </w:r>
    </w:p>
  </w:endnote>
  <w:endnote w:type="continuationSeparator" w:id="0">
    <w:p w14:paraId="5BECC170" w14:textId="77777777" w:rsidR="009815CB" w:rsidRDefault="0098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AF51" w14:textId="77777777" w:rsidR="002A42E6" w:rsidRDefault="0065309F">
    <w:pPr>
      <w:pStyle w:val="Porat"/>
    </w:pPr>
    <w:r>
      <w:rPr>
        <w:noProof/>
      </w:rPr>
      <w:drawing>
        <wp:inline distT="0" distB="0" distL="0" distR="0" wp14:anchorId="08510FAD" wp14:editId="28D321F0">
          <wp:extent cx="688972" cy="688972"/>
          <wp:effectExtent l="0" t="0" r="0" b="0"/>
          <wp:docPr id="82283946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8972" cy="688972"/>
                  </a:xfrm>
                  <a:prstGeom prst="rect">
                    <a:avLst/>
                  </a:prstGeom>
                  <a:noFill/>
                  <a:ln>
                    <a:noFill/>
                    <a:prstDash/>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2EEC" w14:textId="77777777" w:rsidR="002A42E6" w:rsidRDefault="0065309F">
    <w:pPr>
      <w:pStyle w:val="Porat"/>
      <w:tabs>
        <w:tab w:val="clear" w:pos="8306"/>
        <w:tab w:val="left" w:pos="8080"/>
        <w:tab w:val="right" w:pos="9356"/>
      </w:tabs>
    </w:pPr>
    <w:r>
      <w:rPr>
        <w:noProof/>
      </w:rPr>
      <w:drawing>
        <wp:inline distT="0" distB="0" distL="0" distR="0" wp14:anchorId="5DEF8BC2" wp14:editId="49D1876A">
          <wp:extent cx="706767" cy="706767"/>
          <wp:effectExtent l="0" t="0" r="0" b="0"/>
          <wp:docPr id="1192571237" name="Paveikslėlis 1" descr="Paveikslėlis, kuriame yra Grafika, ekrano kopija, Šriftas, kvadrato formos  Automatiškai sugeneruotas aprašym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6767" cy="706767"/>
                  </a:xfrm>
                  <a:prstGeom prst="rect">
                    <a:avLst/>
                  </a:prstGeom>
                  <a:noFill/>
                  <a:ln>
                    <a:noFill/>
                    <a:prstDash/>
                  </a:ln>
                </pic:spPr>
              </pic:pic>
            </a:graphicData>
          </a:graphic>
        </wp:inline>
      </w:drawing>
    </w:r>
  </w:p>
  <w:p w14:paraId="4CE3CD21" w14:textId="77777777" w:rsidR="002A42E6" w:rsidRDefault="0065309F">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E180C" w14:textId="77777777" w:rsidR="009815CB" w:rsidRDefault="009815CB">
      <w:r>
        <w:rPr>
          <w:color w:val="000000"/>
        </w:rPr>
        <w:separator/>
      </w:r>
    </w:p>
  </w:footnote>
  <w:footnote w:type="continuationSeparator" w:id="0">
    <w:p w14:paraId="496CF441" w14:textId="77777777" w:rsidR="009815CB" w:rsidRDefault="009815CB">
      <w:r>
        <w:continuationSeparator/>
      </w:r>
    </w:p>
  </w:footnote>
  <w:footnote w:id="1">
    <w:p w14:paraId="0644C39B" w14:textId="77777777" w:rsidR="008B0682" w:rsidRDefault="0065309F">
      <w:pPr>
        <w:pStyle w:val="Puslapioinaostekstas"/>
      </w:pPr>
      <w:r>
        <w:rPr>
          <w:rStyle w:val="Puslapioinaosnuoroda"/>
        </w:rPr>
        <w:footnoteRef/>
      </w:r>
      <w:r>
        <w:t xml:space="preserve"> Lietuvos Aukščiausiojo Teismo 2020 m. vasario 13 d. nutartis civilinėje byloje Nr. e3K-3-24-969/2020, 20 punktas.</w:t>
      </w:r>
    </w:p>
  </w:footnote>
  <w:footnote w:id="2">
    <w:p w14:paraId="6B68F662" w14:textId="15952143" w:rsidR="00D933F6" w:rsidRDefault="00D933F6">
      <w:pPr>
        <w:pStyle w:val="Puslapioinaostekstas"/>
      </w:pPr>
      <w:r>
        <w:rPr>
          <w:rStyle w:val="Puslapioinaosnuoroda"/>
        </w:rPr>
        <w:footnoteRef/>
      </w:r>
      <w:r>
        <w:t xml:space="preserve"> Lietuvos Respublikos vartojimo kredito įstatymo </w:t>
      </w:r>
      <w:r w:rsidR="008C14EC">
        <w:t>14</w:t>
      </w:r>
      <w:r w:rsidR="008C14EC" w:rsidRPr="00396F8D">
        <w:rPr>
          <w:vertAlign w:val="superscript"/>
        </w:rPr>
        <w:t>1</w:t>
      </w:r>
      <w:r w:rsidR="008C14EC">
        <w:t xml:space="preserve"> straipsnis.</w:t>
      </w:r>
    </w:p>
  </w:footnote>
  <w:footnote w:id="3">
    <w:p w14:paraId="77A81837" w14:textId="77777777" w:rsidR="008B0682" w:rsidRDefault="0065309F">
      <w:pPr>
        <w:pStyle w:val="Puslapioinaostekstas"/>
      </w:pPr>
      <w:r>
        <w:rPr>
          <w:rStyle w:val="Puslapioinaosnuoroda"/>
        </w:rPr>
        <w:footnoteRef/>
      </w:r>
      <w:r>
        <w:t xml:space="preserve"> CK 6.126 straipsnio 1 dalis.</w:t>
      </w:r>
    </w:p>
  </w:footnote>
  <w:footnote w:id="4">
    <w:p w14:paraId="06B5FE34" w14:textId="77777777" w:rsidR="008B0682" w:rsidRDefault="0065309F">
      <w:pPr>
        <w:pStyle w:val="Puslapioinaostekstas"/>
      </w:pPr>
      <w:r>
        <w:rPr>
          <w:rStyle w:val="Puslapioinaosnuoroda"/>
        </w:rPr>
        <w:footnoteRef/>
      </w:r>
      <w:r>
        <w:t xml:space="preserve"> Konstitucinio Teismo 1998 m. lapkričio 11 d., 2005 m. gegužės 13 d., 2006 m. gegužės 31 d., 2009 m. kovo 2 d., 2009 m. balandžio 29 d. nutarimai.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FC2B" w14:textId="404EECDA" w:rsidR="002A42E6" w:rsidRDefault="0065309F">
    <w:pPr>
      <w:pStyle w:val="Antrats"/>
      <w:jc w:val="center"/>
    </w:pPr>
    <w:r>
      <w:fldChar w:fldCharType="begin"/>
    </w:r>
    <w:r>
      <w:instrText xml:space="preserve"> PAGE </w:instrText>
    </w:r>
    <w:r>
      <w:fldChar w:fldCharType="separate"/>
    </w:r>
    <w:r w:rsidR="008E00F5">
      <w:rPr>
        <w:noProof/>
      </w:rPr>
      <w:t>3</w:t>
    </w:r>
    <w:r>
      <w:fldChar w:fldCharType="end"/>
    </w:r>
  </w:p>
  <w:p w14:paraId="0B6FF4FC" w14:textId="77777777" w:rsidR="002A42E6" w:rsidRDefault="002A42E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779E" w14:textId="77777777" w:rsidR="002A42E6" w:rsidRDefault="0065309F">
    <w:pPr>
      <w:tabs>
        <w:tab w:val="right" w:pos="8306"/>
      </w:tabs>
      <w:jc w:val="center"/>
    </w:pPr>
    <w:r>
      <w:rPr>
        <w:noProof/>
      </w:rPr>
      <w:drawing>
        <wp:inline distT="0" distB="0" distL="0" distR="0" wp14:anchorId="46C9AF9B" wp14:editId="4262A8B9">
          <wp:extent cx="571189" cy="647349"/>
          <wp:effectExtent l="0" t="0" r="311" b="351"/>
          <wp:docPr id="649040421" name="Grafinis elementa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571189" cy="647349"/>
                  </a:xfrm>
                  <a:prstGeom prst="rect">
                    <a:avLst/>
                  </a:prstGeom>
                  <a:noFill/>
                  <a:ln>
                    <a:noFill/>
                    <a:prstDash/>
                  </a:ln>
                </pic:spPr>
              </pic:pic>
            </a:graphicData>
          </a:graphic>
        </wp:inline>
      </w:drawing>
    </w:r>
  </w:p>
  <w:p w14:paraId="7258E5C0" w14:textId="77777777" w:rsidR="002A42E6" w:rsidRDefault="002A42E6">
    <w:pPr>
      <w:tabs>
        <w:tab w:val="right" w:pos="8306"/>
      </w:tabs>
      <w:jc w:val="center"/>
      <w:rPr>
        <w:sz w:val="16"/>
        <w:lang w:eastAsia="en-US"/>
      </w:rPr>
    </w:pPr>
  </w:p>
  <w:p w14:paraId="5772F288" w14:textId="77777777" w:rsidR="002A42E6" w:rsidRDefault="0065309F">
    <w:pPr>
      <w:jc w:val="center"/>
      <w:rPr>
        <w:b/>
        <w:bCs/>
        <w:lang w:eastAsia="en-US"/>
      </w:rPr>
    </w:pPr>
    <w:r>
      <w:rPr>
        <w:b/>
        <w:bCs/>
        <w:lang w:eastAsia="en-US"/>
      </w:rPr>
      <w:t>LIETUVOS RESPUBLIKOS TEISINGUMO MINISTERIJA</w:t>
    </w:r>
  </w:p>
  <w:p w14:paraId="6FCF27F1" w14:textId="77777777" w:rsidR="002A42E6" w:rsidRDefault="002A42E6">
    <w:pPr>
      <w:jc w:val="center"/>
      <w:rPr>
        <w:b/>
        <w:bCs/>
        <w:lang w:eastAsia="en-US"/>
      </w:rPr>
    </w:pPr>
  </w:p>
  <w:p w14:paraId="793C2EE6" w14:textId="77777777" w:rsidR="002A42E6" w:rsidRDefault="0065309F">
    <w:pPr>
      <w:pBdr>
        <w:bottom w:val="single" w:sz="4" w:space="1" w:color="000000"/>
      </w:pBdr>
      <w:jc w:val="center"/>
      <w:rPr>
        <w:lang w:eastAsia="en-US"/>
      </w:rPr>
    </w:pPr>
    <w:r>
      <w:rPr>
        <w:lang w:eastAsia="en-US"/>
      </w:rPr>
      <w:t xml:space="preserve">Biudžetinė įstaiga, Gedimino pr. 30, 01104 Vilnius, </w:t>
    </w:r>
  </w:p>
  <w:p w14:paraId="14E0328E" w14:textId="77777777" w:rsidR="002A42E6" w:rsidRDefault="0065309F">
    <w:pPr>
      <w:pBdr>
        <w:bottom w:val="single" w:sz="4" w:space="1" w:color="000000"/>
      </w:pBdr>
      <w:jc w:val="center"/>
    </w:pPr>
    <w:r>
      <w:rPr>
        <w:lang w:eastAsia="en-US"/>
      </w:rPr>
      <w:t>mob. tel</w:t>
    </w:r>
    <w:r>
      <w:rPr>
        <w:rStyle w:val="Knygospavadinimas"/>
        <w:b w:val="0"/>
        <w:bCs w:val="0"/>
        <w:i w:val="0"/>
        <w:iCs w:val="0"/>
      </w:rPr>
      <w:t>. +370 600 38 904,</w:t>
    </w:r>
    <w:r>
      <w:rPr>
        <w:lang w:eastAsia="en-US"/>
      </w:rPr>
      <w:t xml:space="preserve"> el. p. rastine@tm.lt, https://tm.lrv.lt</w:t>
    </w:r>
  </w:p>
  <w:p w14:paraId="780034F2" w14:textId="77777777" w:rsidR="002A42E6" w:rsidRDefault="0065309F">
    <w:pPr>
      <w:pBdr>
        <w:bottom w:val="single" w:sz="4" w:space="1" w:color="000000"/>
      </w:pBdr>
      <w:jc w:val="center"/>
      <w:rPr>
        <w:lang w:eastAsia="en-US"/>
      </w:rPr>
    </w:pPr>
    <w:r>
      <w:rPr>
        <w:lang w:eastAsia="en-US"/>
      </w:rPr>
      <w:t>Duomenys kaupiami ir saugomi Juridinių asmenų registre, kodas 188604955</w:t>
    </w:r>
  </w:p>
  <w:p w14:paraId="3AFC0D11" w14:textId="77777777" w:rsidR="002A42E6" w:rsidRDefault="002A42E6">
    <w:pPr>
      <w:tabs>
        <w:tab w:val="right" w:pos="8306"/>
      </w:tabs>
      <w:jc w:val="center"/>
      <w:rPr>
        <w:sz w:val="20"/>
        <w:lang w:eastAsia="en-US"/>
      </w:rPr>
    </w:pPr>
  </w:p>
  <w:p w14:paraId="728E2767" w14:textId="77777777" w:rsidR="002A42E6" w:rsidRDefault="002A42E6">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B18C0"/>
    <w:multiLevelType w:val="multilevel"/>
    <w:tmpl w:val="64D259BC"/>
    <w:styleLink w:val="LFO2"/>
    <w:lvl w:ilvl="0">
      <w:start w:val="1"/>
      <w:numFmt w:val="decimal"/>
      <w:pStyle w:val="Tekstasnumeruotas"/>
      <w:suff w:val="space"/>
      <w:lvlText w:val="%1. "/>
      <w:lvlJc w:val="left"/>
      <w:pPr>
        <w:ind w:left="0" w:firstLine="885"/>
      </w:pPr>
    </w:lvl>
    <w:lvl w:ilvl="1">
      <w:start w:val="1"/>
      <w:numFmt w:val="decimal"/>
      <w:suff w:val="space"/>
      <w:lvlText w:val="%1.%2."/>
      <w:lvlJc w:val="left"/>
      <w:pPr>
        <w:ind w:left="0" w:firstLine="1247"/>
      </w:pPr>
    </w:lvl>
    <w:lvl w:ilvl="2">
      <w:start w:val="1"/>
      <w:numFmt w:val="decimal"/>
      <w:lvlText w:val="%1.%2.%3."/>
      <w:lvlJc w:val="left"/>
      <w:pPr>
        <w:ind w:left="862" w:hanging="504"/>
      </w:pPr>
    </w:lvl>
    <w:lvl w:ilvl="3">
      <w:start w:val="1"/>
      <w:numFmt w:val="decimal"/>
      <w:lvlText w:val="%1.%2.%3.%4."/>
      <w:lvlJc w:val="left"/>
      <w:pPr>
        <w:ind w:left="1366" w:hanging="648"/>
      </w:pPr>
    </w:lvl>
    <w:lvl w:ilvl="4">
      <w:start w:val="1"/>
      <w:numFmt w:val="decimal"/>
      <w:lvlText w:val="%1.%2.%3.%4.%5."/>
      <w:lvlJc w:val="left"/>
      <w:pPr>
        <w:ind w:left="1870" w:hanging="792"/>
      </w:pPr>
    </w:lvl>
    <w:lvl w:ilvl="5">
      <w:start w:val="1"/>
      <w:numFmt w:val="decimal"/>
      <w:lvlText w:val="%1.%2.%3.%4.%5.%6."/>
      <w:lvlJc w:val="left"/>
      <w:pPr>
        <w:ind w:left="2374" w:hanging="936"/>
      </w:pPr>
    </w:lvl>
    <w:lvl w:ilvl="6">
      <w:start w:val="1"/>
      <w:numFmt w:val="decimal"/>
      <w:lvlText w:val="%1.%2.%3.%4.%5.%6.%7."/>
      <w:lvlJc w:val="left"/>
      <w:pPr>
        <w:ind w:left="2878" w:hanging="1080"/>
      </w:pPr>
    </w:lvl>
    <w:lvl w:ilvl="7">
      <w:start w:val="1"/>
      <w:numFmt w:val="decimal"/>
      <w:lvlText w:val="%1.%2.%3.%4.%5.%6.%7.%8."/>
      <w:lvlJc w:val="left"/>
      <w:pPr>
        <w:ind w:left="3382" w:hanging="1224"/>
      </w:pPr>
    </w:lvl>
    <w:lvl w:ilvl="8">
      <w:start w:val="1"/>
      <w:numFmt w:val="decimal"/>
      <w:lvlText w:val="%1.%2.%3.%4.%5.%6.%7.%8.%9."/>
      <w:lvlJc w:val="left"/>
      <w:pPr>
        <w:ind w:left="3958"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hyphenationZone w:val="396"/>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82"/>
    <w:rsid w:val="00021494"/>
    <w:rsid w:val="000334F8"/>
    <w:rsid w:val="00041C39"/>
    <w:rsid w:val="00092073"/>
    <w:rsid w:val="000D1EE8"/>
    <w:rsid w:val="000D7023"/>
    <w:rsid w:val="000E5F39"/>
    <w:rsid w:val="0011586B"/>
    <w:rsid w:val="00127856"/>
    <w:rsid w:val="00130510"/>
    <w:rsid w:val="001517BE"/>
    <w:rsid w:val="001B6596"/>
    <w:rsid w:val="00263598"/>
    <w:rsid w:val="002A42E6"/>
    <w:rsid w:val="002A562C"/>
    <w:rsid w:val="002B7662"/>
    <w:rsid w:val="002C5140"/>
    <w:rsid w:val="00306E43"/>
    <w:rsid w:val="00336967"/>
    <w:rsid w:val="003375DB"/>
    <w:rsid w:val="003447AC"/>
    <w:rsid w:val="00396F8D"/>
    <w:rsid w:val="003C7F86"/>
    <w:rsid w:val="003D2696"/>
    <w:rsid w:val="003E1A6A"/>
    <w:rsid w:val="004126AE"/>
    <w:rsid w:val="00487C52"/>
    <w:rsid w:val="004D054E"/>
    <w:rsid w:val="004E636D"/>
    <w:rsid w:val="005101A4"/>
    <w:rsid w:val="00553A31"/>
    <w:rsid w:val="00574203"/>
    <w:rsid w:val="005A7522"/>
    <w:rsid w:val="005D0103"/>
    <w:rsid w:val="005E07EE"/>
    <w:rsid w:val="00620760"/>
    <w:rsid w:val="00625E48"/>
    <w:rsid w:val="0065309F"/>
    <w:rsid w:val="00657A21"/>
    <w:rsid w:val="006A3C53"/>
    <w:rsid w:val="006B412D"/>
    <w:rsid w:val="006D330D"/>
    <w:rsid w:val="006D73F4"/>
    <w:rsid w:val="006F6B65"/>
    <w:rsid w:val="00710F81"/>
    <w:rsid w:val="00715E85"/>
    <w:rsid w:val="007503AB"/>
    <w:rsid w:val="007A01AD"/>
    <w:rsid w:val="007A29AE"/>
    <w:rsid w:val="007C3951"/>
    <w:rsid w:val="007C3F7C"/>
    <w:rsid w:val="007C6E64"/>
    <w:rsid w:val="007E14F9"/>
    <w:rsid w:val="0080788B"/>
    <w:rsid w:val="00846E42"/>
    <w:rsid w:val="00875B33"/>
    <w:rsid w:val="0087738D"/>
    <w:rsid w:val="00881B25"/>
    <w:rsid w:val="00894E31"/>
    <w:rsid w:val="008B0682"/>
    <w:rsid w:val="008C14EC"/>
    <w:rsid w:val="008D2521"/>
    <w:rsid w:val="008E00F5"/>
    <w:rsid w:val="008F5862"/>
    <w:rsid w:val="00901ABF"/>
    <w:rsid w:val="009475A1"/>
    <w:rsid w:val="00964C25"/>
    <w:rsid w:val="009815CB"/>
    <w:rsid w:val="009D0FCD"/>
    <w:rsid w:val="00A04C6F"/>
    <w:rsid w:val="00A47F29"/>
    <w:rsid w:val="00A72DDB"/>
    <w:rsid w:val="00A877A5"/>
    <w:rsid w:val="00B33EAB"/>
    <w:rsid w:val="00B72DA5"/>
    <w:rsid w:val="00C05810"/>
    <w:rsid w:val="00C8759F"/>
    <w:rsid w:val="00CA5F1B"/>
    <w:rsid w:val="00CD29ED"/>
    <w:rsid w:val="00D24BA6"/>
    <w:rsid w:val="00D4109D"/>
    <w:rsid w:val="00D933F6"/>
    <w:rsid w:val="00E11622"/>
    <w:rsid w:val="00E26251"/>
    <w:rsid w:val="00E57A14"/>
    <w:rsid w:val="00E84903"/>
    <w:rsid w:val="00EF2178"/>
    <w:rsid w:val="00F349B6"/>
    <w:rsid w:val="00F55B4C"/>
    <w:rsid w:val="00F9395B"/>
    <w:rsid w:val="00FA40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1BFE"/>
  <w15:docId w15:val="{97994086-519B-46DA-A688-68A5AA4D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4"/>
        <w:szCs w:val="24"/>
        <w:lang w:val="lt-LT" w:eastAsia="lt-LT"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style>
  <w:style w:type="paragraph" w:styleId="Antrat1">
    <w:name w:val="heading 1"/>
    <w:basedOn w:val="prastasis"/>
    <w:next w:val="prastasis"/>
    <w:uiPriority w:val="9"/>
    <w:qFormat/>
    <w:pPr>
      <w:keepNext/>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Pr>
      <w:rFonts w:ascii="Calibri" w:hAnsi="Calibri"/>
      <w:sz w:val="24"/>
    </w:rPr>
  </w:style>
  <w:style w:type="character" w:customStyle="1" w:styleId="Numeravimosimboliai">
    <w:name w:val="Numeravimo simboliai"/>
  </w:style>
  <w:style w:type="character" w:styleId="Hipersaitas">
    <w:name w:val="Hyperlink"/>
    <w:basedOn w:val="Numatytasispastraiposriftas1"/>
    <w:rPr>
      <w:rFonts w:ascii="Calibri" w:hAnsi="Calibri"/>
      <w:color w:val="0000FF"/>
      <w:sz w:val="24"/>
      <w:u w:val="single"/>
    </w:rPr>
  </w:style>
  <w:style w:type="character" w:customStyle="1" w:styleId="Numatytasispastraiposriftas1">
    <w:name w:val="Numatytasis pastraipos šriftas1"/>
    <w:rPr>
      <w:rFonts w:ascii="Calibri" w:hAnsi="Calibri"/>
      <w:sz w:val="24"/>
    </w:rPr>
  </w:style>
  <w:style w:type="paragraph" w:customStyle="1" w:styleId="Pavadinimas2">
    <w:name w:val="Pavadinimas2"/>
    <w:basedOn w:val="prastasis"/>
    <w:pPr>
      <w:suppressLineNumbers/>
      <w:spacing w:before="120" w:after="120"/>
    </w:pPr>
    <w:rPr>
      <w:rFonts w:cs="Tahoma"/>
      <w:i/>
      <w:iCs/>
    </w:rPr>
  </w:style>
  <w:style w:type="paragraph" w:customStyle="1" w:styleId="Tekstas">
    <w:name w:val="Tekstas"/>
    <w:basedOn w:val="prastasis"/>
    <w:pPr>
      <w:spacing w:before="40" w:after="40"/>
      <w:ind w:right="40" w:firstLine="1247"/>
      <w:jc w:val="both"/>
    </w:pPr>
  </w:style>
  <w:style w:type="paragraph" w:customStyle="1" w:styleId="Antrat10">
    <w:name w:val="Antraštė1"/>
    <w:basedOn w:val="prastasis"/>
    <w:next w:val="Pagrindinistekstas"/>
    <w:pPr>
      <w:keepNext/>
      <w:spacing w:after="119"/>
      <w:jc w:val="center"/>
    </w:pPr>
    <w:rPr>
      <w:rFonts w:eastAsia="MS Mincho" w:cs="Tahoma"/>
      <w:szCs w:val="28"/>
    </w:rPr>
  </w:style>
  <w:style w:type="paragraph" w:styleId="Pagrindinistekstas">
    <w:name w:val="Body Text"/>
    <w:basedOn w:val="prastasis"/>
    <w:pPr>
      <w:spacing w:after="120"/>
    </w:pPr>
  </w:style>
  <w:style w:type="paragraph" w:styleId="Pavadinimas">
    <w:name w:val="Title"/>
    <w:basedOn w:val="Antrat10"/>
    <w:next w:val="Paantrat"/>
    <w:uiPriority w:val="10"/>
    <w:qFormat/>
  </w:style>
  <w:style w:type="paragraph" w:styleId="Paantrat">
    <w:name w:val="Subtitle"/>
    <w:basedOn w:val="Antrat10"/>
    <w:next w:val="Pagrindinistekstas"/>
    <w:uiPriority w:val="11"/>
    <w:qFormat/>
    <w:rPr>
      <w:i/>
      <w:iCs/>
      <w:sz w:val="28"/>
    </w:rPr>
  </w:style>
  <w:style w:type="paragraph" w:styleId="Sraas">
    <w:name w:val="List"/>
    <w:basedOn w:val="Tekstas"/>
    <w:rPr>
      <w:rFonts w:cs="Tahoma"/>
    </w:rPr>
  </w:style>
  <w:style w:type="paragraph" w:styleId="Porat">
    <w:name w:val="footer"/>
    <w:basedOn w:val="prastasis"/>
    <w:pPr>
      <w:tabs>
        <w:tab w:val="right" w:pos="8306"/>
      </w:tabs>
      <w:jc w:val="right"/>
    </w:pPr>
    <w:rPr>
      <w:sz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i/>
      <w:iCs/>
    </w:rPr>
  </w:style>
  <w:style w:type="paragraph" w:customStyle="1" w:styleId="Kadroturinys">
    <w:name w:val="Kadro turinys"/>
    <w:basedOn w:val="Tekstas"/>
  </w:style>
  <w:style w:type="paragraph" w:customStyle="1" w:styleId="Rodykl">
    <w:name w:val="Rodyklė"/>
    <w:basedOn w:val="prastasis"/>
    <w:pPr>
      <w:suppressLineNumbers/>
    </w:pPr>
    <w:rPr>
      <w:rFonts w:cs="Tahoma"/>
    </w:rPr>
  </w:style>
  <w:style w:type="paragraph" w:customStyle="1" w:styleId="Pavadinimas1">
    <w:name w:val="Pavadinimas1"/>
    <w:basedOn w:val="prastasis"/>
    <w:pPr>
      <w:spacing w:before="40" w:after="40"/>
      <w:ind w:right="1959"/>
    </w:pPr>
    <w:rPr>
      <w:caps/>
    </w:rPr>
  </w:style>
  <w:style w:type="paragraph" w:customStyle="1" w:styleId="Adresas">
    <w:name w:val="Adresas"/>
    <w:basedOn w:val="prastasis"/>
    <w:pPr>
      <w:ind w:right="318"/>
    </w:pPr>
  </w:style>
  <w:style w:type="paragraph" w:customStyle="1" w:styleId="Kopija">
    <w:name w:val="Kopija"/>
    <w:basedOn w:val="Adresas"/>
    <w:pPr>
      <w:ind w:right="3999"/>
    </w:pPr>
  </w:style>
  <w:style w:type="paragraph" w:customStyle="1" w:styleId="Institucija">
    <w:name w:val="Institucija"/>
    <w:basedOn w:val="Antrat10"/>
    <w:rPr>
      <w:b/>
      <w:bCs/>
      <w:sz w:val="26"/>
    </w:rPr>
  </w:style>
  <w:style w:type="paragraph" w:styleId="Antrats">
    <w:name w:val="header"/>
    <w:basedOn w:val="prastasis"/>
    <w:pPr>
      <w:suppressLineNumbers/>
      <w:tabs>
        <w:tab w:val="center" w:pos="-568"/>
        <w:tab w:val="right" w:pos="-1135"/>
      </w:tabs>
    </w:pPr>
  </w:style>
  <w:style w:type="paragraph" w:customStyle="1" w:styleId="Tekstasnumeruotas">
    <w:name w:val="Tekstas:numeruotas"/>
    <w:basedOn w:val="Tekstas"/>
    <w:pPr>
      <w:numPr>
        <w:numId w:val="1"/>
      </w:numPr>
      <w:ind w:right="0"/>
    </w:pPr>
  </w:style>
  <w:style w:type="paragraph" w:customStyle="1" w:styleId="RATOPAVADINIMAS">
    <w:name w:val="RAŠTO PAVADINIMAS"/>
    <w:basedOn w:val="Pavadinimas1"/>
    <w:rPr>
      <w:b/>
      <w:bCs/>
    </w:rPr>
  </w:style>
  <w:style w:type="character" w:customStyle="1" w:styleId="PoratDiagrama">
    <w:name w:val="Poraštė Diagrama"/>
    <w:basedOn w:val="Numatytasispastraiposriftas"/>
    <w:rPr>
      <w:sz w:val="16"/>
      <w:szCs w:val="24"/>
      <w:lang w:eastAsia="ar-SA"/>
    </w:rPr>
  </w:style>
  <w:style w:type="paragraph" w:styleId="Debesliotekstas">
    <w:name w:val="Balloon Text"/>
    <w:basedOn w:val="prastasis"/>
    <w:rPr>
      <w:rFonts w:ascii="Tahoma" w:hAnsi="Tahoma" w:cs="Tahoma"/>
      <w:sz w:val="16"/>
      <w:szCs w:val="16"/>
    </w:rPr>
  </w:style>
  <w:style w:type="character" w:customStyle="1" w:styleId="DebesliotekstasDiagrama">
    <w:name w:val="Debesėlio tekstas Diagrama"/>
    <w:basedOn w:val="Numatytasispastraiposriftas"/>
    <w:rPr>
      <w:rFonts w:ascii="Tahoma" w:hAnsi="Tahoma" w:cs="Tahoma"/>
      <w:sz w:val="16"/>
      <w:szCs w:val="16"/>
      <w:lang w:eastAsia="ar-SA"/>
    </w:rPr>
  </w:style>
  <w:style w:type="character" w:customStyle="1" w:styleId="UnresolvedMention">
    <w:name w:val="Unresolved Mention"/>
    <w:basedOn w:val="Numatytasispastraiposriftas"/>
    <w:rPr>
      <w:color w:val="605E5C"/>
      <w:shd w:val="clear" w:color="auto" w:fill="E1DFDD"/>
    </w:rPr>
  </w:style>
  <w:style w:type="character" w:styleId="Knygospavadinimas">
    <w:name w:val="Book Title"/>
    <w:basedOn w:val="Numatytasispastraiposriftas"/>
    <w:rPr>
      <w:b/>
      <w:bCs/>
      <w:i/>
      <w:iCs/>
      <w:spacing w:val="5"/>
    </w:rPr>
  </w:style>
  <w:style w:type="character" w:customStyle="1" w:styleId="AntratsDiagrama">
    <w:name w:val="Antraštės Diagrama"/>
    <w:basedOn w:val="Numatytasispastraiposriftas"/>
    <w:rPr>
      <w:sz w:val="24"/>
      <w:szCs w:val="24"/>
      <w:lang w:eastAsia="ar-SA"/>
    </w:rPr>
  </w:style>
  <w:style w:type="paragraph" w:styleId="Puslapioinaostekstas">
    <w:name w:val="footnote text"/>
    <w:basedOn w:val="prastasis"/>
    <w:pPr>
      <w:jc w:val="both"/>
    </w:pPr>
    <w:rPr>
      <w:sz w:val="20"/>
      <w:szCs w:val="20"/>
    </w:rPr>
  </w:style>
  <w:style w:type="character" w:customStyle="1" w:styleId="PuslapioinaostekstasDiagrama">
    <w:name w:val="Puslapio išnašos tekstas Diagrama"/>
    <w:basedOn w:val="Numatytasispastraiposriftas"/>
    <w:rPr>
      <w:sz w:val="20"/>
      <w:szCs w:val="20"/>
    </w:rPr>
  </w:style>
  <w:style w:type="character" w:styleId="Puslapioinaosnuoroda">
    <w:name w:val="footnote reference"/>
    <w:basedOn w:val="Numatytasispastraiposriftas"/>
    <w:rPr>
      <w:position w:val="0"/>
      <w:vertAlign w:val="superscript"/>
    </w:rPr>
  </w:style>
  <w:style w:type="paragraph" w:styleId="Dokumentoinaostekstas">
    <w:name w:val="endnote text"/>
    <w:basedOn w:val="prastasis"/>
    <w:pPr>
      <w:jc w:val="both"/>
    </w:pPr>
    <w:rPr>
      <w:sz w:val="20"/>
      <w:szCs w:val="20"/>
    </w:rPr>
  </w:style>
  <w:style w:type="character" w:customStyle="1" w:styleId="DokumentoinaostekstasDiagrama">
    <w:name w:val="Dokumento išnašos tekstas Diagrama"/>
    <w:basedOn w:val="Numatytasispastraiposriftas"/>
    <w:rPr>
      <w:sz w:val="20"/>
      <w:szCs w:val="20"/>
    </w:rPr>
  </w:style>
  <w:style w:type="character" w:styleId="Dokumentoinaosnumeris">
    <w:name w:val="endnote reference"/>
    <w:basedOn w:val="Numatytasispastraiposriftas"/>
    <w:rPr>
      <w:position w:val="0"/>
      <w:vertAlign w:val="superscript"/>
    </w:rPr>
  </w:style>
  <w:style w:type="numbering" w:customStyle="1" w:styleId="LFO2">
    <w:name w:val="LFO2"/>
    <w:basedOn w:val="Sraonra"/>
    <w:pPr>
      <w:numPr>
        <w:numId w:val="1"/>
      </w:numPr>
    </w:pPr>
  </w:style>
  <w:style w:type="paragraph" w:styleId="Pataisymai">
    <w:name w:val="Revision"/>
    <w:hidden/>
    <w:uiPriority w:val="99"/>
    <w:semiHidden/>
    <w:rsid w:val="004D054E"/>
    <w:pPr>
      <w:autoSpaceDN/>
    </w:pPr>
  </w:style>
  <w:style w:type="character" w:styleId="Komentaronuoroda">
    <w:name w:val="annotation reference"/>
    <w:basedOn w:val="Numatytasispastraiposriftas"/>
    <w:uiPriority w:val="99"/>
    <w:semiHidden/>
    <w:unhideWhenUsed/>
    <w:rsid w:val="004E636D"/>
    <w:rPr>
      <w:sz w:val="16"/>
      <w:szCs w:val="16"/>
    </w:rPr>
  </w:style>
  <w:style w:type="paragraph" w:styleId="Komentarotekstas">
    <w:name w:val="annotation text"/>
    <w:basedOn w:val="prastasis"/>
    <w:link w:val="KomentarotekstasDiagrama"/>
    <w:uiPriority w:val="99"/>
    <w:unhideWhenUsed/>
    <w:rsid w:val="004E636D"/>
    <w:rPr>
      <w:sz w:val="20"/>
      <w:szCs w:val="20"/>
    </w:rPr>
  </w:style>
  <w:style w:type="character" w:customStyle="1" w:styleId="KomentarotekstasDiagrama">
    <w:name w:val="Komentaro tekstas Diagrama"/>
    <w:basedOn w:val="Numatytasispastraiposriftas"/>
    <w:link w:val="Komentarotekstas"/>
    <w:uiPriority w:val="99"/>
    <w:rsid w:val="004E636D"/>
    <w:rPr>
      <w:sz w:val="20"/>
      <w:szCs w:val="20"/>
    </w:rPr>
  </w:style>
  <w:style w:type="paragraph" w:styleId="Komentarotema">
    <w:name w:val="annotation subject"/>
    <w:basedOn w:val="Komentarotekstas"/>
    <w:next w:val="Komentarotekstas"/>
    <w:link w:val="KomentarotemaDiagrama"/>
    <w:uiPriority w:val="99"/>
    <w:semiHidden/>
    <w:unhideWhenUsed/>
    <w:rsid w:val="004E636D"/>
    <w:rPr>
      <w:b/>
      <w:bCs/>
    </w:rPr>
  </w:style>
  <w:style w:type="character" w:customStyle="1" w:styleId="KomentarotemaDiagrama">
    <w:name w:val="Komentaro tema Diagrama"/>
    <w:basedOn w:val="KomentarotekstasDiagrama"/>
    <w:link w:val="Komentarotema"/>
    <w:uiPriority w:val="99"/>
    <w:semiHidden/>
    <w:rsid w:val="004E63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Z6YWEJNPDQQR-896559167-411</_dlc_DocId>
    <_dlc_DocIdUrl xmlns="28130d43-1b56-4a10-ad88-2cd38123f4c1">
      <Url>https://intranetas.lrs.lt/29/_layouts/15/DocIdRedir.aspx?ID=Z6YWEJNPDQQR-896559167-411</Url>
      <Description>Z6YWEJNPDQQR-896559167-411</Description>
    </_dlc_DocIdUrl>
  </documentManagement>
</p:properties>
</file>

<file path=customXml/itemProps1.xml><?xml version="1.0" encoding="utf-8"?>
<ds:datastoreItem xmlns:ds="http://schemas.openxmlformats.org/officeDocument/2006/customXml" ds:itemID="{E6C2F2E5-FC06-4946-87FB-E0DCBB5C967E}">
  <ds:schemaRefs>
    <ds:schemaRef ds:uri="http://schemas.openxmlformats.org/officeDocument/2006/bibliography"/>
  </ds:schemaRefs>
</ds:datastoreItem>
</file>

<file path=customXml/itemProps2.xml><?xml version="1.0" encoding="utf-8"?>
<ds:datastoreItem xmlns:ds="http://schemas.openxmlformats.org/officeDocument/2006/customXml" ds:itemID="{7DAC5CDD-3823-4240-8F15-95741444BA7B}"/>
</file>

<file path=customXml/itemProps3.xml><?xml version="1.0" encoding="utf-8"?>
<ds:datastoreItem xmlns:ds="http://schemas.openxmlformats.org/officeDocument/2006/customXml" ds:itemID="{A6E58324-A068-4AFB-A0EB-3EE7186BC310}"/>
</file>

<file path=customXml/itemProps4.xml><?xml version="1.0" encoding="utf-8"?>
<ds:datastoreItem xmlns:ds="http://schemas.openxmlformats.org/officeDocument/2006/customXml" ds:itemID="{04D23FD4-CFE5-43C1-92AF-F47F9BD8711F}"/>
</file>

<file path=customXml/itemProps5.xml><?xml version="1.0" encoding="utf-8"?>
<ds:datastoreItem xmlns:ds="http://schemas.openxmlformats.org/officeDocument/2006/customXml" ds:itemID="{A8A379A6-69AD-46CC-BA96-0FBED2931DE1}"/>
</file>

<file path=docProps/app.xml><?xml version="1.0" encoding="utf-8"?>
<Properties xmlns="http://schemas.openxmlformats.org/officeDocument/2006/extended-properties" xmlns:vt="http://schemas.openxmlformats.org/officeDocument/2006/docPropsVTypes">
  <Template>Normal.dotm</Template>
  <TotalTime>1</TotalTime>
  <Pages>3</Pages>
  <Words>5325</Words>
  <Characters>3036</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[Adresatas]</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Samanta Delekaitė</dc:creator>
  <cp:lastModifiedBy>KNIUKŠTIENĖ Rimantė</cp:lastModifiedBy>
  <cp:revision>2</cp:revision>
  <cp:lastPrinted>2024-02-28T07:32:00Z</cp:lastPrinted>
  <dcterms:created xsi:type="dcterms:W3CDTF">2024-02-28T07:34:00Z</dcterms:created>
  <dcterms:modified xsi:type="dcterms:W3CDTF">2024-02-28T07:34:00Z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b17e914b-37a7-4880-8616-ffb99b51b429</vt:lpwstr>
  </property>
</Properties>
</file>